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MS Reference Sans Serif" w:eastAsia="MS Reference Sans Serif" w:hAnsi="MS Reference Sans Serif" w:cs="MS Reference Sans Serif"/>
          <w:b/>
          <w:bCs/>
          <w:color w:val="01418A"/>
          <w:spacing w:val="0"/>
          <w:w w:val="100"/>
          <w:position w:val="0"/>
          <w:sz w:val="40"/>
          <w:szCs w:val="40"/>
        </w:rPr>
        <w:t>Nation ©</w:t>
      </w:r>
    </w:p>
    <w:p>
      <w:pPr>
        <w:pStyle w:val="Style5"/>
        <w:keepNext w:val="0"/>
        <w:keepLines w:val="0"/>
        <w:widowControl w:val="0"/>
        <w:shd w:val="clear" w:color="auto" w:fill="auto"/>
        <w:bidi w:val="0"/>
        <w:spacing w:before="0" w:after="1920" w:line="240" w:lineRule="auto"/>
        <w:ind w:left="0" w:right="0"/>
        <w:jc w:val="left"/>
      </w:pPr>
      <w:r>
        <w:rPr>
          <w:color w:val="000000"/>
          <w:spacing w:val="0"/>
          <w:w w:val="100"/>
          <w:position w:val="0"/>
        </w:rPr>
        <w:t>国民技木</w:t>
      </w:r>
      <w:r>
        <w:rPr>
          <w:color w:val="01418A"/>
          <w:spacing w:val="0"/>
          <w:w w:val="100"/>
          <w:position w:val="0"/>
        </w:rPr>
        <w:t>▼</w:t>
      </w:r>
    </w:p>
    <w:p>
      <w:pPr>
        <w:pStyle w:val="Style2"/>
        <w:keepNext w:val="0"/>
        <w:keepLines w:val="0"/>
        <w:widowControl w:val="0"/>
        <w:shd w:val="clear" w:color="auto" w:fill="auto"/>
        <w:bidi w:val="0"/>
        <w:spacing w:before="0" w:after="280" w:line="240" w:lineRule="auto"/>
        <w:ind w:left="0" w:right="0" w:firstLine="0"/>
        <w:jc w:val="center"/>
        <w:rPr>
          <w:sz w:val="82"/>
          <w:szCs w:val="82"/>
        </w:rPr>
      </w:pPr>
      <w:r>
        <w:rPr>
          <w:rFonts w:ascii="Verdana" w:eastAsia="Verdana" w:hAnsi="Verdana" w:cs="Verdana"/>
          <w:b/>
          <w:bCs/>
          <w:color w:val="01418A"/>
          <w:spacing w:val="0"/>
          <w:w w:val="100"/>
          <w:position w:val="0"/>
          <w:sz w:val="82"/>
          <w:szCs w:val="82"/>
        </w:rPr>
        <w:t>Nation ©</w:t>
      </w:r>
    </w:p>
    <w:p>
      <w:pPr>
        <w:pStyle w:val="Style2"/>
        <w:keepNext w:val="0"/>
        <w:keepLines w:val="0"/>
        <w:widowControl w:val="0"/>
        <w:shd w:val="clear" w:color="auto" w:fill="auto"/>
        <w:bidi w:val="0"/>
        <w:spacing w:before="0" w:after="0" w:line="605" w:lineRule="exact"/>
        <w:ind w:left="0" w:right="0" w:firstLine="0"/>
        <w:jc w:val="center"/>
        <w:rPr>
          <w:sz w:val="58"/>
          <w:szCs w:val="58"/>
        </w:rPr>
      </w:pPr>
      <w:r>
        <w:rPr>
          <w:rFonts w:ascii="SimHei" w:eastAsia="SimHei" w:hAnsi="SimHei" w:cs="SimHei"/>
          <w:b/>
          <w:bCs/>
          <w:color w:val="000000"/>
          <w:spacing w:val="0"/>
          <w:w w:val="100"/>
          <w:position w:val="0"/>
          <w:sz w:val="58"/>
          <w:szCs w:val="58"/>
          <w:shd w:val="clear" w:color="auto" w:fill="FFFFFF"/>
        </w:rPr>
        <w:t>国民技术股份有限公司</w:t>
      </w:r>
    </w:p>
    <w:p>
      <w:pPr>
        <w:pStyle w:val="Style2"/>
        <w:keepNext w:val="0"/>
        <w:keepLines w:val="0"/>
        <w:widowControl w:val="0"/>
        <w:shd w:val="clear" w:color="auto" w:fill="auto"/>
        <w:bidi w:val="0"/>
        <w:spacing w:before="0" w:after="1280" w:line="605" w:lineRule="exact"/>
        <w:ind w:left="0" w:right="0" w:firstLine="0"/>
        <w:jc w:val="center"/>
        <w:rPr>
          <w:sz w:val="48"/>
          <w:szCs w:val="48"/>
        </w:rPr>
      </w:pPr>
      <w:r>
        <w:rPr>
          <w:rFonts w:ascii="Times New Roman" w:eastAsia="Times New Roman" w:hAnsi="Times New Roman" w:cs="Times New Roman"/>
          <w:b/>
          <w:bCs/>
          <w:color w:val="000000"/>
          <w:spacing w:val="0"/>
          <w:w w:val="100"/>
          <w:position w:val="0"/>
          <w:sz w:val="48"/>
          <w:szCs w:val="48"/>
        </w:rPr>
        <w:t>Nations Technologies Inc.</w:t>
      </w:r>
    </w:p>
    <w:p>
      <w:pPr>
        <w:pStyle w:val="Style2"/>
        <w:keepNext w:val="0"/>
        <w:keepLines w:val="0"/>
        <w:widowControl w:val="0"/>
        <w:shd w:val="clear" w:color="auto" w:fill="auto"/>
        <w:bidi w:val="0"/>
        <w:spacing w:before="0" w:after="740" w:line="240" w:lineRule="auto"/>
        <w:ind w:left="0" w:right="0" w:firstLine="0"/>
        <w:jc w:val="center"/>
        <w:rPr>
          <w:sz w:val="52"/>
          <w:szCs w:val="52"/>
        </w:rPr>
      </w:pPr>
      <w:r>
        <w:rPr>
          <w:rFonts w:ascii="Times New Roman" w:eastAsia="Times New Roman" w:hAnsi="Times New Roman" w:cs="Times New Roman"/>
          <w:b/>
          <w:bCs/>
          <w:color w:val="000000"/>
          <w:spacing w:val="0"/>
          <w:w w:val="100"/>
          <w:position w:val="0"/>
          <w:sz w:val="52"/>
          <w:szCs w:val="52"/>
        </w:rPr>
        <w:t>2021</w:t>
      </w:r>
      <w:r>
        <w:rPr>
          <w:b/>
          <w:bCs/>
          <w:color w:val="000000"/>
          <w:spacing w:val="0"/>
          <w:w w:val="100"/>
          <w:position w:val="0"/>
          <w:sz w:val="52"/>
          <w:szCs w:val="52"/>
        </w:rPr>
        <w:t>年年度报告</w:t>
      </w:r>
    </w:p>
    <w:p>
      <w:pPr>
        <w:pStyle w:val="Style13"/>
        <w:keepNext w:val="0"/>
        <w:keepLines w:val="0"/>
        <w:widowControl w:val="0"/>
        <w:shd w:val="clear" w:color="auto" w:fill="auto"/>
        <w:bidi w:val="0"/>
        <w:spacing w:before="0" w:after="0" w:line="240" w:lineRule="auto"/>
        <w:ind w:left="0" w:right="0" w:firstLine="0"/>
        <w:jc w:val="center"/>
        <w:rPr>
          <w:sz w:val="24"/>
          <w:szCs w:val="24"/>
        </w:rPr>
        <w:sectPr>
          <w:footnotePr>
            <w:pos w:val="pageBottom"/>
            <w:numFmt w:val="decimal"/>
            <w:numRestart w:val="continuous"/>
          </w:footnotePr>
          <w:pgSz w:w="11900" w:h="16840"/>
          <w:pgMar w:top="178" w:right="975" w:bottom="888" w:left="1099" w:header="0" w:footer="3" w:gutter="0"/>
          <w:cols w:space="720"/>
          <w:noEndnote/>
          <w:rtlGutter w:val="0"/>
          <w:docGrid w:linePitch="360"/>
        </w:sectPr>
      </w:pPr>
      <w:r>
        <w:rPr>
          <w:color w:val="000000"/>
          <w:spacing w:val="0"/>
          <w:w w:val="100"/>
          <w:position w:val="0"/>
          <w:sz w:val="24"/>
          <w:szCs w:val="24"/>
        </w:rPr>
        <w:t>（公告编号:</w:t>
      </w:r>
      <w:r>
        <w:rPr>
          <w:rFonts w:ascii="Times New Roman" w:eastAsia="Times New Roman" w:hAnsi="Times New Roman" w:cs="Times New Roman"/>
          <w:color w:val="000000"/>
          <w:spacing w:val="0"/>
          <w:w w:val="100"/>
          <w:position w:val="0"/>
          <w:sz w:val="24"/>
          <w:szCs w:val="24"/>
        </w:rPr>
        <w:t>2022-019</w:t>
      </w:r>
      <w:r>
        <w:rPr>
          <w:color w:val="000000"/>
          <w:spacing w:val="0"/>
          <w:w w:val="100"/>
          <w:position w:val="0"/>
          <w:sz w:val="24"/>
          <w:szCs w:val="24"/>
        </w:rPr>
        <w:t>）</w:t>
      </w:r>
    </w:p>
    <w:p>
      <w:pPr>
        <w:pStyle w:val="Style17"/>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after="12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9"/>
        <w:keepNext w:val="0"/>
        <w:keepLines w:val="0"/>
        <w:widowControl w:val="0"/>
        <w:shd w:val="clear" w:color="auto" w:fill="auto"/>
        <w:bidi w:val="0"/>
        <w:spacing w:before="0" w:after="0" w:line="612" w:lineRule="exact"/>
        <w:ind w:left="0" w:right="0"/>
        <w:jc w:val="both"/>
      </w:pPr>
      <w:r>
        <w:rPr>
          <w:color w:val="000000"/>
          <w:spacing w:val="0"/>
          <w:w w:val="100"/>
          <w:position w:val="0"/>
        </w:rPr>
        <w:t xml:space="preserve">公司负责人孙迎彤先生、主管会计工作负责人徐辉先生及会计机构负责人 </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余永德先生声明：保证年度报告中财务报告的真实、准确、完整。</w:t>
      </w:r>
    </w:p>
    <w:p>
      <w:pPr>
        <w:pStyle w:val="Style19"/>
        <w:keepNext w:val="0"/>
        <w:keepLines w:val="0"/>
        <w:widowControl w:val="0"/>
        <w:shd w:val="clear" w:color="auto" w:fill="auto"/>
        <w:bidi w:val="0"/>
        <w:spacing w:before="0" w:after="0" w:line="612" w:lineRule="exact"/>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after="0" w:line="612" w:lineRule="exact"/>
        <w:ind w:left="0" w:right="0"/>
        <w:jc w:val="both"/>
      </w:pPr>
      <w:r>
        <w:rPr>
          <w:color w:val="000000"/>
          <w:spacing w:val="0"/>
          <w:w w:val="100"/>
          <w:position w:val="0"/>
        </w:rPr>
        <w:t>本报告涉及的未来计划、发展战略等前瞻性描述不构成公司对投资者的实 质承诺，敬请投资者注意投资风险。</w:t>
      </w:r>
    </w:p>
    <w:p>
      <w:pPr>
        <w:pStyle w:val="Style19"/>
        <w:keepNext w:val="0"/>
        <w:keepLines w:val="0"/>
        <w:widowControl w:val="0"/>
        <w:shd w:val="clear" w:color="auto" w:fill="auto"/>
        <w:bidi w:val="0"/>
        <w:spacing w:before="0" w:after="0" w:line="631"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号——创业板行 业信息披露》中的“集成电路业务”及“锂离子电池产业链相关业务”的披露 要求。</w:t>
      </w:r>
    </w:p>
    <w:p>
      <w:pPr>
        <w:pStyle w:val="Style19"/>
        <w:keepNext w:val="0"/>
        <w:keepLines w:val="0"/>
        <w:widowControl w:val="0"/>
        <w:shd w:val="clear" w:color="auto" w:fill="auto"/>
        <w:bidi w:val="0"/>
        <w:spacing w:before="0" w:after="0" w:line="629" w:lineRule="exact"/>
        <w:ind w:left="0" w:right="0"/>
        <w:jc w:val="both"/>
      </w:pPr>
      <w:r>
        <w:rPr>
          <w:color w:val="000000"/>
          <w:spacing w:val="0"/>
          <w:w w:val="100"/>
          <w:position w:val="0"/>
        </w:rPr>
        <w:t>公司在本报告第三节“管理层讨论与分析”之“十一、公司未来发展的展 望”部分，详细描述了公司经营中可能存在的风险及应对措施，敬请投资者关 注相关内容。</w:t>
      </w:r>
    </w:p>
    <w:p>
      <w:pPr>
        <w:pStyle w:val="Style19"/>
        <w:keepNext w:val="0"/>
        <w:keepLines w:val="0"/>
        <w:widowControl w:val="0"/>
        <w:shd w:val="clear" w:color="auto" w:fill="auto"/>
        <w:bidi w:val="0"/>
        <w:spacing w:before="0" w:after="120" w:line="629" w:lineRule="exact"/>
        <w:ind w:left="0" w:right="0"/>
        <w:jc w:val="both"/>
        <w:sectPr>
          <w:footnotePr>
            <w:pos w:val="pageBottom"/>
            <w:numFmt w:val="decimal"/>
            <w:numRestart w:val="continuous"/>
          </w:footnotePr>
          <w:pgSz w:w="11900" w:h="16840"/>
          <w:pgMar w:top="1930" w:right="975" w:bottom="1930" w:left="1099" w:header="0" w:footer="3" w:gutter="0"/>
          <w:cols w:space="720"/>
          <w:noEndnote/>
          <w:rtlGutter w:val="0"/>
          <w:docGrid w:linePitch="360"/>
        </w:sectPr>
      </w:pPr>
      <w:r>
        <w:rPr>
          <w:color w:val="000000"/>
          <w:spacing w:val="0"/>
          <w:w w:val="100"/>
          <w:position w:val="0"/>
        </w:rPr>
        <w:t>公司经本次董事会审议通过的普通股利润分配预案为：公司计划不派发现 金红利，不送红股，不以公积金转增股本。</w:t>
      </w:r>
    </w:p>
    <w:p>
      <w:pPr>
        <w:pStyle w:val="Style22"/>
        <w:keepNext w:val="0"/>
        <w:keepLines w:val="0"/>
        <w:widowControl w:val="0"/>
        <w:shd w:val="clear" w:color="auto" w:fill="auto"/>
        <w:tabs>
          <w:tab w:pos="1450" w:val="left"/>
        </w:tabs>
        <w:bidi w:val="0"/>
        <w:spacing w:before="0" w:after="1560" w:line="240" w:lineRule="auto"/>
        <w:ind w:left="0" w:right="0" w:firstLine="0"/>
        <w:jc w:val="center"/>
        <w:rPr>
          <w:sz w:val="46"/>
          <w:szCs w:val="46"/>
        </w:rPr>
      </w:pPr>
      <w:r>
        <w:fldChar w:fldCharType="begin"/>
        <w:instrText xml:space="preserve"> TOC \o "1-5" \h \z </w:instrText>
        <w:fldChar w:fldCharType="separate"/>
      </w:r>
      <w:bookmarkStart w:id="3" w:name="bookmark3"/>
      <w:bookmarkStart w:id="4" w:name="bookmark4"/>
      <w:bookmarkStart w:id="5" w:name="bookmark5"/>
      <w:r>
        <w:rPr>
          <w:color w:val="000000"/>
          <w:spacing w:val="0"/>
          <w:w w:val="100"/>
          <w:position w:val="0"/>
          <w:sz w:val="46"/>
          <w:szCs w:val="46"/>
        </w:rPr>
        <w:t>目</w:t>
        <w:tab/>
        <w:t>录</w:t>
      </w:r>
      <w:bookmarkEnd w:id="3"/>
      <w:bookmarkEnd w:id="4"/>
      <w:bookmarkEnd w:id="5"/>
    </w:p>
    <w:p>
      <w:pPr>
        <w:pStyle w:val="Style22"/>
        <w:keepNext w:val="0"/>
        <w:keepLines w:val="0"/>
        <w:widowControl w:val="0"/>
        <w:shd w:val="clear" w:color="auto" w:fill="auto"/>
        <w:tabs>
          <w:tab w:leader="dot" w:pos="9618" w:val="right"/>
        </w:tabs>
        <w:bidi w:val="0"/>
        <w:spacing w:before="0" w:line="240" w:lineRule="auto"/>
        <w:ind w:left="0" w:right="0" w:firstLine="0"/>
        <w:jc w:val="left"/>
      </w:pP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pPr>
      <w:hyperlink w:anchor="bookmark14"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pPr>
      <w:hyperlink w:anchor="bookmark48"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2"/>
        <w:keepNext w:val="0"/>
        <w:keepLines w:val="0"/>
        <w:widowControl w:val="0"/>
        <w:shd w:val="clear" w:color="auto" w:fill="auto"/>
        <w:tabs>
          <w:tab w:pos="1040" w:val="left"/>
          <w:tab w:leader="dot" w:pos="9618" w:val="right"/>
        </w:tabs>
        <w:bidi w:val="0"/>
        <w:spacing w:before="0" w:line="240" w:lineRule="auto"/>
        <w:ind w:left="0" w:right="0" w:firstLine="0"/>
        <w:jc w:val="left"/>
      </w:pPr>
      <w:hyperlink w:anchor="bookmark285"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pPr>
      <w:hyperlink w:anchor="bookmark408"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pPr>
      <w:hyperlink w:anchor="bookmark426"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pPr>
      <w:hyperlink w:anchor="bookmark556"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86</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pPr>
      <w:hyperlink w:anchor="bookmark616"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94</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pPr>
      <w:hyperlink w:anchor="bookmark619"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95</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sectPr>
          <w:footnotePr>
            <w:pos w:val="pageBottom"/>
            <w:numFmt w:val="decimal"/>
            <w:numRestart w:val="continuous"/>
          </w:footnotePr>
          <w:pgSz w:w="11900" w:h="16840"/>
          <w:pgMar w:top="2900" w:right="1109" w:bottom="2900" w:left="1109" w:header="0" w:footer="3" w:gutter="0"/>
          <w:cols w:space="720"/>
          <w:noEndnote/>
          <w:rtlGutter w:val="0"/>
          <w:docGrid w:linePitch="360"/>
        </w:sectPr>
      </w:pPr>
      <w:hyperlink w:anchor="bookmark622"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96</w:t>
        </w:r>
      </w:hyperlink>
      <w:r>
        <w:fldChar w:fldCharType="end"/>
      </w:r>
    </w:p>
    <w:p>
      <w:pPr>
        <w:pStyle w:val="Style2"/>
        <w:keepNext w:val="0"/>
        <w:keepLines w:val="0"/>
        <w:widowControl w:val="0"/>
        <w:shd w:val="clear" w:color="auto" w:fill="auto"/>
        <w:bidi w:val="0"/>
        <w:spacing w:before="400" w:after="0" w:line="240" w:lineRule="auto"/>
        <w:ind w:left="0" w:right="0" w:firstLine="0"/>
        <w:jc w:val="center"/>
        <w:rPr>
          <w:sz w:val="36"/>
          <w:szCs w:val="36"/>
        </w:rPr>
      </w:pPr>
      <w:r>
        <w:rPr>
          <w:b/>
          <w:bCs/>
          <w:color w:val="000000"/>
          <w:spacing w:val="0"/>
          <w:w w:val="100"/>
          <w:position w:val="0"/>
          <w:sz w:val="36"/>
          <w:szCs w:val="36"/>
        </w:rPr>
        <w:t>备查文件目录</w:t>
      </w:r>
    </w:p>
    <w:p>
      <w:pPr>
        <w:pStyle w:val="Style19"/>
        <w:keepNext w:val="0"/>
        <w:keepLines w:val="0"/>
        <w:widowControl w:val="0"/>
        <w:shd w:val="clear" w:color="auto" w:fill="auto"/>
        <w:tabs>
          <w:tab w:pos="565" w:val="left"/>
        </w:tabs>
        <w:bidi w:val="0"/>
        <w:spacing w:before="0" w:after="0"/>
        <w:ind w:left="0" w:right="0" w:firstLine="0"/>
        <w:jc w:val="left"/>
      </w:pPr>
      <w:bookmarkStart w:id="6" w:name="bookmark6"/>
      <w:r>
        <w:rPr>
          <w:b w:val="0"/>
          <w:bCs w:val="0"/>
          <w:color w:val="000000"/>
          <w:spacing w:val="0"/>
          <w:w w:val="100"/>
          <w:position w:val="0"/>
        </w:rPr>
        <w:t>一</w:t>
      </w:r>
      <w:bookmarkEnd w:id="6"/>
      <w:r>
        <w:rPr>
          <w:b w:val="0"/>
          <w:bCs w:val="0"/>
          <w:color w:val="000000"/>
          <w:spacing w:val="0"/>
          <w:w w:val="100"/>
          <w:position w:val="0"/>
        </w:rPr>
        <w:t>、</w:t>
        <w:tab/>
        <w:t>载有公司法定代表人、主管会计工作负责人、会计机构负责人签名并盖章 的财务报表。</w:t>
      </w:r>
    </w:p>
    <w:p>
      <w:pPr>
        <w:pStyle w:val="Style19"/>
        <w:keepNext w:val="0"/>
        <w:keepLines w:val="0"/>
        <w:widowControl w:val="0"/>
        <w:shd w:val="clear" w:color="auto" w:fill="auto"/>
        <w:tabs>
          <w:tab w:pos="565" w:val="left"/>
        </w:tabs>
        <w:bidi w:val="0"/>
        <w:spacing w:before="0" w:after="0"/>
        <w:ind w:left="0" w:right="0" w:firstLine="0"/>
        <w:jc w:val="left"/>
      </w:pPr>
      <w:bookmarkStart w:id="7" w:name="bookmark7"/>
      <w:r>
        <w:rPr>
          <w:b w:val="0"/>
          <w:bCs w:val="0"/>
          <w:color w:val="000000"/>
          <w:spacing w:val="0"/>
          <w:w w:val="100"/>
          <w:position w:val="0"/>
        </w:rPr>
        <w:t>二</w:t>
      </w:r>
      <w:bookmarkEnd w:id="7"/>
      <w:r>
        <w:rPr>
          <w:b w:val="0"/>
          <w:bCs w:val="0"/>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574" w:val="left"/>
        </w:tabs>
        <w:bidi w:val="0"/>
        <w:spacing w:before="0" w:after="0"/>
        <w:ind w:left="0" w:right="0" w:firstLine="0"/>
        <w:jc w:val="left"/>
      </w:pPr>
      <w:bookmarkStart w:id="8" w:name="bookmark8"/>
      <w:r>
        <w:rPr>
          <w:b w:val="0"/>
          <w:bCs w:val="0"/>
          <w:color w:val="000000"/>
          <w:spacing w:val="0"/>
          <w:w w:val="100"/>
          <w:position w:val="0"/>
        </w:rPr>
        <w:t>三</w:t>
      </w:r>
      <w:bookmarkEnd w:id="8"/>
      <w:r>
        <w:rPr>
          <w:b w:val="0"/>
          <w:bCs w:val="0"/>
          <w:color w:val="000000"/>
          <w:spacing w:val="0"/>
          <w:w w:val="100"/>
          <w:position w:val="0"/>
        </w:rPr>
        <w:t>、</w:t>
        <w:tab/>
        <w:t>报告期内公开披露过的所有公司文件的正本及公告的原稿。</w:t>
      </w:r>
    </w:p>
    <w:p>
      <w:pPr>
        <w:pStyle w:val="Style19"/>
        <w:keepNext w:val="0"/>
        <w:keepLines w:val="0"/>
        <w:widowControl w:val="0"/>
        <w:shd w:val="clear" w:color="auto" w:fill="auto"/>
        <w:tabs>
          <w:tab w:pos="574" w:val="left"/>
        </w:tabs>
        <w:bidi w:val="0"/>
        <w:spacing w:before="0" w:after="0"/>
        <w:ind w:left="0" w:right="0" w:firstLine="0"/>
        <w:jc w:val="left"/>
      </w:pPr>
      <w:bookmarkStart w:id="9" w:name="bookmark9"/>
      <w:r>
        <w:rPr>
          <w:b w:val="0"/>
          <w:bCs w:val="0"/>
          <w:color w:val="000000"/>
          <w:spacing w:val="0"/>
          <w:w w:val="100"/>
          <w:position w:val="0"/>
        </w:rPr>
        <w:t>四</w:t>
      </w:r>
      <w:bookmarkEnd w:id="9"/>
      <w:r>
        <w:rPr>
          <w:b w:val="0"/>
          <w:bCs w:val="0"/>
          <w:color w:val="000000"/>
          <w:spacing w:val="0"/>
          <w:w w:val="100"/>
          <w:position w:val="0"/>
        </w:rPr>
        <w:t>、</w:t>
        <w:tab/>
        <w:t>其他相关资料。</w:t>
      </w:r>
    </w:p>
    <w:p>
      <w:pPr>
        <w:pStyle w:val="Style19"/>
        <w:keepNext w:val="0"/>
        <w:keepLines w:val="0"/>
        <w:widowControl w:val="0"/>
        <w:shd w:val="clear" w:color="auto" w:fill="auto"/>
        <w:bidi w:val="0"/>
        <w:spacing w:before="0" w:after="0"/>
        <w:ind w:left="0" w:right="0" w:firstLine="0"/>
        <w:jc w:val="left"/>
      </w:pPr>
      <w:r>
        <w:rPr>
          <w:b w:val="0"/>
          <w:bCs w:val="0"/>
          <w:color w:val="000000"/>
          <w:spacing w:val="0"/>
          <w:w w:val="100"/>
          <w:position w:val="0"/>
        </w:rPr>
        <w:t>上述文件置备地点：公司证券事务部。</w:t>
      </w:r>
      <w:r>
        <w:br w:type="page"/>
      </w:r>
    </w:p>
    <w:p>
      <w:pPr>
        <w:pStyle w:val="Style17"/>
        <w:keepNext/>
        <w:keepLines/>
        <w:widowControl w:val="0"/>
        <w:shd w:val="clear" w:color="auto" w:fill="auto"/>
        <w:bidi w:val="0"/>
        <w:spacing w:before="0" w:after="14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2419"/>
        <w:gridCol w:w="710"/>
        <w:gridCol w:w="6456"/>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释义内容</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中国证券监督管理委员会</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深交所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深圳证券交易所</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国民技术、本公司、公司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国民技术股份有限公司</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国民技术股份有限公司股东、股东大会</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国民技术股份有限公司董事、董事会</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监事、监事会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国民技术股份有限公司监事、监事会</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国民科技（深圳）有限公司，系公司全资子公司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深圳前海国民投资管理有限公司，系公司全资子公司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内蒙古斯诺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内蒙古斯诺新材料科技有限公司，系公司控股子公司</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斯诺实业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深圳市斯诺实业发展有限公司，系公司控股子公司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浦项化学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POSCO CHEMICAL CO., LTD</w:t>
            </w:r>
            <w:r>
              <w:rPr>
                <w:color w:val="000000"/>
                <w:spacing w:val="0"/>
                <w:w w:val="100"/>
                <w:position w:val="0"/>
                <w:sz w:val="20"/>
                <w:szCs w:val="20"/>
              </w:rPr>
              <w:t>，</w:t>
            </w:r>
            <w:r>
              <w:rPr>
                <w:color w:val="000000"/>
                <w:spacing w:val="0"/>
                <w:w w:val="100"/>
                <w:position w:val="0"/>
                <w:sz w:val="20"/>
                <w:szCs w:val="20"/>
              </w:rPr>
              <w:t>系内蒙古斯诺的股东之一</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思齐资本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深圳思齐资本信息技术私募创业投资基金企业（有限合伙），原名中 信资本（深圳）信息技术创业投资基金企业（有限合伙），公司持有 其</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的合伙份额</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华夏芯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华夏芯（北京）通用处理器技术有限公司</w:t>
            </w:r>
          </w:p>
        </w:tc>
      </w:tr>
      <w:tr>
        <w:trPr>
          <w:trHeight w:val="15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2"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Integrated Circuit</w:t>
            </w:r>
            <w:r>
              <w:rPr>
                <w:color w:val="000000"/>
                <w:spacing w:val="0"/>
                <w:w w:val="100"/>
                <w:position w:val="0"/>
                <w:sz w:val="20"/>
                <w:szCs w:val="20"/>
              </w:rPr>
              <w:t>的缩写，即集成电路，是指采用半导体制作工艺， 在一块较小的单晶硅片上制作许多晶体管及电阻器、电容器等元器 件，并按照多层布线或遂道布线的方法将元器件组合成完整的电子 电路。</w:t>
            </w:r>
          </w:p>
        </w:tc>
      </w:tr>
      <w:tr>
        <w:trPr>
          <w:trHeight w:val="11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Fabless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无晶圆厂的集成电路企业的经营模式，该种经营模式下企业仅进行 芯片的设计、研发、应用和销售，而将晶圆制造、封装和测试外包 给专业的晶圆代工、封装和测试厂商</w:t>
            </w:r>
          </w:p>
        </w:tc>
      </w:tr>
      <w:tr>
        <w:trPr>
          <w:trHeight w:val="26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封装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9" w:lineRule="exact"/>
              <w:ind w:left="0" w:right="0" w:firstLine="0"/>
              <w:jc w:val="both"/>
              <w:rPr>
                <w:sz w:val="20"/>
                <w:szCs w:val="20"/>
              </w:rPr>
            </w:pPr>
            <w:r>
              <w:rPr>
                <w:color w:val="000000"/>
                <w:spacing w:val="0"/>
                <w:w w:val="100"/>
                <w:position w:val="0"/>
                <w:sz w:val="20"/>
                <w:szCs w:val="20"/>
              </w:rPr>
              <w:t>把硅片上的电路管脚，用导线接引到外部接头处，以便与其它器件 连接。它不仅起着安装、固定、密封、保护芯片及增强电热性能等 方面的作用，而且还通过芯片上的接点用导线连接到封装外壳的引 脚上，这些引脚又通过印刷电路板上的导线与其他器件相连接，从 而实现内部芯片与外部电路的连接。通过封装使芯片与外界隔离， 以防止空气中的杂质对芯片电路的腐蚀而造成电气性能下降，另一 方面，封装后的芯片也更便于安装和运输。</w:t>
            </w:r>
          </w:p>
        </w:tc>
      </w:tr>
      <w:tr>
        <w:trPr>
          <w:trHeight w:val="7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安全芯片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一种可独立进行密钥生成、数字签名、数据加解密的装置，内部拥 有独立的处理器和存储单元，可存储密钥和特征数据，用来提供数</w:t>
            </w:r>
          </w:p>
        </w:tc>
      </w:tr>
    </w:tbl>
    <w:p>
      <w:pPr>
        <w:spacing w:lineRule="exact" w:line="1"/>
        <w:rPr>
          <w:sz w:val="2"/>
          <w:szCs w:val="2"/>
        </w:rPr>
      </w:pPr>
      <w:r>
        <w:br w:type="page"/>
      </w:r>
    </w:p>
    <w:tbl>
      <w:tblPr>
        <w:tblOverlap w:val="never"/>
        <w:jc w:val="center"/>
        <w:tblLayout w:type="fixed"/>
      </w:tblPr>
      <w:tblGrid>
        <w:gridCol w:w="2419"/>
        <w:gridCol w:w="710"/>
        <w:gridCol w:w="6456"/>
      </w:tblGrid>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据加密和安全认证服务。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SoC</w:t>
            </w:r>
            <w:r>
              <w:rPr>
                <w:color w:val="000000"/>
                <w:spacing w:val="0"/>
                <w:w w:val="100"/>
                <w:position w:val="0"/>
                <w:sz w:val="20"/>
                <w:szCs w:val="20"/>
              </w:rPr>
              <w:t>称为系统级芯片或片上系统，是一个有专用目标的集成电路</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0"/>
                <w:szCs w:val="20"/>
              </w:rPr>
              <w:t>其中包含完整系统并有嵌入软件的全部内容。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USBKEY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一种</w:t>
            </w:r>
            <w:r>
              <w:rPr>
                <w:rFonts w:ascii="Times New Roman" w:eastAsia="Times New Roman" w:hAnsi="Times New Roman" w:cs="Times New Roman"/>
                <w:color w:val="000000"/>
                <w:spacing w:val="0"/>
                <w:w w:val="100"/>
                <w:position w:val="0"/>
                <w:sz w:val="22"/>
                <w:szCs w:val="22"/>
              </w:rPr>
              <w:t>USB</w:t>
            </w:r>
            <w:r>
              <w:rPr>
                <w:color w:val="000000"/>
                <w:spacing w:val="0"/>
                <w:w w:val="100"/>
                <w:position w:val="0"/>
                <w:sz w:val="20"/>
                <w:szCs w:val="20"/>
              </w:rPr>
              <w:t>接口的硬件设备，内置安全芯片，可安全存储用户密钥 或数字证书，利用内置的密码算法实现对用户身份的认证，并实现 数据加解密等功能。</w:t>
            </w:r>
          </w:p>
        </w:tc>
      </w:tr>
      <w:tr>
        <w:trPr>
          <w:trHeight w:val="11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移动支付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一种利用手机等移动终端实现移动电子商务的技术，通过改造移动 终端或其内部</w:t>
            </w:r>
            <w:r>
              <w:rPr>
                <w:rFonts w:ascii="Times New Roman" w:eastAsia="Times New Roman" w:hAnsi="Times New Roman" w:cs="Times New Roman"/>
                <w:color w:val="000000"/>
                <w:spacing w:val="0"/>
                <w:w w:val="100"/>
                <w:position w:val="0"/>
                <w:sz w:val="22"/>
                <w:szCs w:val="22"/>
              </w:rPr>
              <w:t>SIM</w:t>
            </w:r>
            <w:r>
              <w:rPr>
                <w:color w:val="000000"/>
                <w:spacing w:val="0"/>
                <w:w w:val="100"/>
                <w:position w:val="0"/>
                <w:sz w:val="20"/>
                <w:szCs w:val="20"/>
              </w:rPr>
              <w:t>卡等用户识别模块，与读卡器装置进行近距离通 讯实现离线支付，或利用手机网络实现在线交易以及动态业务下载。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RCC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Range Controlled Communications</w:t>
            </w:r>
            <w:r>
              <w:rPr>
                <w:color w:val="000000"/>
                <w:spacing w:val="0"/>
                <w:w w:val="100"/>
                <w:position w:val="0"/>
                <w:sz w:val="20"/>
                <w:szCs w:val="20"/>
              </w:rPr>
              <w:t>的缩写，即限域通信，一种多距离 范围的受控通信技术。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MCU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MCU(Micro Control Unit)</w:t>
            </w:r>
            <w:r>
              <w:rPr>
                <w:color w:val="000000"/>
                <w:spacing w:val="0"/>
                <w:w w:val="100"/>
                <w:position w:val="0"/>
                <w:sz w:val="20"/>
                <w:szCs w:val="20"/>
              </w:rPr>
              <w:t>中文名称为微控制器，是指将</w:t>
            </w:r>
            <w:r>
              <w:rPr>
                <w:rFonts w:ascii="Times New Roman" w:eastAsia="Times New Roman" w:hAnsi="Times New Roman" w:cs="Times New Roman"/>
                <w:color w:val="000000"/>
                <w:spacing w:val="0"/>
                <w:w w:val="100"/>
                <w:position w:val="0"/>
                <w:sz w:val="22"/>
                <w:szCs w:val="22"/>
              </w:rPr>
              <w:t>CPU</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RAM</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ROM</w:t>
            </w:r>
            <w:r>
              <w:rPr>
                <w:color w:val="000000"/>
                <w:spacing w:val="0"/>
                <w:w w:val="100"/>
                <w:position w:val="0"/>
                <w:sz w:val="20"/>
                <w:szCs w:val="20"/>
              </w:rPr>
              <w:t>、</w:t>
            </w:r>
            <w:r>
              <w:rPr>
                <w:color w:val="000000"/>
                <w:spacing w:val="0"/>
                <w:w w:val="100"/>
                <w:position w:val="0"/>
                <w:sz w:val="20"/>
                <w:szCs w:val="20"/>
              </w:rPr>
              <w:t>定时计数器和多种</w:t>
            </w:r>
            <w:r>
              <w:rPr>
                <w:rFonts w:ascii="Times New Roman" w:eastAsia="Times New Roman" w:hAnsi="Times New Roman" w:cs="Times New Roman"/>
                <w:color w:val="000000"/>
                <w:spacing w:val="0"/>
                <w:w w:val="100"/>
                <w:position w:val="0"/>
                <w:sz w:val="22"/>
                <w:szCs w:val="22"/>
              </w:rPr>
              <w:t>I/O</w:t>
            </w:r>
            <w:r>
              <w:rPr>
                <w:color w:val="000000"/>
                <w:spacing w:val="0"/>
                <w:w w:val="100"/>
                <w:position w:val="0"/>
                <w:sz w:val="20"/>
                <w:szCs w:val="20"/>
              </w:rPr>
              <w:t>接口集</w:t>
            </w:r>
            <w:r>
              <w:rPr>
                <w:color w:val="000000"/>
                <w:spacing w:val="0"/>
                <w:w w:val="100"/>
                <w:position w:val="0"/>
                <w:sz w:val="20"/>
                <w:szCs w:val="20"/>
              </w:rPr>
              <w:t>成在一片芯片上，形成芯片级 的处理器。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BMS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Battery Management System</w:t>
            </w:r>
            <w:r>
              <w:rPr>
                <w:color w:val="000000"/>
                <w:spacing w:val="0"/>
                <w:w w:val="100"/>
                <w:position w:val="0"/>
                <w:sz w:val="20"/>
                <w:szCs w:val="20"/>
              </w:rPr>
              <w:t>的缩写，即电池管理系统，为一套保护 动力电池使用安全的控制系统，时刻监控电池的使用状态，通过必 要措施缓解电池组的不一致性。</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0"/>
                <w:szCs w:val="20"/>
              </w:rPr>
              <w:t>股股票</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《国民技术股份有限公司章程》</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人民币元、人民币万元</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rPr>
              <w:t>//www. cninfo. com. cn</w:t>
            </w:r>
          </w:p>
        </w:tc>
      </w:tr>
    </w:tbl>
    <w:p>
      <w:pPr>
        <w:spacing w:lineRule="exact" w:line="1"/>
        <w:rPr>
          <w:sz w:val="2"/>
          <w:szCs w:val="2"/>
        </w:rPr>
      </w:pPr>
      <w:r>
        <w:br w:type="page"/>
      </w:r>
    </w:p>
    <w:p>
      <w:pPr>
        <w:pStyle w:val="Style17"/>
        <w:keepNext/>
        <w:keepLines/>
        <w:widowControl w:val="0"/>
        <w:shd w:val="clear" w:color="auto" w:fill="auto"/>
        <w:bidi w:val="0"/>
        <w:spacing w:before="0" w:after="54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一、公司信息</w:t>
      </w:r>
    </w:p>
    <w:tbl>
      <w:tblPr>
        <w:tblOverlap w:val="never"/>
        <w:jc w:val="center"/>
        <w:tblLayout w:type="fixed"/>
      </w:tblPr>
      <w:tblGrid>
        <w:gridCol w:w="2270"/>
        <w:gridCol w:w="7382"/>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2" w:val="left"/>
              </w:tabs>
              <w:bidi w:val="0"/>
              <w:spacing w:before="0" w:after="0" w:line="240" w:lineRule="auto"/>
              <w:ind w:left="0" w:right="0" w:firstLine="0"/>
              <w:jc w:val="left"/>
            </w:pPr>
            <w:r>
              <w:rPr>
                <w:color w:val="000000"/>
                <w:spacing w:val="0"/>
                <w:w w:val="100"/>
                <w:position w:val="0"/>
                <w:sz w:val="20"/>
                <w:szCs w:val="20"/>
              </w:rPr>
              <w:t>国民技术</w:t>
              <w:tab/>
              <w:t>股票代码</w:t>
              <w:tab/>
            </w:r>
            <w:r>
              <w:rPr>
                <w:rFonts w:ascii="Times New Roman" w:eastAsia="Times New Roman" w:hAnsi="Times New Roman" w:cs="Times New Roman"/>
                <w:color w:val="000000"/>
                <w:spacing w:val="0"/>
                <w:w w:val="100"/>
                <w:position w:val="0"/>
              </w:rPr>
              <w:t>300077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国民技术股份有限公司</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Nations Technologies Inc.</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Nations</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孙迎彤</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深圳市南山区西丽街道松坪山社区宝深路</w:t>
            </w:r>
            <w:r>
              <w:rPr>
                <w:rFonts w:ascii="Times New Roman" w:eastAsia="Times New Roman" w:hAnsi="Times New Roman" w:cs="Times New Roman"/>
                <w:color w:val="000000"/>
                <w:spacing w:val="0"/>
                <w:w w:val="100"/>
                <w:position w:val="0"/>
                <w:sz w:val="22"/>
                <w:szCs w:val="22"/>
              </w:rPr>
              <w:t>109</w:t>
            </w:r>
            <w:r>
              <w:rPr>
                <w:color w:val="000000"/>
                <w:spacing w:val="0"/>
                <w:w w:val="100"/>
                <w:position w:val="0"/>
                <w:sz w:val="20"/>
                <w:szCs w:val="20"/>
              </w:rPr>
              <w:t>号国民技术大厦</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楼</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公司注册地址历史变更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月由深圳市南山区高新技术产业园区深圳软件园</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栋</w:t>
            </w:r>
            <w:r>
              <w:rPr>
                <w:rFonts w:ascii="Times New Roman" w:eastAsia="Times New Roman" w:hAnsi="Times New Roman" w:cs="Times New Roman"/>
                <w:color w:val="000000"/>
                <w:spacing w:val="0"/>
                <w:w w:val="100"/>
                <w:position w:val="0"/>
                <w:sz w:val="22"/>
                <w:szCs w:val="22"/>
              </w:rPr>
              <w:t>301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302</w:t>
            </w:r>
            <w:r>
              <w:rPr>
                <w:color w:val="000000"/>
                <w:spacing w:val="0"/>
                <w:w w:val="100"/>
                <w:position w:val="0"/>
                <w:sz w:val="20"/>
                <w:szCs w:val="20"/>
              </w:rPr>
              <w:t>变更 为现注册地址</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深圳市南山区西丽街道松坪山社区宝深路</w:t>
            </w:r>
            <w:r>
              <w:rPr>
                <w:rFonts w:ascii="Times New Roman" w:eastAsia="Times New Roman" w:hAnsi="Times New Roman" w:cs="Times New Roman"/>
                <w:color w:val="000000"/>
                <w:spacing w:val="0"/>
                <w:w w:val="100"/>
                <w:position w:val="0"/>
                <w:sz w:val="22"/>
                <w:szCs w:val="22"/>
              </w:rPr>
              <w:t>109</w:t>
            </w:r>
            <w:r>
              <w:rPr>
                <w:color w:val="000000"/>
                <w:spacing w:val="0"/>
                <w:w w:val="100"/>
                <w:position w:val="0"/>
                <w:sz w:val="20"/>
                <w:szCs w:val="20"/>
              </w:rPr>
              <w:t>号国民技术大厦</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"http://www.nationstech.com" </w:instrText>
            </w:r>
            <w:r>
              <w:fldChar w:fldCharType="separate"/>
            </w:r>
            <w:r>
              <w:rPr>
                <w:rFonts w:ascii="Times New Roman" w:eastAsia="Times New Roman" w:hAnsi="Times New Roman" w:cs="Times New Roman"/>
                <w:color w:val="000000"/>
                <w:spacing w:val="0"/>
                <w:w w:val="100"/>
                <w:position w:val="0"/>
              </w:rPr>
              <w:t>www.nationstech.com</w:t>
            </w:r>
            <w:r>
              <w:fldChar w:fldCharType="end"/>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"mailto:info@nationstech.com" </w:instrText>
            </w:r>
            <w:r>
              <w:fldChar w:fldCharType="separate"/>
            </w:r>
            <w:r>
              <w:rPr>
                <w:rFonts w:ascii="Times New Roman" w:eastAsia="Times New Roman" w:hAnsi="Times New Roman" w:cs="Times New Roman"/>
                <w:color w:val="000000"/>
                <w:spacing w:val="0"/>
                <w:w w:val="100"/>
                <w:position w:val="0"/>
              </w:rPr>
              <w:t>info@nationstech.com</w:t>
            </w:r>
            <w:r>
              <w:fldChar w:fldCharType="end"/>
            </w:r>
          </w:p>
        </w:tc>
      </w:tr>
    </w:tbl>
    <w:p>
      <w:pPr>
        <w:widowControl w:val="0"/>
        <w:spacing w:after="299" w:line="1" w:lineRule="exact"/>
      </w:pPr>
    </w:p>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二、联系人和联系方式</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叶艳桃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欧弘妍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深圳市南山区高新北区宝深路</w:t>
            </w:r>
            <w:r>
              <w:rPr>
                <w:rFonts w:ascii="Times New Roman" w:eastAsia="Times New Roman" w:hAnsi="Times New Roman" w:cs="Times New Roman"/>
                <w:color w:val="000000"/>
                <w:spacing w:val="0"/>
                <w:w w:val="100"/>
                <w:position w:val="0"/>
                <w:sz w:val="22"/>
                <w:szCs w:val="22"/>
              </w:rPr>
              <w:t>109</w:t>
            </w:r>
            <w:r>
              <w:rPr>
                <w:color w:val="000000"/>
                <w:spacing w:val="0"/>
                <w:w w:val="100"/>
                <w:position w:val="0"/>
                <w:sz w:val="20"/>
                <w:szCs w:val="20"/>
              </w:rPr>
              <w:t>号国民技术大厦</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0"/>
                <w:szCs w:val="2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0755-86916692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0755-86916692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"mailto:investors@nationstech.com" </w:instrText>
            </w:r>
            <w:r>
              <w:fldChar w:fldCharType="separate"/>
            </w:r>
            <w:r>
              <w:rPr>
                <w:rFonts w:ascii="Times New Roman" w:eastAsia="Times New Roman" w:hAnsi="Times New Roman" w:cs="Times New Roman"/>
                <w:color w:val="000000"/>
                <w:spacing w:val="0"/>
                <w:w w:val="100"/>
                <w:position w:val="0"/>
              </w:rPr>
              <w:t>investors@nationstech.com</w:t>
            </w:r>
            <w:r>
              <w:fldChar w:fldCharType="end"/>
            </w:r>
          </w:p>
        </w:tc>
      </w:tr>
    </w:tbl>
    <w:p>
      <w:pPr>
        <w:widowControl w:val="0"/>
        <w:spacing w:after="299" w:line="1" w:lineRule="exact"/>
      </w:pPr>
    </w:p>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三、信息披露及备置地点</w:t>
      </w:r>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《证券时报》、《中国证券报》、《证券日报》、《上海证券报》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国民技术股份有限公司证券事务部</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四</w:t>
      </w:r>
      <w:bookmarkEnd w:id="18"/>
      <w:r>
        <w:rPr>
          <w:color w:val="000000"/>
          <w:spacing w:val="0"/>
          <w:w w:val="100"/>
          <w:position w:val="0"/>
        </w:rPr>
        <w:t>、其他有关资料</w:t>
      </w:r>
      <w:bookmarkEnd w:id="16"/>
      <w:bookmarkEnd w:id="17"/>
      <w:bookmarkEnd w:id="19"/>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北京市西城区阜成门外大街</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号万通金融中心</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0"/>
                <w:szCs w:val="2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周书奕、马福珠</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公司聘请的报告期内履行持续督导职责的保荐机构</w:t>
      </w:r>
    </w:p>
    <w:p>
      <w:pPr>
        <w:pStyle w:val="Style1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公司聘请的报告期内履行持续督导职责的财务顾问</w:t>
      </w:r>
    </w:p>
    <w:p>
      <w:pPr>
        <w:pStyle w:val="Style13"/>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after="4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五</w:t>
      </w:r>
      <w:bookmarkEnd w:id="22"/>
      <w:r>
        <w:rPr>
          <w:color w:val="000000"/>
          <w:spacing w:val="0"/>
          <w:w w:val="100"/>
          <w:position w:val="0"/>
        </w:rPr>
        <w:t>、主要会计数据和财务指标</w:t>
      </w:r>
      <w:bookmarkEnd w:id="20"/>
      <w:bookmarkEnd w:id="21"/>
      <w:bookmarkEnd w:id="23"/>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公司是否需追溯调整或重述以前年度会计数据</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414"/>
        <w:gridCol w:w="1795"/>
        <w:gridCol w:w="1704"/>
        <w:gridCol w:w="1747"/>
        <w:gridCol w:w="2021"/>
      </w:tblGrid>
      <w:tr>
        <w:trPr>
          <w:trHeight w:val="4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年</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1,017,608,714.04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379,707,203.30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394,733,173.32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归属于上市公司股东的 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218,975,957.10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11,234,770.54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1849.09%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103,920,641.64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归属于上市公司股东的 扣除非经常性损益的净 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46,358,016.73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-146,746,086.60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-589,381,056.41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经营活动产生的现金流 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212,489,791.79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25,254,297.09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-70,379,752.58</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年末</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本年末比上年末 增减</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年末</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2,667,945,584.97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2,045,496,596.22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2,013,730,013.21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归属于上市公司股东的 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1,542,705,141.21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1,199,628,882.39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1,179,846,638.99</w:t>
            </w:r>
          </w:p>
        </w:tc>
      </w:tr>
    </w:tbl>
    <w:p>
      <w:pPr>
        <w:pStyle w:val="Style13"/>
        <w:keepNext w:val="0"/>
        <w:keepLines w:val="0"/>
        <w:widowControl w:val="0"/>
        <w:shd w:val="clear" w:color="auto" w:fill="auto"/>
        <w:bidi w:val="0"/>
        <w:spacing w:before="0" w:after="240" w:line="456" w:lineRule="exact"/>
        <w:ind w:left="0" w:right="0" w:firstLine="0"/>
        <w:jc w:val="left"/>
      </w:pPr>
      <w:r>
        <w:rPr>
          <w:color w:val="000000"/>
          <w:spacing w:val="0"/>
          <w:w w:val="100"/>
          <w:position w:val="0"/>
        </w:rPr>
        <w:t>注：剔除股份支付费用影响后，报告期实现的归属于上市公司股东的扣除非经常性损益 的净利润为</w:t>
      </w:r>
      <w:r>
        <w:rPr>
          <w:rFonts w:ascii="Times New Roman" w:eastAsia="Times New Roman" w:hAnsi="Times New Roman" w:cs="Times New Roman"/>
          <w:color w:val="000000"/>
          <w:spacing w:val="0"/>
          <w:w w:val="100"/>
          <w:position w:val="0"/>
        </w:rPr>
        <w:t>129,246,006.73</w:t>
      </w:r>
      <w:r>
        <w:rPr>
          <w:color w:val="000000"/>
          <w:spacing w:val="0"/>
          <w:w w:val="100"/>
          <w:position w:val="0"/>
        </w:rPr>
        <w:t>元，同比增长</w:t>
      </w:r>
      <w:r>
        <w:rPr>
          <w:rFonts w:ascii="Times New Roman" w:eastAsia="Times New Roman" w:hAnsi="Times New Roman" w:cs="Times New Roman"/>
          <w:color w:val="000000"/>
          <w:spacing w:val="0"/>
          <w:w w:val="100"/>
          <w:position w:val="0"/>
        </w:rPr>
        <w:t>188.07%</w:t>
      </w:r>
      <w:r>
        <w:rPr>
          <w:color w:val="000000"/>
          <w:spacing w:val="0"/>
          <w:w w:val="100"/>
          <w:position w:val="0"/>
        </w:rPr>
        <w:t>。</w:t>
      </w:r>
    </w:p>
    <w:p>
      <w:pPr>
        <w:pStyle w:val="Style13"/>
        <w:keepNext w:val="0"/>
        <w:keepLines w:val="0"/>
        <w:widowControl w:val="0"/>
        <w:shd w:val="clear" w:color="auto" w:fill="auto"/>
        <w:bidi w:val="0"/>
        <w:spacing w:before="0" w:after="240" w:line="466" w:lineRule="exact"/>
        <w:ind w:left="0" w:right="0" w:firstLine="0"/>
        <w:jc w:val="left"/>
      </w:pPr>
      <w:r>
        <w:rPr>
          <w:color w:val="000000"/>
          <w:spacing w:val="0"/>
          <w:w w:val="100"/>
          <w:position w:val="0"/>
        </w:rPr>
        <w:t>公司最近三个会计年度扣除非经常性损益前后净利润孰低者均为负值，且最近一年审计 报告显示公司持续经营能力存在不确定性</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3"/>
        <w:keepNext w:val="0"/>
        <w:keepLines w:val="0"/>
        <w:widowControl w:val="0"/>
        <w:shd w:val="clear" w:color="auto" w:fill="auto"/>
        <w:bidi w:val="0"/>
        <w:spacing w:before="0" w:after="240" w:line="466" w:lineRule="exact"/>
        <w:ind w:left="0" w:right="0" w:firstLine="0"/>
        <w:jc w:val="both"/>
      </w:pPr>
      <w:r>
        <w:rPr>
          <w:color w:val="000000"/>
          <w:spacing w:val="0"/>
          <w:w w:val="100"/>
          <w:position w:val="0"/>
        </w:rPr>
        <w:t>扣除非经常损益前后的净利润孰低者为负值</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3"/>
        <w:keepNext w:val="0"/>
        <w:keepLines w:val="0"/>
        <w:widowControl w:val="0"/>
        <w:shd w:val="clear" w:color="auto" w:fill="auto"/>
        <w:bidi w:val="0"/>
        <w:spacing w:before="0" w:after="140" w:line="466" w:lineRule="exact"/>
        <w:ind w:left="0" w:right="0" w:firstLine="0"/>
        <w:jc w:val="both"/>
      </w:pPr>
      <w:r>
        <w:rPr>
          <w:color w:val="000000"/>
          <w:spacing w:val="0"/>
          <w:w w:val="100"/>
          <w:position w:val="0"/>
        </w:rPr>
        <w:t>截止披露前一交易日的公司总股本：</w:t>
      </w:r>
    </w:p>
    <w:tbl>
      <w:tblPr>
        <w:tblOverlap w:val="never"/>
        <w:jc w:val="center"/>
        <w:tblLayout w:type="fixed"/>
      </w:tblPr>
      <w:tblGrid>
        <w:gridCol w:w="4526"/>
        <w:gridCol w:w="5054"/>
      </w:tblGrid>
      <w:tr>
        <w:trPr>
          <w:trHeight w:val="4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592,664,000</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公司报告期末至年度报告披露日股本是否因发行新股、增发、配股、股权激励行权、回</w:t>
      </w: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购等原因发生变化且影响所有者权益金额</w:t>
      </w:r>
    </w:p>
    <w:p>
      <w:pPr>
        <w:pStyle w:val="Style1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4526"/>
        <w:gridCol w:w="5054"/>
      </w:tblGrid>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用最新股本计算的全面摊薄每股收益（元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0.3695</w:t>
            </w:r>
          </w:p>
        </w:tc>
      </w:tr>
    </w:tbl>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六、分季度主要财务指标</w:t>
      </w:r>
    </w:p>
    <w:p>
      <w:pPr>
        <w:widowControl w:val="0"/>
        <w:spacing w:after="319" w:line="1" w:lineRule="exact"/>
      </w:pPr>
    </w:p>
    <w:p>
      <w:pPr>
        <w:pStyle w:val="Style30"/>
        <w:keepNext w:val="0"/>
        <w:keepLines w:val="0"/>
        <w:widowControl w:val="0"/>
        <w:shd w:val="clear" w:color="auto" w:fill="auto"/>
        <w:bidi w:val="0"/>
        <w:spacing w:before="0" w:after="0" w:line="240" w:lineRule="auto"/>
        <w:ind w:left="7776" w:right="0" w:firstLine="0"/>
        <w:jc w:val="lef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97,292,464.39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183,527,122.07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328,612,629.86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408,176,497.72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归属于上市公司股东的净 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-16,260,597.68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59,406,824.65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48,140,451.76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127,689,278.37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归属于上市公司股东的扣 除非经常性损益的净利润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-27,924,726.51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-13,645,787.35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43,442,322.99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44,486,207.60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经营活动产生的现金流量 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-96,985,733.01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539,238.14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93,489,639.68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215,446,646.98</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上述财务指标或其加总数是否与公司已披露季度报告、半年度报告相关财务指标存在重</w:t>
      </w: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大差异</w:t>
      </w:r>
    </w:p>
    <w:p>
      <w:pPr>
        <w:pStyle w:val="Style13"/>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3"/>
        <w:keepNext/>
        <w:keepLines/>
        <w:widowControl w:val="0"/>
        <w:shd w:val="clear" w:color="auto" w:fill="auto"/>
        <w:tabs>
          <w:tab w:pos="526" w:val="left"/>
        </w:tabs>
        <w:bidi w:val="0"/>
        <w:spacing w:before="0" w:after="300"/>
        <w:ind w:left="0" w:right="0" w:firstLine="0"/>
        <w:jc w:val="left"/>
      </w:pPr>
      <w:bookmarkStart w:id="24" w:name="bookmark24"/>
      <w:bookmarkStart w:id="25" w:name="bookmark25"/>
      <w:bookmarkStart w:id="26" w:name="bookmark26"/>
      <w:bookmarkStart w:id="27" w:name="bookmark27"/>
      <w:r>
        <w:rPr>
          <w:color w:val="000000"/>
          <w:spacing w:val="0"/>
          <w:w w:val="100"/>
          <w:position w:val="0"/>
        </w:rPr>
        <w:t>七</w:t>
      </w:r>
      <w:bookmarkEnd w:id="26"/>
      <w:r>
        <w:rPr>
          <w:color w:val="000000"/>
          <w:spacing w:val="0"/>
          <w:w w:val="100"/>
          <w:position w:val="0"/>
        </w:rPr>
        <w:t>、</w:t>
        <w:tab/>
        <w:t>境内外会计准则下会计数据差异</w:t>
      </w:r>
      <w:bookmarkEnd w:id="24"/>
      <w:bookmarkEnd w:id="25"/>
      <w:bookmarkEnd w:id="27"/>
    </w:p>
    <w:p>
      <w:pPr>
        <w:pStyle w:val="Style37"/>
        <w:keepNext/>
        <w:keepLines/>
        <w:widowControl w:val="0"/>
        <w:shd w:val="clear" w:color="auto" w:fill="auto"/>
        <w:tabs>
          <w:tab w:pos="413" w:val="left"/>
        </w:tabs>
        <w:bidi w:val="0"/>
        <w:spacing w:before="0" w:after="420" w:line="317" w:lineRule="exact"/>
        <w:ind w:left="0" w:right="0" w:firstLine="0"/>
        <w:jc w:val="left"/>
      </w:pPr>
      <w:bookmarkStart w:id="28" w:name="bookmark28"/>
      <w:bookmarkStart w:id="29" w:name="bookmark29"/>
      <w:bookmarkStart w:id="30" w:name="bookmark30"/>
      <w:bookmarkStart w:id="31" w:name="bookmark31"/>
      <w:r>
        <w:rPr>
          <w:rFonts w:ascii="Times New Roman" w:eastAsia="Times New Roman" w:hAnsi="Times New Roman" w:cs="Times New Roman"/>
          <w:color w:val="000000"/>
          <w:spacing w:val="0"/>
          <w:w w:val="100"/>
          <w:position w:val="0"/>
        </w:rPr>
        <w:t>1</w:t>
      </w:r>
      <w:bookmarkEnd w:id="30"/>
      <w:r>
        <w:rPr>
          <w:color w:val="000000"/>
          <w:spacing w:val="0"/>
          <w:w w:val="100"/>
          <w:position w:val="0"/>
        </w:rPr>
        <w:t>、</w:t>
        <w:tab/>
        <w:t>同时按照国际会计准则与按照中国会计准则披露的财务报告中净利润和净资产差异 情况</w:t>
      </w:r>
      <w:bookmarkEnd w:id="28"/>
      <w:bookmarkEnd w:id="29"/>
      <w:bookmarkEnd w:id="31"/>
    </w:p>
    <w:p>
      <w:pPr>
        <w:pStyle w:val="Style13"/>
        <w:keepNext w:val="0"/>
        <w:keepLines w:val="0"/>
        <w:widowControl w:val="0"/>
        <w:shd w:val="clear" w:color="auto" w:fill="auto"/>
        <w:bidi w:val="0"/>
        <w:spacing w:before="0" w:after="120" w:line="29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公司报告期不存在按照国际会计准则与按照中国会计准则披露的财务报告中净利润和</w:t>
      </w:r>
    </w:p>
    <w:p>
      <w:pPr>
        <w:pStyle w:val="Style1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净资产差异情况。</w:t>
      </w:r>
    </w:p>
    <w:p>
      <w:pPr>
        <w:pStyle w:val="Style37"/>
        <w:keepNext/>
        <w:keepLines/>
        <w:widowControl w:val="0"/>
        <w:shd w:val="clear" w:color="auto" w:fill="auto"/>
        <w:tabs>
          <w:tab w:pos="413" w:val="left"/>
        </w:tabs>
        <w:bidi w:val="0"/>
        <w:spacing w:before="0" w:after="420" w:line="312" w:lineRule="exact"/>
        <w:ind w:left="0" w:right="0" w:firstLine="0"/>
        <w:jc w:val="left"/>
      </w:pPr>
      <w:bookmarkStart w:id="32" w:name="bookmark32"/>
      <w:bookmarkStart w:id="33" w:name="bookmark33"/>
      <w:bookmarkStart w:id="34" w:name="bookmark34"/>
      <w:bookmarkStart w:id="35" w:name="bookmark35"/>
      <w:r>
        <w:rPr>
          <w:rFonts w:ascii="Times New Roman" w:eastAsia="Times New Roman" w:hAnsi="Times New Roman" w:cs="Times New Roman"/>
          <w:color w:val="000000"/>
          <w:spacing w:val="0"/>
          <w:w w:val="100"/>
          <w:position w:val="0"/>
        </w:rPr>
        <w:t>2</w:t>
      </w:r>
      <w:bookmarkEnd w:id="34"/>
      <w:r>
        <w:rPr>
          <w:color w:val="000000"/>
          <w:spacing w:val="0"/>
          <w:w w:val="100"/>
          <w:position w:val="0"/>
        </w:rPr>
        <w:t>、</w:t>
        <w:tab/>
        <w:t>同时按照境外会计准则与按照中国会计准则披露的财务报告中净利润和净资产差异 情况</w:t>
      </w:r>
      <w:bookmarkEnd w:id="32"/>
      <w:bookmarkEnd w:id="33"/>
      <w:bookmarkEnd w:id="35"/>
    </w:p>
    <w:p>
      <w:pPr>
        <w:pStyle w:val="Style13"/>
        <w:keepNext w:val="0"/>
        <w:keepLines w:val="0"/>
        <w:widowControl w:val="0"/>
        <w:shd w:val="clear" w:color="auto" w:fill="auto"/>
        <w:bidi w:val="0"/>
        <w:spacing w:before="0" w:after="120" w:line="29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公司报告期不存在按照境外会计准则与按照中国会计准则披露的财务报告中净利润和</w:t>
      </w:r>
    </w:p>
    <w:p>
      <w:pPr>
        <w:pStyle w:val="Style1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净资产差异情况。</w:t>
      </w:r>
    </w:p>
    <w:p>
      <w:pPr>
        <w:pStyle w:val="Style37"/>
        <w:keepNext/>
        <w:keepLines/>
        <w:widowControl w:val="0"/>
        <w:shd w:val="clear" w:color="auto" w:fill="auto"/>
        <w:tabs>
          <w:tab w:pos="413" w:val="left"/>
        </w:tabs>
        <w:bidi w:val="0"/>
        <w:spacing w:before="0" w:after="420" w:line="314" w:lineRule="exact"/>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3</w:t>
      </w:r>
      <w:bookmarkEnd w:id="38"/>
      <w:r>
        <w:rPr>
          <w:color w:val="000000"/>
          <w:spacing w:val="0"/>
          <w:w w:val="100"/>
          <w:position w:val="0"/>
        </w:rPr>
        <w:t>、</w:t>
        <w:tab/>
        <w:t>境内外会计准则下会计数据差异原因说明</w:t>
      </w:r>
      <w:bookmarkEnd w:id="36"/>
      <w:bookmarkEnd w:id="37"/>
      <w:bookmarkEnd w:id="39"/>
    </w:p>
    <w:p>
      <w:pPr>
        <w:pStyle w:val="Style13"/>
        <w:keepNext w:val="0"/>
        <w:keepLines w:val="0"/>
        <w:widowControl w:val="0"/>
        <w:shd w:val="clear" w:color="auto" w:fill="auto"/>
        <w:bidi w:val="0"/>
        <w:spacing w:before="0" w:after="300" w:line="29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tabs>
          <w:tab w:pos="526" w:val="left"/>
        </w:tabs>
        <w:bidi w:val="0"/>
        <w:spacing w:before="0"/>
        <w:ind w:left="0" w:right="0" w:firstLine="0"/>
        <w:jc w:val="left"/>
      </w:pPr>
      <w:bookmarkStart w:id="40" w:name="bookmark40"/>
      <w:bookmarkStart w:id="41" w:name="bookmark41"/>
      <w:bookmarkStart w:id="42" w:name="bookmark42"/>
      <w:bookmarkStart w:id="43" w:name="bookmark43"/>
      <w:r>
        <w:rPr>
          <w:color w:val="000000"/>
          <w:spacing w:val="0"/>
          <w:w w:val="100"/>
          <w:position w:val="0"/>
        </w:rPr>
        <w:t>八</w:t>
      </w:r>
      <w:bookmarkEnd w:id="42"/>
      <w:r>
        <w:rPr>
          <w:color w:val="000000"/>
          <w:spacing w:val="0"/>
          <w:w w:val="100"/>
          <w:position w:val="0"/>
        </w:rPr>
        <w:t>、</w:t>
        <w:tab/>
        <w:t>非经常性损益项目及金额</w:t>
      </w:r>
      <w:bookmarkEnd w:id="40"/>
      <w:bookmarkEnd w:id="41"/>
      <w:bookmarkEnd w:id="43"/>
    </w:p>
    <w:p>
      <w:pPr>
        <w:pStyle w:val="Style13"/>
        <w:keepNext w:val="0"/>
        <w:keepLines w:val="0"/>
        <w:widowControl w:val="0"/>
        <w:shd w:val="clear" w:color="auto" w:fill="auto"/>
        <w:bidi w:val="0"/>
        <w:spacing w:before="0" w:after="180" w:line="31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7776" w:right="0" w:firstLine="0"/>
        <w:jc w:val="lef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非流动资产处置损益（包括已计提 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63,170.04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-309,292.61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-388,545.85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计入当期损益的政府补助（与公司 正常经营业务密切相关，符合国家 政策规定、按照一定标准定额或定 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23,534,209.89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24,382,081.67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37,157,695.95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155,312.04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1,507,360.78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计入当期损益的对非金融企业收 取的资金占用费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496,109.38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2,305,333.30</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除同公司正常经营业务相关的有 效套期保值业务外，持有交易性金 融资产、交易性金融负债产生的公 允价值变动损益，以及处置交易性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83,670,526.27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15,381,571.48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-79,448,729.16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主要是思齐资本 公允价值变动收 益。</w:t>
            </w:r>
          </w:p>
        </w:tc>
      </w:tr>
    </w:tbl>
    <w:p>
      <w:pPr>
        <w:spacing w:lineRule="exact" w:line="1"/>
        <w:rPr>
          <w:sz w:val="2"/>
          <w:szCs w:val="2"/>
        </w:rPr>
      </w:pPr>
      <w:r>
        <w:br w:type="page"/>
      </w:r>
    </w:p>
    <w:p>
      <w:pPr>
        <w:pStyle w:val="Style40"/>
        <w:keepNext/>
        <w:keepLines/>
        <w:widowControl w:val="0"/>
        <w:shd w:val="clear" w:color="auto" w:fill="auto"/>
        <w:bidi w:val="0"/>
        <w:spacing w:before="0" w:after="0" w:line="240" w:lineRule="auto"/>
        <w:ind w:left="0" w:right="0" w:firstLine="0"/>
        <w:jc w:val="left"/>
      </w:pPr>
      <w:bookmarkStart w:id="44" w:name="bookmark44"/>
      <w:bookmarkStart w:id="45" w:name="bookmark45"/>
      <w:bookmarkStart w:id="46" w:name="bookmark46"/>
      <w:r>
        <w:rPr>
          <w:spacing w:val="0"/>
          <w:w w:val="100"/>
          <w:position w:val="0"/>
        </w:rPr>
        <w:t>Nation 0</w:t>
      </w:r>
      <w:bookmarkEnd w:id="44"/>
      <w:bookmarkEnd w:id="45"/>
      <w:bookmarkEnd w:id="46"/>
    </w:p>
    <w:p>
      <w:pPr>
        <w:pStyle w:val="Style5"/>
        <w:keepNext w:val="0"/>
        <w:keepLines w:val="0"/>
        <w:widowControl w:val="0"/>
        <w:shd w:val="clear" w:color="auto" w:fill="auto"/>
        <w:bidi w:val="0"/>
        <w:spacing w:before="0" w:after="420" w:line="240" w:lineRule="auto"/>
        <w:ind w:left="0" w:right="0" w:firstLine="640"/>
        <w:jc w:val="left"/>
      </w:pPr>
      <w:r>
        <w:rPr>
          <w:color w:val="000000"/>
          <w:spacing w:val="0"/>
          <w:w w:val="100"/>
          <w:position w:val="0"/>
        </w:rPr>
        <w:t>国民技木</w:t>
      </w:r>
      <w:r>
        <w:rPr>
          <w:color w:val="000000"/>
          <w:spacing w:val="0"/>
          <w:w w:val="100"/>
          <w:position w:val="0"/>
        </w:rPr>
        <w:t>▼</w:t>
      </w:r>
    </w:p>
    <w:tbl>
      <w:tblPr>
        <w:tblOverlap w:val="never"/>
        <w:jc w:val="center"/>
        <w:tblLayout w:type="fixed"/>
      </w:tblPr>
      <w:tblGrid>
        <w:gridCol w:w="3298"/>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金融资产交易性金融负债和可供 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处置划分为持有待售的长期股权 投资投资收益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69,074,708.63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华夏芯股权转让 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单独进行减值测试的应收款项减</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27,286,427.70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64,806,247.87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59,662,075.28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采用公允价值模式进行后续计量 的投资性房地产公允价值变动产 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-6,070,349.00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-2,632,342.00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-622,073.00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1,342,025.68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1,973,874.44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471,950.28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74,647,410.84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除上述各项之外的其他营业外收 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3,085,380.58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-523,796.33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-2,449,342.92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其他符合非经常性损益定义的损</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693,900,891.81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30,129,689.88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6,757,091.59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361,841.24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19,298,605.44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12,032,390.21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172,617,940.37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157,980,857.14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693,301,698.05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1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常性损益项目界定为经常性损益项目的情况说明</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66"/>
        <w:gridCol w:w="2126"/>
        <w:gridCol w:w="5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软件产品增值税实际税 负超过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的部分即征 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13,101,715.00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与公司正常经营业务密切相关，符合国家政策规定、 按照一定标准定额或定量持续享受的政府补助</w:t>
            </w:r>
          </w:p>
        </w:tc>
      </w:tr>
    </w:tbl>
    <w:p>
      <w:pPr>
        <w:sectPr>
          <w:footnotePr>
            <w:pos w:val="pageBottom"/>
            <w:numFmt w:val="decimal"/>
            <w:numRestart w:val="continuous"/>
          </w:footnotePr>
          <w:pgSz w:w="11900" w:h="16840"/>
          <w:pgMar w:top="1132" w:right="844" w:bottom="1472" w:left="1360" w:header="0" w:footer="3" w:gutter="0"/>
          <w:cols w:space="720"/>
          <w:noEndnote/>
          <w:rtlGutter w:val="0"/>
          <w:docGrid w:linePitch="360"/>
        </w:sectPr>
      </w:pPr>
    </w:p>
    <w:p>
      <w:pPr>
        <w:pStyle w:val="Style17"/>
        <w:keepNext/>
        <w:keepLines/>
        <w:widowControl w:val="0"/>
        <w:shd w:val="clear" w:color="auto" w:fill="auto"/>
        <w:bidi w:val="0"/>
        <w:spacing w:before="0" w:line="240" w:lineRule="auto"/>
        <w:ind w:left="0" w:right="0" w:firstLine="0"/>
        <w:jc w:val="center"/>
      </w:pPr>
      <w:bookmarkStart w:id="47" w:name="bookmark47"/>
      <w:bookmarkStart w:id="48" w:name="bookmark48"/>
      <w:bookmarkStart w:id="49" w:name="bookmark49"/>
      <w:r>
        <w:rPr>
          <w:color w:val="000000"/>
          <w:spacing w:val="0"/>
          <w:w w:val="100"/>
          <w:position w:val="0"/>
        </w:rPr>
        <w:t>第三节管理层讨论与分析</w:t>
      </w:r>
      <w:bookmarkEnd w:id="47"/>
      <w:bookmarkEnd w:id="48"/>
      <w:bookmarkEnd w:id="49"/>
    </w:p>
    <w:p>
      <w:pPr>
        <w:pStyle w:val="Style33"/>
        <w:keepNext/>
        <w:keepLines/>
        <w:widowControl w:val="0"/>
        <w:shd w:val="clear" w:color="auto" w:fill="auto"/>
        <w:bidi w:val="0"/>
        <w:spacing w:before="0" w:after="200" w:line="466" w:lineRule="exact"/>
        <w:ind w:left="0" w:right="0" w:firstLine="0"/>
        <w:jc w:val="both"/>
      </w:pPr>
      <w:bookmarkStart w:id="50" w:name="bookmark50"/>
      <w:bookmarkStart w:id="51" w:name="bookmark51"/>
      <w:bookmarkStart w:id="52" w:name="bookmark52"/>
      <w:bookmarkStart w:id="53" w:name="bookmark53"/>
      <w:r>
        <w:rPr>
          <w:color w:val="000000"/>
          <w:spacing w:val="0"/>
          <w:w w:val="100"/>
          <w:position w:val="0"/>
        </w:rPr>
        <w:t>一</w:t>
      </w:r>
      <w:bookmarkEnd w:id="52"/>
      <w:r>
        <w:rPr>
          <w:color w:val="000000"/>
          <w:spacing w:val="0"/>
          <w:w w:val="100"/>
          <w:position w:val="0"/>
        </w:rPr>
        <w:t>、报告期内公司所处行业情况</w:t>
      </w:r>
      <w:bookmarkEnd w:id="50"/>
      <w:bookmarkEnd w:id="51"/>
      <w:bookmarkEnd w:id="53"/>
    </w:p>
    <w:p>
      <w:pPr>
        <w:pStyle w:val="Style1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报告期内公司从事的主要业务涵盖两大领域：集成电路领域及新能源负极材料领域。</w:t>
      </w:r>
    </w:p>
    <w:p>
      <w:pPr>
        <w:pStyle w:val="Style37"/>
        <w:keepNext/>
        <w:keepLines/>
        <w:widowControl w:val="0"/>
        <w:shd w:val="clear" w:color="auto" w:fill="auto"/>
        <w:bidi w:val="0"/>
        <w:spacing w:before="0" w:after="200" w:line="466" w:lineRule="exact"/>
        <w:ind w:left="0" w:right="0"/>
        <w:jc w:val="both"/>
      </w:pPr>
      <w:bookmarkStart w:id="54" w:name="bookmark54"/>
      <w:bookmarkStart w:id="55" w:name="bookmark55"/>
      <w:bookmarkStart w:id="56" w:name="bookmark56"/>
      <w:bookmarkStart w:id="57" w:name="bookmark57"/>
      <w:r>
        <w:rPr>
          <w:color w:val="000000"/>
          <w:spacing w:val="0"/>
          <w:w w:val="100"/>
          <w:position w:val="0"/>
        </w:rPr>
        <w:t>（</w:t>
      </w:r>
      <w:bookmarkEnd w:id="56"/>
      <w:r>
        <w:rPr>
          <w:color w:val="000000"/>
          <w:spacing w:val="0"/>
          <w:w w:val="100"/>
          <w:position w:val="0"/>
        </w:rPr>
        <w:t>一）集成电路领域行业情况</w:t>
      </w:r>
      <w:bookmarkEnd w:id="54"/>
      <w:bookmarkEnd w:id="55"/>
      <w:bookmarkEnd w:id="57"/>
    </w:p>
    <w:p>
      <w:pPr>
        <w:pStyle w:val="Style13"/>
        <w:keepNext w:val="0"/>
        <w:keepLines w:val="0"/>
        <w:widowControl w:val="0"/>
        <w:shd w:val="clear" w:color="auto" w:fill="auto"/>
        <w:bidi w:val="0"/>
        <w:spacing w:before="0" w:after="0" w:line="444" w:lineRule="auto"/>
        <w:ind w:left="0" w:right="0" w:firstLine="460"/>
        <w:jc w:val="both"/>
      </w:pPr>
      <w:bookmarkStart w:id="58" w:name="bookmark58"/>
      <w:r>
        <w:rPr>
          <w:rFonts w:ascii="Times New Roman" w:eastAsia="Times New Roman" w:hAnsi="Times New Roman" w:cs="Times New Roman"/>
          <w:color w:val="000000"/>
          <w:spacing w:val="0"/>
          <w:w w:val="100"/>
          <w:position w:val="0"/>
        </w:rPr>
        <w:t>1</w:t>
      </w:r>
      <w:bookmarkEnd w:id="58"/>
      <w:r>
        <w:rPr>
          <w:color w:val="000000"/>
          <w:spacing w:val="0"/>
          <w:w w:val="100"/>
          <w:position w:val="0"/>
        </w:rPr>
        <w:t>、行业整体发展情况</w:t>
      </w:r>
    </w:p>
    <w:p>
      <w:pPr>
        <w:pStyle w:val="Style1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近年来，随着国际贸易形势的变化，国产半导体产业链的快速发展，促进了国产半导体器件 厂商获得快速成长机遇期。与此同时，得益于集成电路应用领域的拓展和国内市场需求的不断扩 大，人们对智能化、集成化、低能耗的需求不断催生新的电子产品及功能应用，国内集成电路设 计企业获得更多市场机会。国内集成电路设计企业具备本地化服务优势，紧贴国内市场、快速响 应客户需求、提供系统解决方案，品牌认可度及市场影响力不断提升，进而使得整个中国集成电 路设计行业呈现出快速增长的态势。</w:t>
      </w:r>
    </w:p>
    <w:p>
      <w:pPr>
        <w:pStyle w:val="Style13"/>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根据中国半导体行业协会发布的数据，我国集成电路产业的销售收入从</w:t>
      </w:r>
      <w:r>
        <w:rPr>
          <w:rFonts w:ascii="Times New Roman" w:eastAsia="Times New Roman" w:hAnsi="Times New Roman" w:cs="Times New Roman"/>
          <w:color w:val="000000"/>
          <w:spacing w:val="0"/>
          <w:w w:val="100"/>
          <w:position w:val="0"/>
        </w:rPr>
        <w:t>2010</w:t>
      </w:r>
      <w:r>
        <w:rPr>
          <w:color w:val="000000"/>
          <w:spacing w:val="0"/>
          <w:w w:val="100"/>
          <w:position w:val="0"/>
        </w:rPr>
        <w:t>年的</w:t>
      </w:r>
      <w:r>
        <w:rPr>
          <w:rFonts w:ascii="Times New Roman" w:eastAsia="Times New Roman" w:hAnsi="Times New Roman" w:cs="Times New Roman"/>
          <w:color w:val="000000"/>
          <w:spacing w:val="0"/>
          <w:w w:val="100"/>
          <w:position w:val="0"/>
        </w:rPr>
        <w:t>1,440</w:t>
      </w:r>
      <w:r>
        <w:rPr>
          <w:color w:val="000000"/>
          <w:spacing w:val="0"/>
          <w:w w:val="100"/>
          <w:position w:val="0"/>
        </w:rPr>
        <w:t>亿元增 长至</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8,848</w:t>
      </w:r>
      <w:r>
        <w:rPr>
          <w:color w:val="000000"/>
          <w:spacing w:val="0"/>
          <w:w w:val="100"/>
          <w:position w:val="0"/>
        </w:rPr>
        <w:t>亿元，年均复合增长率为</w:t>
      </w:r>
      <w:r>
        <w:rPr>
          <w:rFonts w:ascii="Times New Roman" w:eastAsia="Times New Roman" w:hAnsi="Times New Roman" w:cs="Times New Roman"/>
          <w:color w:val="000000"/>
          <w:spacing w:val="0"/>
          <w:w w:val="100"/>
          <w:position w:val="0"/>
        </w:rPr>
        <w:t>19.91%</w:t>
      </w:r>
      <w:r>
        <w:rPr>
          <w:color w:val="000000"/>
          <w:spacing w:val="0"/>
          <w:w w:val="100"/>
          <w:position w:val="0"/>
        </w:rPr>
        <w:t>。其中，集成电路设计业销售收入从</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年的 </w:t>
      </w:r>
      <w:r>
        <w:rPr>
          <w:rFonts w:ascii="Times New Roman" w:eastAsia="Times New Roman" w:hAnsi="Times New Roman" w:cs="Times New Roman"/>
          <w:color w:val="000000"/>
          <w:spacing w:val="0"/>
          <w:w w:val="100"/>
          <w:position w:val="0"/>
        </w:rPr>
        <w:t>363.9</w:t>
      </w:r>
      <w:r>
        <w:rPr>
          <w:color w:val="000000"/>
          <w:spacing w:val="0"/>
          <w:w w:val="100"/>
          <w:position w:val="0"/>
        </w:rPr>
        <w:t>亿元增长到</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3,778.4</w:t>
      </w:r>
      <w:r>
        <w:rPr>
          <w:color w:val="000000"/>
          <w:spacing w:val="0"/>
          <w:w w:val="100"/>
          <w:position w:val="0"/>
        </w:rPr>
        <w:t>亿元，年均复合增长率达</w:t>
      </w:r>
      <w:r>
        <w:rPr>
          <w:rFonts w:ascii="Times New Roman" w:eastAsia="Times New Roman" w:hAnsi="Times New Roman" w:cs="Times New Roman"/>
          <w:color w:val="000000"/>
          <w:spacing w:val="0"/>
          <w:w w:val="100"/>
          <w:position w:val="0"/>
        </w:rPr>
        <w:t>26.36%</w:t>
      </w:r>
      <w:r>
        <w:rPr>
          <w:color w:val="000000"/>
          <w:spacing w:val="0"/>
          <w:w w:val="100"/>
          <w:position w:val="0"/>
        </w:rPr>
        <w:t>，高于集成电路行业整体销售增 长率，并保持稳定的增长。</w:t>
      </w:r>
    </w:p>
    <w:p>
      <w:pPr>
        <w:widowControl w:val="0"/>
        <w:spacing w:line="1" w:lineRule="exact"/>
        <w:sectPr>
          <w:footnotePr>
            <w:pos w:val="pageBottom"/>
            <w:numFmt w:val="decimal"/>
            <w:numRestart w:val="continuous"/>
          </w:footnotePr>
          <w:pgSz w:w="11900" w:h="16840"/>
          <w:pgMar w:top="1921" w:right="1109" w:bottom="1734" w:left="1109" w:header="0" w:footer="3" w:gutter="0"/>
          <w:cols w:space="720"/>
          <w:noEndnote/>
          <w:rtlGutter w:val="0"/>
          <w:docGrid w:linePitch="360"/>
        </w:sectPr>
      </w:pPr>
      <w:r>
        <w:drawing>
          <wp:anchor distT="182880" distB="795655" distL="0" distR="0" simplePos="0" relativeHeight="125829378" behindDoc="0" locked="0" layoutInCell="1" allowOverlap="1">
            <wp:simplePos x="0" y="0"/>
            <wp:positionH relativeFrom="page">
              <wp:posOffset>692150</wp:posOffset>
            </wp:positionH>
            <wp:positionV relativeFrom="paragraph">
              <wp:posOffset>182880</wp:posOffset>
            </wp:positionV>
            <wp:extent cx="481330" cy="216408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81330" cy="2164080"/>
                    </a:xfrm>
                    <a:prstGeom prst="rect"/>
                  </pic:spPr>
                </pic:pic>
              </a:graphicData>
            </a:graphic>
          </wp:anchor>
        </w:drawing>
      </w:r>
      <w:r>
        <w:drawing>
          <wp:anchor distT="433070" distB="438785" distL="0" distR="0" simplePos="0" relativeHeight="125829379" behindDoc="0" locked="0" layoutInCell="1" allowOverlap="1">
            <wp:simplePos x="0" y="0"/>
            <wp:positionH relativeFrom="page">
              <wp:posOffset>1252855</wp:posOffset>
            </wp:positionH>
            <wp:positionV relativeFrom="paragraph">
              <wp:posOffset>433070</wp:posOffset>
            </wp:positionV>
            <wp:extent cx="5370830" cy="227393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5370830" cy="22739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2051685</wp:posOffset>
                </wp:positionH>
                <wp:positionV relativeFrom="paragraph">
                  <wp:posOffset>152400</wp:posOffset>
                </wp:positionV>
                <wp:extent cx="3191510" cy="170815"/>
                <wp:wrapNone/>
                <wp:docPr id="5" name="Shape 5"/>
                <a:graphic xmlns:a="http://schemas.openxmlformats.org/drawingml/2006/main">
                  <a:graphicData uri="http://schemas.microsoft.com/office/word/2010/wordprocessingShape">
                    <wps:wsp>
                      <wps:cNvSpPr txBox="1"/>
                      <wps:spPr>
                        <a:xfrm>
                          <a:ext cx="3191510" cy="17081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666666"/>
                                <w:spacing w:val="0"/>
                                <w:w w:val="100"/>
                                <w:position w:val="0"/>
                                <w:sz w:val="20"/>
                                <w:szCs w:val="20"/>
                              </w:rPr>
                              <w:t>2010</w:t>
                            </w:r>
                            <w:r>
                              <w:rPr>
                                <w:b/>
                                <w:bCs/>
                                <w:color w:val="666666"/>
                                <w:spacing w:val="0"/>
                                <w:w w:val="100"/>
                                <w:position w:val="0"/>
                                <w:sz w:val="20"/>
                                <w:szCs w:val="20"/>
                              </w:rPr>
                              <w:t>年</w:t>
                            </w:r>
                            <w:r>
                              <w:rPr>
                                <w:rFonts w:ascii="Times New Roman" w:eastAsia="Times New Roman" w:hAnsi="Times New Roman" w:cs="Times New Roman"/>
                                <w:b/>
                                <w:bCs/>
                                <w:color w:val="666666"/>
                                <w:spacing w:val="0"/>
                                <w:w w:val="100"/>
                                <w:position w:val="0"/>
                                <w:sz w:val="20"/>
                                <w:szCs w:val="20"/>
                              </w:rPr>
                              <w:t>-2020</w:t>
                            </w:r>
                            <w:r>
                              <w:rPr>
                                <w:b/>
                                <w:bCs/>
                                <w:color w:val="666666"/>
                                <w:spacing w:val="0"/>
                                <w:w w:val="100"/>
                                <w:position w:val="0"/>
                                <w:sz w:val="20"/>
                                <w:szCs w:val="20"/>
                              </w:rPr>
                              <w:t>年中国集成电路设计行业销售额及增长情况</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61.55000000000001pt;margin-top:12.pt;width:251.30000000000001pt;height:13.450000000000001pt;z-index:251657729;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666666"/>
                          <w:spacing w:val="0"/>
                          <w:w w:val="100"/>
                          <w:position w:val="0"/>
                          <w:sz w:val="20"/>
                          <w:szCs w:val="20"/>
                        </w:rPr>
                        <w:t>2010</w:t>
                      </w:r>
                      <w:r>
                        <w:rPr>
                          <w:b/>
                          <w:bCs/>
                          <w:color w:val="666666"/>
                          <w:spacing w:val="0"/>
                          <w:w w:val="100"/>
                          <w:position w:val="0"/>
                          <w:sz w:val="20"/>
                          <w:szCs w:val="20"/>
                        </w:rPr>
                        <w:t>年</w:t>
                      </w:r>
                      <w:r>
                        <w:rPr>
                          <w:rFonts w:ascii="Times New Roman" w:eastAsia="Times New Roman" w:hAnsi="Times New Roman" w:cs="Times New Roman"/>
                          <w:b/>
                          <w:bCs/>
                          <w:color w:val="666666"/>
                          <w:spacing w:val="0"/>
                          <w:w w:val="100"/>
                          <w:position w:val="0"/>
                          <w:sz w:val="20"/>
                          <w:szCs w:val="20"/>
                        </w:rPr>
                        <w:t>-2020</w:t>
                      </w:r>
                      <w:r>
                        <w:rPr>
                          <w:b/>
                          <w:bCs/>
                          <w:color w:val="666666"/>
                          <w:spacing w:val="0"/>
                          <w:w w:val="100"/>
                          <w:position w:val="0"/>
                          <w:sz w:val="20"/>
                          <w:szCs w:val="20"/>
                        </w:rPr>
                        <w:t>年中国集成电路设计行业销售额及增长情况</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2889885</wp:posOffset>
                </wp:positionH>
                <wp:positionV relativeFrom="paragraph">
                  <wp:posOffset>2969260</wp:posOffset>
                </wp:positionV>
                <wp:extent cx="2069465" cy="173990"/>
                <wp:wrapNone/>
                <wp:docPr id="7" name="Shape 7"/>
                <a:graphic xmlns:a="http://schemas.openxmlformats.org/drawingml/2006/main">
                  <a:graphicData uri="http://schemas.microsoft.com/office/word/2010/wordprocessingShape">
                    <wps:wsp>
                      <wps:cNvSpPr txBox="1"/>
                      <wps:spPr>
                        <a:xfrm>
                          <a:ext cx="2069465" cy="1739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数据来源：中国半导体行业协会</w:t>
                            </w:r>
                          </w:p>
                        </w:txbxContent>
                      </wps:txbx>
                      <wps:bodyPr lIns="0" tIns="0" rIns="0" bIns="0">
                        <a:noAutoFit/>
                      </wps:bodyPr>
                    </wps:wsp>
                  </a:graphicData>
                </a:graphic>
              </wp:anchor>
            </w:drawing>
          </mc:Choice>
          <mc:Fallback>
            <w:pict>
              <v:shape id="_x0000_s1033" type="#_x0000_t202" style="position:absolute;margin-left:227.55000000000001pt;margin-top:233.80000000000001pt;width:162.95000000000002pt;height:13.700000000000001pt;z-index:251657731;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数据来源：中国半导体行业协会</w:t>
                      </w:r>
                    </w:p>
                  </w:txbxContent>
                </v:textbox>
                <w10:wrap anchorx="page"/>
              </v:shape>
            </w:pict>
          </mc:Fallback>
        </mc:AlternateContent>
      </w:r>
    </w:p>
    <w:p>
      <w:pPr>
        <w:widowControl w:val="0"/>
        <w:spacing w:line="67" w:lineRule="exact"/>
        <w:rPr>
          <w:sz w:val="5"/>
          <w:szCs w:val="5"/>
        </w:rPr>
      </w:pPr>
    </w:p>
    <w:p>
      <w:pPr>
        <w:widowControl w:val="0"/>
        <w:spacing w:line="1" w:lineRule="exact"/>
        <w:sectPr>
          <w:footnotePr>
            <w:pos w:val="pageBottom"/>
            <w:numFmt w:val="decimal"/>
            <w:numRestart w:val="continuous"/>
          </w:footnotePr>
          <w:type w:val="continuous"/>
          <w:pgSz w:w="11900" w:h="16840"/>
          <w:pgMar w:top="1921" w:right="0" w:bottom="1734" w:left="0" w:header="0" w:footer="3" w:gutter="0"/>
          <w:cols w:space="720"/>
          <w:noEndnote/>
          <w:rtlGutter w:val="0"/>
          <w:docGrid w:linePitch="360"/>
        </w:sectPr>
      </w:pPr>
    </w:p>
    <w:p>
      <w:pPr>
        <w:pStyle w:val="Style13"/>
        <w:keepNext w:val="0"/>
        <w:keepLines w:val="0"/>
        <w:widowControl w:val="0"/>
        <w:shd w:val="clear" w:color="auto" w:fill="auto"/>
        <w:bidi w:val="0"/>
        <w:spacing w:before="0" w:after="0" w:line="240" w:lineRule="auto"/>
        <w:ind w:left="0" w:right="0" w:firstLine="480"/>
        <w:jc w:val="left"/>
        <w:sectPr>
          <w:footnotePr>
            <w:pos w:val="pageBottom"/>
            <w:numFmt w:val="decimal"/>
            <w:numRestart w:val="continuous"/>
          </w:footnotePr>
          <w:type w:val="continuous"/>
          <w:pgSz w:w="11900" w:h="16840"/>
          <w:pgMar w:top="1921" w:right="1109" w:bottom="1734" w:left="1109" w:header="0" w:footer="3" w:gutter="0"/>
          <w:cols w:space="720"/>
          <w:noEndnote/>
          <w:rtlGutter w:val="0"/>
          <w:docGrid w:linePitch="360"/>
        </w:sectPr>
      </w:pPr>
      <w:bookmarkStart w:id="59" w:name="bookmark59"/>
      <w:r>
        <w:rPr>
          <w:rFonts w:ascii="Times New Roman" w:eastAsia="Times New Roman" w:hAnsi="Times New Roman" w:cs="Times New Roman"/>
          <w:color w:val="000000"/>
          <w:spacing w:val="0"/>
          <w:w w:val="100"/>
          <w:position w:val="0"/>
        </w:rPr>
        <w:t>2</w:t>
      </w:r>
      <w:bookmarkEnd w:id="59"/>
      <w:r>
        <w:rPr>
          <w:color w:val="000000"/>
          <w:spacing w:val="0"/>
          <w:w w:val="100"/>
          <w:position w:val="0"/>
        </w:rPr>
        <w:t>、行业政策情况以及影响</w:t>
      </w:r>
    </w:p>
    <w:p>
      <w:pPr>
        <w:pStyle w:val="Style13"/>
        <w:keepNext w:val="0"/>
        <w:keepLines w:val="0"/>
        <w:widowControl w:val="0"/>
        <w:shd w:val="clear" w:color="auto" w:fill="auto"/>
        <w:bidi w:val="0"/>
        <w:spacing w:before="0" w:after="0" w:line="470" w:lineRule="exact"/>
        <w:ind w:left="0" w:right="0" w:firstLine="460"/>
        <w:jc w:val="left"/>
      </w:pPr>
      <w:r>
        <w:rPr>
          <w:color w:val="000000"/>
          <w:spacing w:val="0"/>
          <w:w w:val="100"/>
          <w:position w:val="0"/>
        </w:rPr>
        <w:t>近年来，国家陆续推出多项政策鼓励和支持集成电路产业发展。</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月，国务院发布《关 于新时期促进集成电路产业和软件产业高质量发展的若干政策的通知》，推出了财税、投融资、 研发开发、进出口等八个方面政策措施，进一步优化集成电路产业的发展环境。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月，财 政部、税务总局、发展改革委、工业和信息化部发布《关于促进集成电路产业和软件产业高质量 发展企业所得税政策的公告》，国家鼓励的重点集成电路设计企业和软件企业，自获利年度起， 第一年至第五年免征企业所得税，后续年度减按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月，《中华 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年远景目标纲要》提出了，瞄准集成电 路等前沿领域，实施一批具有前瞻性、战略性的国家重大科技项目。</w:t>
      </w:r>
    </w:p>
    <w:p>
      <w:pPr>
        <w:pStyle w:val="Style13"/>
        <w:keepNext w:val="0"/>
        <w:keepLines w:val="0"/>
        <w:widowControl w:val="0"/>
        <w:shd w:val="clear" w:color="auto" w:fill="auto"/>
        <w:bidi w:val="0"/>
        <w:spacing w:before="0" w:after="0" w:line="470" w:lineRule="exact"/>
        <w:ind w:left="0" w:right="0" w:firstLine="460"/>
        <w:jc w:val="left"/>
      </w:pPr>
      <w:r>
        <w:rPr>
          <w:color w:val="000000"/>
          <w:spacing w:val="0"/>
          <w:w w:val="100"/>
          <w:position w:val="0"/>
        </w:rPr>
        <w:t>系列文件的出台对行业的健康发展提供了良好的制度和政策保障，为企业发展创造了良好的 经营环境。</w:t>
      </w:r>
    </w:p>
    <w:p>
      <w:pPr>
        <w:pStyle w:val="Style13"/>
        <w:keepNext w:val="0"/>
        <w:keepLines w:val="0"/>
        <w:widowControl w:val="0"/>
        <w:shd w:val="clear" w:color="auto" w:fill="auto"/>
        <w:bidi w:val="0"/>
        <w:spacing w:before="0" w:after="0" w:line="469" w:lineRule="exact"/>
        <w:ind w:left="0" w:right="0" w:firstLine="460"/>
        <w:jc w:val="left"/>
      </w:pPr>
      <w:bookmarkStart w:id="60" w:name="bookmark60"/>
      <w:r>
        <w:rPr>
          <w:rFonts w:ascii="Times New Roman" w:eastAsia="Times New Roman" w:hAnsi="Times New Roman" w:cs="Times New Roman"/>
          <w:color w:val="000000"/>
          <w:spacing w:val="0"/>
          <w:w w:val="100"/>
          <w:position w:val="0"/>
        </w:rPr>
        <w:t>3</w:t>
      </w:r>
      <w:bookmarkEnd w:id="60"/>
      <w:r>
        <w:rPr>
          <w:color w:val="000000"/>
          <w:spacing w:val="0"/>
          <w:w w:val="100"/>
          <w:position w:val="0"/>
        </w:rPr>
        <w:t>、产品细分领域主流技术水平及市场需求情况</w:t>
      </w:r>
    </w:p>
    <w:p>
      <w:pPr>
        <w:pStyle w:val="Style13"/>
        <w:keepNext w:val="0"/>
        <w:keepLines w:val="0"/>
        <w:widowControl w:val="0"/>
        <w:shd w:val="clear" w:color="auto" w:fill="auto"/>
        <w:bidi w:val="0"/>
        <w:spacing w:before="0" w:after="0" w:line="469" w:lineRule="exact"/>
        <w:ind w:left="0" w:right="0" w:firstLine="460"/>
        <w:jc w:val="left"/>
      </w:pPr>
      <w:r>
        <w:rPr>
          <w:color w:val="000000"/>
          <w:spacing w:val="0"/>
          <w:w w:val="100"/>
          <w:position w:val="0"/>
        </w:rPr>
        <w:t>总体看，在大宗产品市场需求与战略型技术研发投入的双向驱动下，中国集成电路设计企业 实力稳健提升，与国际领先技术水平差距逐步缩小。</w:t>
      </w:r>
    </w:p>
    <w:p>
      <w:pPr>
        <w:pStyle w:val="Style13"/>
        <w:keepNext w:val="0"/>
        <w:keepLines w:val="0"/>
        <w:widowControl w:val="0"/>
        <w:shd w:val="clear" w:color="auto" w:fill="auto"/>
        <w:bidi w:val="0"/>
        <w:spacing w:before="0" w:after="0" w:line="469" w:lineRule="exact"/>
        <w:ind w:left="0" w:right="0" w:firstLine="460"/>
        <w:jc w:val="left"/>
      </w:pPr>
      <w:r>
        <w:rPr>
          <w:color w:val="000000"/>
          <w:spacing w:val="0"/>
          <w:w w:val="100"/>
          <w:position w:val="0"/>
        </w:rPr>
        <w:t>从通用</w:t>
      </w:r>
      <w:r>
        <w:rPr>
          <w:rFonts w:ascii="Times New Roman" w:eastAsia="Times New Roman" w:hAnsi="Times New Roman" w:cs="Times New Roman"/>
          <w:color w:val="000000"/>
          <w:spacing w:val="0"/>
          <w:w w:val="100"/>
          <w:position w:val="0"/>
        </w:rPr>
        <w:t>MCU</w:t>
      </w:r>
      <w:r>
        <w:rPr>
          <w:color w:val="000000"/>
          <w:spacing w:val="0"/>
          <w:w w:val="100"/>
          <w:position w:val="0"/>
        </w:rPr>
        <w:t>行业发展来看，行业竞争格局和态势上，全球主要供应商仍然以国际厂商为主， 行业集中度较高，意法半导体、瑞萨、恩智浦、德州仪器等厂商占据主导地位，国内厂商市场占 有率不高且面临中高端市场长期被国际厂商占据的现状。随着消费类、工业类、车规类等海量市 场终端设备联网及智能化需求成为主流，物联网时代任务的复杂化使得对芯片性能要求快速提 升，对芯片处理能力要求越来越高，促使</w:t>
      </w:r>
      <w:r>
        <w:rPr>
          <w:rFonts w:ascii="Times New Roman" w:eastAsia="Times New Roman" w:hAnsi="Times New Roman" w:cs="Times New Roman"/>
          <w:color w:val="000000"/>
          <w:spacing w:val="0"/>
          <w:w w:val="100"/>
          <w:position w:val="0"/>
        </w:rPr>
        <w:t>MCU</w:t>
      </w:r>
      <w:r>
        <w:rPr>
          <w:color w:val="000000"/>
          <w:spacing w:val="0"/>
          <w:w w:val="100"/>
          <w:position w:val="0"/>
        </w:rPr>
        <w:t>从</w:t>
      </w:r>
      <w:r>
        <w:rPr>
          <w:rFonts w:ascii="Times New Roman" w:eastAsia="Times New Roman" w:hAnsi="Times New Roman" w:cs="Times New Roman"/>
          <w:color w:val="000000"/>
          <w:spacing w:val="0"/>
          <w:w w:val="100"/>
          <w:position w:val="0"/>
        </w:rPr>
        <w:t>8</w:t>
      </w:r>
      <w:r>
        <w:rPr>
          <w:color w:val="000000"/>
          <w:spacing w:val="0"/>
          <w:w w:val="100"/>
          <w:position w:val="0"/>
        </w:rPr>
        <w:t>位、</w:t>
      </w:r>
      <w:r>
        <w:rPr>
          <w:rFonts w:ascii="Times New Roman" w:eastAsia="Times New Roman" w:hAnsi="Times New Roman" w:cs="Times New Roman"/>
          <w:color w:val="000000"/>
          <w:spacing w:val="0"/>
          <w:w w:val="100"/>
          <w:position w:val="0"/>
        </w:rPr>
        <w:t>16</w:t>
      </w:r>
      <w:r>
        <w:rPr>
          <w:color w:val="000000"/>
          <w:spacing w:val="0"/>
          <w:w w:val="100"/>
          <w:position w:val="0"/>
        </w:rPr>
        <w:t>位向</w:t>
      </w:r>
      <w:r>
        <w:rPr>
          <w:rFonts w:ascii="Times New Roman" w:eastAsia="Times New Roman" w:hAnsi="Times New Roman" w:cs="Times New Roman"/>
          <w:color w:val="000000"/>
          <w:spacing w:val="0"/>
          <w:w w:val="100"/>
          <w:position w:val="0"/>
        </w:rPr>
        <w:t>32</w:t>
      </w:r>
      <w:r>
        <w:rPr>
          <w:color w:val="000000"/>
          <w:spacing w:val="0"/>
          <w:w w:val="100"/>
          <w:position w:val="0"/>
        </w:rPr>
        <w:t>位迈进，未来</w:t>
      </w:r>
      <w:r>
        <w:rPr>
          <w:rFonts w:ascii="Times New Roman" w:eastAsia="Times New Roman" w:hAnsi="Times New Roman" w:cs="Times New Roman"/>
          <w:color w:val="000000"/>
          <w:spacing w:val="0"/>
          <w:w w:val="100"/>
          <w:position w:val="0"/>
        </w:rPr>
        <w:t>32</w:t>
      </w:r>
      <w:r>
        <w:rPr>
          <w:color w:val="000000"/>
          <w:spacing w:val="0"/>
          <w:w w:val="100"/>
          <w:position w:val="0"/>
        </w:rPr>
        <w:t>位</w:t>
      </w:r>
      <w:r>
        <w:rPr>
          <w:rFonts w:ascii="Times New Roman" w:eastAsia="Times New Roman" w:hAnsi="Times New Roman" w:cs="Times New Roman"/>
          <w:color w:val="000000"/>
          <w:spacing w:val="0"/>
          <w:w w:val="100"/>
          <w:position w:val="0"/>
        </w:rPr>
        <w:t>MCU</w:t>
      </w:r>
      <w:r>
        <w:rPr>
          <w:color w:val="000000"/>
          <w:spacing w:val="0"/>
          <w:w w:val="100"/>
          <w:position w:val="0"/>
        </w:rPr>
        <w:t>占比将呈 不断上升趋势。市场需求方面，</w:t>
      </w:r>
      <w:r>
        <w:rPr>
          <w:rFonts w:ascii="Times New Roman" w:eastAsia="Times New Roman" w:hAnsi="Times New Roman" w:cs="Times New Roman"/>
          <w:color w:val="000000"/>
          <w:spacing w:val="0"/>
          <w:w w:val="100"/>
          <w:position w:val="0"/>
        </w:rPr>
        <w:t>MCU</w:t>
      </w:r>
      <w:r>
        <w:rPr>
          <w:color w:val="000000"/>
          <w:spacing w:val="0"/>
          <w:w w:val="100"/>
          <w:position w:val="0"/>
        </w:rPr>
        <w:t>芯片是电子系统中的基础控制芯片，在消费电子、工业控制、 汽车电子、医疗电子等领域得到广泛应用。随着各类新兴电子产品的推出和普及，消费电子、工 业控制及汽车电子等应用领域电动化、智能化、联网化程度的不断提升，将带动</w:t>
      </w:r>
      <w:r>
        <w:rPr>
          <w:rFonts w:ascii="Times New Roman" w:eastAsia="Times New Roman" w:hAnsi="Times New Roman" w:cs="Times New Roman"/>
          <w:color w:val="000000"/>
          <w:spacing w:val="0"/>
          <w:w w:val="100"/>
          <w:position w:val="0"/>
        </w:rPr>
        <w:t>MCU</w:t>
      </w:r>
      <w:r>
        <w:rPr>
          <w:color w:val="000000"/>
          <w:spacing w:val="0"/>
          <w:w w:val="100"/>
          <w:position w:val="0"/>
        </w:rPr>
        <w:t>芯片需求的 持续增长。</w:t>
      </w:r>
    </w:p>
    <w:p>
      <w:pPr>
        <w:pStyle w:val="Style13"/>
        <w:keepNext w:val="0"/>
        <w:keepLines w:val="0"/>
        <w:widowControl w:val="0"/>
        <w:shd w:val="clear" w:color="auto" w:fill="auto"/>
        <w:bidi w:val="0"/>
        <w:spacing w:before="0" w:after="460" w:line="469" w:lineRule="exact"/>
        <w:ind w:left="0" w:right="0" w:firstLine="460"/>
        <w:jc w:val="left"/>
      </w:pPr>
      <w:r>
        <w:rPr>
          <w:color w:val="000000"/>
          <w:spacing w:val="0"/>
          <w:w w:val="100"/>
          <w:position w:val="0"/>
        </w:rPr>
        <w:t>从信息安全领域发展来看，互联网、物联网和车联网的发展，带动了信息产业的发展，也带 动了信息安全需求的增长；身份认证、鉴权认证以及关键信息的安全保密性，成为网络节点设备、 终端设备信息安全防护的重要技术基础，承担了中国网络环境安全至关重要的作用。伴随《中华 人民共和国密码法》的出台颁布，标志着我国在促进密码事业发展，保障网络与信息安全方面的 重大进展，为包括民用和商用密码产品市场化研发、生产和应用提供了坚实的基础和保障。</w:t>
      </w:r>
    </w:p>
    <w:p>
      <w:pPr>
        <w:pStyle w:val="Style37"/>
        <w:keepNext/>
        <w:keepLines/>
        <w:widowControl w:val="0"/>
        <w:shd w:val="clear" w:color="auto" w:fill="auto"/>
        <w:bidi w:val="0"/>
        <w:spacing w:before="0" w:after="260" w:line="240" w:lineRule="auto"/>
        <w:ind w:left="0" w:right="0"/>
        <w:jc w:val="left"/>
      </w:pPr>
      <w:bookmarkStart w:id="61" w:name="bookmark61"/>
      <w:bookmarkStart w:id="62" w:name="bookmark62"/>
      <w:bookmarkStart w:id="63" w:name="bookmark63"/>
      <w:bookmarkStart w:id="64" w:name="bookmark64"/>
      <w:r>
        <w:rPr>
          <w:color w:val="000000"/>
          <w:spacing w:val="0"/>
          <w:w w:val="100"/>
          <w:position w:val="0"/>
        </w:rPr>
        <w:t>（</w:t>
      </w:r>
      <w:bookmarkEnd w:id="63"/>
      <w:r>
        <w:rPr>
          <w:color w:val="000000"/>
          <w:spacing w:val="0"/>
          <w:w w:val="100"/>
          <w:position w:val="0"/>
        </w:rPr>
        <w:t>二）新能源负极材料领域行业情况</w:t>
      </w:r>
      <w:bookmarkEnd w:id="61"/>
      <w:bookmarkEnd w:id="62"/>
      <w:bookmarkEnd w:id="64"/>
    </w:p>
    <w:p>
      <w:pPr>
        <w:pStyle w:val="Style13"/>
        <w:keepNext w:val="0"/>
        <w:keepLines w:val="0"/>
        <w:widowControl w:val="0"/>
        <w:shd w:val="clear" w:color="auto" w:fill="auto"/>
        <w:bidi w:val="0"/>
        <w:spacing w:before="0" w:after="360" w:line="240" w:lineRule="auto"/>
        <w:ind w:left="0" w:right="0" w:firstLine="460"/>
        <w:jc w:val="left"/>
      </w:pPr>
      <w:bookmarkStart w:id="65" w:name="bookmark65"/>
      <w:r>
        <w:rPr>
          <w:rFonts w:ascii="Times New Roman" w:eastAsia="Times New Roman" w:hAnsi="Times New Roman" w:cs="Times New Roman"/>
          <w:color w:val="000000"/>
          <w:spacing w:val="0"/>
          <w:w w:val="100"/>
          <w:position w:val="0"/>
        </w:rPr>
        <w:t>1</w:t>
      </w:r>
      <w:bookmarkEnd w:id="65"/>
      <w:r>
        <w:rPr>
          <w:color w:val="000000"/>
          <w:spacing w:val="0"/>
          <w:w w:val="100"/>
          <w:position w:val="0"/>
        </w:rPr>
        <w:t>、所处锂离子电池产业链的位置</w:t>
      </w:r>
    </w:p>
    <w:p>
      <w:pPr>
        <w:pStyle w:val="Style13"/>
        <w:keepNext w:val="0"/>
        <w:keepLines w:val="0"/>
        <w:widowControl w:val="0"/>
        <w:shd w:val="clear" w:color="auto" w:fill="auto"/>
        <w:bidi w:val="0"/>
        <w:spacing w:before="0" w:after="0" w:line="461" w:lineRule="exact"/>
        <w:ind w:left="0" w:right="0" w:firstLine="460"/>
        <w:jc w:val="left"/>
      </w:pPr>
      <w:r>
        <w:rPr>
          <w:color w:val="000000"/>
          <w:spacing w:val="0"/>
          <w:w w:val="100"/>
          <w:position w:val="0"/>
        </w:rPr>
        <w:t>公司新能源负极材料领域业务由控股子公司内蒙古斯诺承担，其主要从事锂电池负极材料研 发、生产和销售，以及石墨化加工服务。</w:t>
      </w:r>
    </w:p>
    <w:p>
      <w:pPr>
        <w:pStyle w:val="Style13"/>
        <w:keepNext w:val="0"/>
        <w:keepLines w:val="0"/>
        <w:widowControl w:val="0"/>
        <w:shd w:val="clear" w:color="auto" w:fill="auto"/>
        <w:bidi w:val="0"/>
        <w:spacing w:before="0" w:after="0" w:line="475" w:lineRule="exact"/>
        <w:ind w:left="0" w:right="0" w:firstLine="460"/>
        <w:jc w:val="left"/>
      </w:pPr>
      <w:r>
        <w:rPr>
          <w:color w:val="000000"/>
          <w:spacing w:val="0"/>
          <w:w w:val="100"/>
          <w:position w:val="0"/>
        </w:rPr>
        <w:t>锂离子电池负极材料上游行业主要为针状焦、石油焦、沥青焦等焦类原材料行业，直接下游 为锂离子电池行业，最终应用领域包括新能源汽车动力、消费电子及储能行业等。负极材料是锂 离子电池四大关键原材料（正极、负极、隔膜以及电解液）之一。</w:t>
      </w:r>
    </w:p>
    <w:p>
      <w:pPr>
        <w:pStyle w:val="Style13"/>
        <w:keepNext w:val="0"/>
        <w:keepLines w:val="0"/>
        <w:widowControl w:val="0"/>
        <w:shd w:val="clear" w:color="auto" w:fill="auto"/>
        <w:bidi w:val="0"/>
        <w:spacing w:before="0" w:after="0" w:line="469" w:lineRule="exact"/>
        <w:ind w:left="0" w:right="0" w:firstLine="460"/>
        <w:jc w:val="left"/>
      </w:pPr>
      <w:bookmarkStart w:id="66" w:name="bookmark66"/>
      <w:r>
        <w:rPr>
          <w:rFonts w:ascii="Times New Roman" w:eastAsia="Times New Roman" w:hAnsi="Times New Roman" w:cs="Times New Roman"/>
          <w:color w:val="000000"/>
          <w:spacing w:val="0"/>
          <w:w w:val="100"/>
          <w:position w:val="0"/>
        </w:rPr>
        <w:t>2</w:t>
      </w:r>
      <w:bookmarkEnd w:id="66"/>
      <w:r>
        <w:rPr>
          <w:color w:val="000000"/>
          <w:spacing w:val="0"/>
          <w:w w:val="100"/>
          <w:position w:val="0"/>
        </w:rPr>
        <w:t>、所处细分行业发展现状及未来发展趋势</w:t>
      </w:r>
    </w:p>
    <w:p>
      <w:pPr>
        <w:pStyle w:val="Style13"/>
        <w:keepNext w:val="0"/>
        <w:keepLines w:val="0"/>
        <w:widowControl w:val="0"/>
        <w:shd w:val="clear" w:color="auto" w:fill="auto"/>
        <w:bidi w:val="0"/>
        <w:spacing w:before="0" w:after="0" w:line="463" w:lineRule="exact"/>
        <w:ind w:left="0" w:right="0" w:firstLine="460"/>
        <w:jc w:val="left"/>
      </w:pPr>
      <w:r>
        <w:rPr>
          <w:color w:val="000000"/>
          <w:spacing w:val="0"/>
          <w:w w:val="100"/>
          <w:position w:val="0"/>
        </w:rPr>
        <w:t xml:space="preserve">根据应用场景的不同，锂离子电池主要可分为动力电池、消费电池及储能电池三大类。根据 </w:t>
      </w:r>
      <w:r>
        <w:rPr>
          <w:rFonts w:ascii="Times New Roman" w:eastAsia="Times New Roman" w:hAnsi="Times New Roman" w:cs="Times New Roman"/>
          <w:color w:val="000000"/>
          <w:spacing w:val="0"/>
          <w:w w:val="100"/>
          <w:position w:val="0"/>
        </w:rPr>
        <w:t xml:space="preserve">GGII </w:t>
      </w:r>
      <w:r>
        <w:rPr>
          <w:color w:val="000000"/>
          <w:spacing w:val="0"/>
          <w:w w:val="100"/>
          <w:position w:val="0"/>
        </w:rPr>
        <w:t>（高工锂电）数据，</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年我国锂离子电池出货量中动力电池和消费类电池出货量分别占比 </w:t>
      </w:r>
      <w:r>
        <w:rPr>
          <w:rFonts w:ascii="Times New Roman" w:eastAsia="Times New Roman" w:hAnsi="Times New Roman" w:cs="Times New Roman"/>
          <w:color w:val="000000"/>
          <w:spacing w:val="0"/>
          <w:w w:val="100"/>
          <w:position w:val="0"/>
        </w:rPr>
        <w:t>56.1%</w:t>
      </w:r>
      <w:r>
        <w:rPr>
          <w:color w:val="000000"/>
          <w:spacing w:val="0"/>
          <w:w w:val="100"/>
          <w:position w:val="0"/>
        </w:rPr>
        <w:t>和</w:t>
      </w:r>
      <w:r>
        <w:rPr>
          <w:rFonts w:ascii="Times New Roman" w:eastAsia="Times New Roman" w:hAnsi="Times New Roman" w:cs="Times New Roman"/>
          <w:color w:val="000000"/>
          <w:spacing w:val="0"/>
          <w:w w:val="100"/>
          <w:position w:val="0"/>
        </w:rPr>
        <w:t>32.5%</w:t>
      </w:r>
      <w:r>
        <w:rPr>
          <w:color w:val="000000"/>
          <w:spacing w:val="0"/>
          <w:w w:val="100"/>
          <w:position w:val="0"/>
        </w:rPr>
        <w:t>，合计约</w:t>
      </w:r>
      <w:r>
        <w:rPr>
          <w:rFonts w:ascii="Times New Roman" w:eastAsia="Times New Roman" w:hAnsi="Times New Roman" w:cs="Times New Roman"/>
          <w:color w:val="000000"/>
          <w:spacing w:val="0"/>
          <w:w w:val="100"/>
          <w:position w:val="0"/>
        </w:rPr>
        <w:t>88.6%</w:t>
      </w:r>
      <w:r>
        <w:rPr>
          <w:color w:val="000000"/>
          <w:spacing w:val="0"/>
          <w:w w:val="100"/>
          <w:position w:val="0"/>
        </w:rPr>
        <w:t>，为当前主要应用领域。</w:t>
      </w:r>
    </w:p>
    <w:p>
      <w:pPr>
        <w:pStyle w:val="Style13"/>
        <w:keepNext w:val="0"/>
        <w:keepLines w:val="0"/>
        <w:widowControl w:val="0"/>
        <w:shd w:val="clear" w:color="auto" w:fill="auto"/>
        <w:bidi w:val="0"/>
        <w:spacing w:before="0" w:after="0" w:line="471" w:lineRule="exact"/>
        <w:ind w:left="0" w:right="0" w:firstLine="4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月，国务院发布的《新能源汽车产业发展规划（</w:t>
      </w:r>
      <w:r>
        <w:rPr>
          <w:rFonts w:ascii="Times New Roman" w:eastAsia="Times New Roman" w:hAnsi="Times New Roman" w:cs="Times New Roman"/>
          <w:color w:val="000000"/>
          <w:spacing w:val="0"/>
          <w:w w:val="100"/>
          <w:position w:val="0"/>
        </w:rPr>
        <w:t>2021-2035</w:t>
      </w:r>
      <w:r>
        <w:rPr>
          <w:color w:val="000000"/>
          <w:spacing w:val="0"/>
          <w:w w:val="100"/>
          <w:position w:val="0"/>
        </w:rPr>
        <w:t>）》中指出，到</w:t>
      </w:r>
      <w:r>
        <w:rPr>
          <w:rFonts w:ascii="Times New Roman" w:eastAsia="Times New Roman" w:hAnsi="Times New Roman" w:cs="Times New Roman"/>
          <w:color w:val="000000"/>
          <w:spacing w:val="0"/>
          <w:w w:val="100"/>
          <w:position w:val="0"/>
        </w:rPr>
        <w:t>2025</w:t>
      </w:r>
      <w:r>
        <w:rPr>
          <w:color w:val="000000"/>
          <w:spacing w:val="0"/>
          <w:w w:val="100"/>
          <w:position w:val="0"/>
        </w:rPr>
        <w:t>年， 新能源汽车新车销售量要达到汽车新车销售总量</w:t>
      </w:r>
      <w:r>
        <w:rPr>
          <w:rFonts w:ascii="Times New Roman" w:eastAsia="Times New Roman" w:hAnsi="Times New Roman" w:cs="Times New Roman"/>
          <w:color w:val="000000"/>
          <w:spacing w:val="0"/>
          <w:w w:val="100"/>
          <w:position w:val="0"/>
        </w:rPr>
        <w:t>20%</w:t>
      </w:r>
      <w:r>
        <w:rPr>
          <w:color w:val="000000"/>
          <w:spacing w:val="0"/>
          <w:w w:val="100"/>
          <w:position w:val="0"/>
        </w:rPr>
        <w:t>左右。由此，我国新能源汽车销量占比需要 从</w:t>
      </w:r>
      <w:r>
        <w:rPr>
          <w:rFonts w:ascii="Times New Roman" w:eastAsia="Times New Roman" w:hAnsi="Times New Roman" w:cs="Times New Roman"/>
          <w:color w:val="000000"/>
          <w:spacing w:val="0"/>
          <w:w w:val="100"/>
          <w:position w:val="0"/>
        </w:rPr>
        <w:t>2021</w:t>
      </w:r>
      <w:r>
        <w:rPr>
          <w:color w:val="000000"/>
          <w:spacing w:val="0"/>
          <w:w w:val="100"/>
          <w:position w:val="0"/>
        </w:rPr>
        <w:t>年初的</w:t>
      </w:r>
      <w:r>
        <w:rPr>
          <w:rFonts w:ascii="Times New Roman" w:eastAsia="Times New Roman" w:hAnsi="Times New Roman" w:cs="Times New Roman"/>
          <w:color w:val="000000"/>
          <w:spacing w:val="0"/>
          <w:w w:val="100"/>
          <w:position w:val="0"/>
        </w:rPr>
        <w:t>5%</w:t>
      </w:r>
      <w:r>
        <w:rPr>
          <w:color w:val="000000"/>
          <w:spacing w:val="0"/>
          <w:w w:val="100"/>
          <w:position w:val="0"/>
        </w:rPr>
        <w:t>左右上升到</w:t>
      </w:r>
      <w:r>
        <w:rPr>
          <w:rFonts w:ascii="Times New Roman" w:eastAsia="Times New Roman" w:hAnsi="Times New Roman" w:cs="Times New Roman"/>
          <w:color w:val="000000"/>
          <w:spacing w:val="0"/>
          <w:w w:val="100"/>
          <w:position w:val="0"/>
        </w:rPr>
        <w:t>20%</w:t>
      </w:r>
      <w:r>
        <w:rPr>
          <w:color w:val="000000"/>
          <w:spacing w:val="0"/>
          <w:w w:val="100"/>
          <w:position w:val="0"/>
        </w:rPr>
        <w:t>左右，年复合增长率达到</w:t>
      </w:r>
      <w:r>
        <w:rPr>
          <w:rFonts w:ascii="Times New Roman" w:eastAsia="Times New Roman" w:hAnsi="Times New Roman" w:cs="Times New Roman"/>
          <w:color w:val="000000"/>
          <w:spacing w:val="0"/>
          <w:w w:val="100"/>
          <w:position w:val="0"/>
        </w:rPr>
        <w:t>30%</w:t>
      </w:r>
      <w:r>
        <w:rPr>
          <w:color w:val="000000"/>
          <w:spacing w:val="0"/>
          <w:w w:val="100"/>
          <w:position w:val="0"/>
        </w:rPr>
        <w:t>以上。伴随着新能源汽车的快速 增长，将带动对动力锂电池需求的增长，进而带动负极材料需求量的提升。此外，受疫情影响， 线上教育、线上办公、居家影视娱乐需求带动电子类产品需求增加，亦将推动锂离子电池及其负 极材料市场需求的增长。</w:t>
      </w:r>
    </w:p>
    <w:p>
      <w:pPr>
        <w:pStyle w:val="Style13"/>
        <w:keepNext w:val="0"/>
        <w:keepLines w:val="0"/>
        <w:widowControl w:val="0"/>
        <w:shd w:val="clear" w:color="auto" w:fill="auto"/>
        <w:bidi w:val="0"/>
        <w:spacing w:before="0" w:after="220" w:line="471" w:lineRule="exact"/>
        <w:ind w:left="0" w:right="0" w:firstLine="460"/>
        <w:jc w:val="left"/>
      </w:pPr>
      <w:r>
        <w:rPr>
          <w:color w:val="000000"/>
          <w:spacing w:val="0"/>
          <w:w w:val="100"/>
          <w:position w:val="0"/>
        </w:rPr>
        <w:t>根据</w:t>
      </w:r>
      <w:r>
        <w:rPr>
          <w:rFonts w:ascii="Times New Roman" w:eastAsia="Times New Roman" w:hAnsi="Times New Roman" w:cs="Times New Roman"/>
          <w:color w:val="000000"/>
          <w:spacing w:val="0"/>
          <w:w w:val="100"/>
          <w:position w:val="0"/>
        </w:rPr>
        <w:t>GGII</w:t>
      </w:r>
      <w:r>
        <w:rPr>
          <w:color w:val="000000"/>
          <w:spacing w:val="0"/>
          <w:w w:val="100"/>
          <w:position w:val="0"/>
        </w:rPr>
        <w:t>数据，</w:t>
      </w:r>
      <w:r>
        <w:rPr>
          <w:rFonts w:ascii="Times New Roman" w:eastAsia="Times New Roman" w:hAnsi="Times New Roman" w:cs="Times New Roman"/>
          <w:color w:val="000000"/>
          <w:spacing w:val="0"/>
          <w:w w:val="100"/>
          <w:position w:val="0"/>
        </w:rPr>
        <w:t>2020</w:t>
      </w:r>
      <w:r>
        <w:rPr>
          <w:color w:val="000000"/>
          <w:spacing w:val="0"/>
          <w:w w:val="100"/>
          <w:position w:val="0"/>
        </w:rPr>
        <w:t>年我国负极材料出货量达到</w:t>
      </w:r>
      <w:r>
        <w:rPr>
          <w:rFonts w:ascii="Times New Roman" w:eastAsia="Times New Roman" w:hAnsi="Times New Roman" w:cs="Times New Roman"/>
          <w:color w:val="000000"/>
          <w:spacing w:val="0"/>
          <w:w w:val="100"/>
          <w:position w:val="0"/>
        </w:rPr>
        <w:t>36.5</w:t>
      </w:r>
      <w:r>
        <w:rPr>
          <w:color w:val="000000"/>
          <w:spacing w:val="0"/>
          <w:w w:val="100"/>
          <w:position w:val="0"/>
        </w:rPr>
        <w:t>万吨，同比增长</w:t>
      </w:r>
      <w:r>
        <w:rPr>
          <w:rFonts w:ascii="Times New Roman" w:eastAsia="Times New Roman" w:hAnsi="Times New Roman" w:cs="Times New Roman"/>
          <w:color w:val="000000"/>
          <w:spacing w:val="0"/>
          <w:w w:val="100"/>
          <w:position w:val="0"/>
        </w:rPr>
        <w:t>37.7%</w:t>
      </w:r>
      <w:r>
        <w:rPr>
          <w:color w:val="000000"/>
          <w:spacing w:val="0"/>
          <w:w w:val="100"/>
          <w:position w:val="0"/>
        </w:rPr>
        <w:t>；预计</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年我国负极材料出货量约</w:t>
      </w:r>
      <w:r>
        <w:rPr>
          <w:rFonts w:ascii="Times New Roman" w:eastAsia="Times New Roman" w:hAnsi="Times New Roman" w:cs="Times New Roman"/>
          <w:color w:val="000000"/>
          <w:spacing w:val="0"/>
          <w:w w:val="100"/>
          <w:position w:val="0"/>
        </w:rPr>
        <w:t>72</w:t>
      </w:r>
      <w:r>
        <w:rPr>
          <w:color w:val="000000"/>
          <w:spacing w:val="0"/>
          <w:w w:val="100"/>
          <w:position w:val="0"/>
        </w:rPr>
        <w:t>万吨，同比增长约</w:t>
      </w:r>
      <w:r>
        <w:rPr>
          <w:rFonts w:ascii="Times New Roman" w:eastAsia="Times New Roman" w:hAnsi="Times New Roman" w:cs="Times New Roman"/>
          <w:color w:val="000000"/>
          <w:spacing w:val="0"/>
          <w:w w:val="100"/>
          <w:position w:val="0"/>
        </w:rPr>
        <w:t>100%</w:t>
      </w:r>
      <w:r>
        <w:rPr>
          <w:color w:val="000000"/>
          <w:spacing w:val="0"/>
          <w:w w:val="100"/>
          <w:position w:val="0"/>
        </w:rPr>
        <w:t>；预计未来几年，我国负极材料出货量仍将 保持</w:t>
      </w:r>
      <w:r>
        <w:rPr>
          <w:rFonts w:ascii="Times New Roman" w:eastAsia="Times New Roman" w:hAnsi="Times New Roman" w:cs="Times New Roman"/>
          <w:color w:val="000000"/>
          <w:spacing w:val="0"/>
          <w:w w:val="100"/>
          <w:position w:val="0"/>
        </w:rPr>
        <w:t>20%</w:t>
      </w:r>
      <w:r>
        <w:rPr>
          <w:color w:val="000000"/>
          <w:spacing w:val="0"/>
          <w:w w:val="100"/>
          <w:position w:val="0"/>
        </w:rPr>
        <w:t>以上的增长速度，</w:t>
      </w:r>
      <w:r>
        <w:rPr>
          <w:rFonts w:ascii="Times New Roman" w:eastAsia="Times New Roman" w:hAnsi="Times New Roman" w:cs="Times New Roman"/>
          <w:color w:val="000000"/>
          <w:spacing w:val="0"/>
          <w:w w:val="100"/>
          <w:position w:val="0"/>
        </w:rPr>
        <w:t>2025</w:t>
      </w:r>
      <w:r>
        <w:rPr>
          <w:color w:val="000000"/>
          <w:spacing w:val="0"/>
          <w:w w:val="100"/>
          <w:position w:val="0"/>
        </w:rPr>
        <w:t>年负极材料出货量有望达到</w:t>
      </w:r>
      <w:r>
        <w:rPr>
          <w:rFonts w:ascii="Times New Roman" w:eastAsia="Times New Roman" w:hAnsi="Times New Roman" w:cs="Times New Roman"/>
          <w:color w:val="000000"/>
          <w:spacing w:val="0"/>
          <w:w w:val="100"/>
          <w:position w:val="0"/>
        </w:rPr>
        <w:t>145</w:t>
      </w:r>
      <w:r>
        <w:rPr>
          <w:color w:val="000000"/>
          <w:spacing w:val="0"/>
          <w:w w:val="100"/>
          <w:position w:val="0"/>
        </w:rPr>
        <w:t>万吨，负极材料市场前景广阔。</w:t>
      </w:r>
    </w:p>
    <w:p>
      <w:pPr>
        <w:pStyle w:val="Style13"/>
        <w:keepNext w:val="0"/>
        <w:keepLines w:val="0"/>
        <w:widowControl w:val="0"/>
        <w:shd w:val="clear" w:color="auto" w:fill="auto"/>
        <w:bidi w:val="0"/>
        <w:spacing w:before="0" w:after="220" w:line="469" w:lineRule="exact"/>
        <w:ind w:left="0" w:right="0" w:firstLine="0"/>
        <w:jc w:val="left"/>
      </w:pPr>
      <w:bookmarkStart w:id="67" w:name="bookmark67"/>
      <w:r>
        <w:rPr>
          <w:b/>
          <w:bCs/>
          <w:color w:val="000000"/>
          <w:spacing w:val="0"/>
          <w:w w:val="100"/>
          <w:position w:val="0"/>
        </w:rPr>
        <w:t>二</w:t>
      </w:r>
      <w:bookmarkEnd w:id="67"/>
      <w:r>
        <w:rPr>
          <w:b/>
          <w:bCs/>
          <w:color w:val="000000"/>
          <w:spacing w:val="0"/>
          <w:w w:val="100"/>
          <w:position w:val="0"/>
        </w:rPr>
        <w:t>、报告期内公司从事的主要业务</w:t>
      </w:r>
    </w:p>
    <w:p>
      <w:pPr>
        <w:pStyle w:val="Style37"/>
        <w:keepNext/>
        <w:keepLines/>
        <w:widowControl w:val="0"/>
        <w:shd w:val="clear" w:color="auto" w:fill="auto"/>
        <w:bidi w:val="0"/>
        <w:spacing w:before="0" w:after="0" w:line="466" w:lineRule="exact"/>
        <w:ind w:left="0" w:right="0" w:firstLine="440"/>
        <w:jc w:val="both"/>
      </w:pPr>
      <w:bookmarkStart w:id="68" w:name="bookmark68"/>
      <w:bookmarkStart w:id="69" w:name="bookmark69"/>
      <w:bookmarkStart w:id="70" w:name="bookmark70"/>
      <w:bookmarkStart w:id="71" w:name="bookmark71"/>
      <w:r>
        <w:rPr>
          <w:color w:val="000000"/>
          <w:spacing w:val="0"/>
          <w:w w:val="100"/>
          <w:position w:val="0"/>
        </w:rPr>
        <w:t>（</w:t>
      </w:r>
      <w:bookmarkEnd w:id="70"/>
      <w:r>
        <w:rPr>
          <w:color w:val="000000"/>
          <w:spacing w:val="0"/>
          <w:w w:val="100"/>
          <w:position w:val="0"/>
        </w:rPr>
        <w:t>一）集成电路领域</w:t>
      </w:r>
      <w:bookmarkEnd w:id="68"/>
      <w:bookmarkEnd w:id="69"/>
      <w:bookmarkEnd w:id="71"/>
    </w:p>
    <w:p>
      <w:pPr>
        <w:pStyle w:val="Style13"/>
        <w:keepNext w:val="0"/>
        <w:keepLines w:val="0"/>
        <w:widowControl w:val="0"/>
        <w:shd w:val="clear" w:color="auto" w:fill="auto"/>
        <w:tabs>
          <w:tab w:pos="793" w:val="left"/>
        </w:tabs>
        <w:bidi w:val="0"/>
        <w:spacing w:before="0" w:after="0" w:line="466" w:lineRule="exact"/>
        <w:ind w:left="0" w:right="0" w:firstLine="440"/>
        <w:jc w:val="both"/>
      </w:pPr>
      <w:bookmarkStart w:id="72" w:name="bookmark72"/>
      <w:r>
        <w:rPr>
          <w:rFonts w:ascii="Times New Roman" w:eastAsia="Times New Roman" w:hAnsi="Times New Roman" w:cs="Times New Roman"/>
          <w:color w:val="000000"/>
          <w:spacing w:val="0"/>
          <w:w w:val="100"/>
          <w:position w:val="0"/>
        </w:rPr>
        <w:t>1</w:t>
      </w:r>
      <w:bookmarkEnd w:id="72"/>
      <w:r>
        <w:rPr>
          <w:color w:val="000000"/>
          <w:spacing w:val="0"/>
          <w:w w:val="100"/>
          <w:position w:val="0"/>
        </w:rPr>
        <w:t>、</w:t>
        <w:tab/>
        <w:t>公司所处细分行业及主要业务</w:t>
      </w:r>
    </w:p>
    <w:p>
      <w:pPr>
        <w:pStyle w:val="Style1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公司是集成电路设计企业，主要从事自主技术、自主品牌的集成电路芯片研发设计及销售， 并提供相应的系统解决方案和售后的技术支持服务。</w:t>
      </w:r>
    </w:p>
    <w:p>
      <w:pPr>
        <w:pStyle w:val="Style13"/>
        <w:keepNext w:val="0"/>
        <w:keepLines w:val="0"/>
        <w:widowControl w:val="0"/>
        <w:shd w:val="clear" w:color="auto" w:fill="auto"/>
        <w:tabs>
          <w:tab w:pos="831" w:val="left"/>
        </w:tabs>
        <w:bidi w:val="0"/>
        <w:spacing w:before="0" w:after="0" w:line="466" w:lineRule="exact"/>
        <w:ind w:left="0" w:right="0" w:firstLine="460"/>
        <w:jc w:val="both"/>
      </w:pPr>
      <w:bookmarkStart w:id="73" w:name="bookmark73"/>
      <w:r>
        <w:rPr>
          <w:rFonts w:ascii="Times New Roman" w:eastAsia="Times New Roman" w:hAnsi="Times New Roman" w:cs="Times New Roman"/>
          <w:color w:val="000000"/>
          <w:spacing w:val="0"/>
          <w:w w:val="100"/>
          <w:position w:val="0"/>
        </w:rPr>
        <w:t>2</w:t>
      </w:r>
      <w:bookmarkEnd w:id="73"/>
      <w:r>
        <w:rPr>
          <w:color w:val="000000"/>
          <w:spacing w:val="0"/>
          <w:w w:val="100"/>
          <w:position w:val="0"/>
        </w:rPr>
        <w:t>、</w:t>
        <w:tab/>
        <w:t>经营模式</w:t>
      </w:r>
    </w:p>
    <w:p>
      <w:pPr>
        <w:pStyle w:val="Style1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公司采用灵活的</w:t>
      </w:r>
      <w:r>
        <w:rPr>
          <w:rFonts w:ascii="Times New Roman" w:eastAsia="Times New Roman" w:hAnsi="Times New Roman" w:cs="Times New Roman"/>
          <w:color w:val="000000"/>
          <w:spacing w:val="0"/>
          <w:w w:val="100"/>
          <w:position w:val="0"/>
        </w:rPr>
        <w:t>Fabless</w:t>
      </w:r>
      <w:r>
        <w:rPr>
          <w:color w:val="000000"/>
          <w:spacing w:val="0"/>
          <w:w w:val="100"/>
          <w:position w:val="0"/>
        </w:rPr>
        <w:t xml:space="preserve">轻资产经营模式，从事集成电路研发设计和销售，将晶圆制造、封装 测试业务外包给专门的晶圆制造及封装测试厂商。该经营模式有利于公司集中优势资源用于产品 研发与设计环节，在完成集成电路版图的设计后，将版图交予晶圆制造厂商，由晶圆制造厂商按 照版图生产出晶圆后，再交由封装、测试厂商完成封装、测试环节。公司取得芯片成品后，主要 </w:t>
      </w:r>
      <w:r>
        <w:rPr>
          <w:color w:val="000000"/>
          <w:spacing w:val="0"/>
          <w:w w:val="100"/>
          <w:position w:val="0"/>
        </w:rPr>
        <w:t>用于对外销售，部分芯片应市场需求，委托模组加工商进一步加工成模组后对外销售。根据行业、 产品及市场需求情况，公司采取直销和渠道销售相结合的销售推广模式。</w:t>
      </w:r>
    </w:p>
    <w:p>
      <w:pPr>
        <w:pStyle w:val="Style13"/>
        <w:keepNext w:val="0"/>
        <w:keepLines w:val="0"/>
        <w:widowControl w:val="0"/>
        <w:shd w:val="clear" w:color="auto" w:fill="auto"/>
        <w:bidi w:val="0"/>
        <w:spacing w:before="0" w:after="0" w:line="470" w:lineRule="exact"/>
        <w:ind w:left="0" w:right="0" w:firstLine="440"/>
        <w:jc w:val="both"/>
      </w:pPr>
      <w:bookmarkStart w:id="74" w:name="bookmark74"/>
      <w:r>
        <w:rPr>
          <w:rFonts w:ascii="Times New Roman" w:eastAsia="Times New Roman" w:hAnsi="Times New Roman" w:cs="Times New Roman"/>
          <w:color w:val="000000"/>
          <w:spacing w:val="0"/>
          <w:w w:val="100"/>
          <w:position w:val="0"/>
        </w:rPr>
        <w:t>3</w:t>
      </w:r>
      <w:bookmarkEnd w:id="74"/>
      <w:r>
        <w:rPr>
          <w:color w:val="000000"/>
          <w:spacing w:val="0"/>
          <w:w w:val="100"/>
          <w:position w:val="0"/>
        </w:rPr>
        <w:t>、主要产品</w:t>
      </w:r>
    </w:p>
    <w:p>
      <w:pPr>
        <w:pStyle w:val="Style13"/>
        <w:keepNext w:val="0"/>
        <w:keepLines w:val="0"/>
        <w:widowControl w:val="0"/>
        <w:shd w:val="clear" w:color="auto" w:fill="auto"/>
        <w:bidi w:val="0"/>
        <w:spacing w:before="0" w:after="0" w:line="470" w:lineRule="exact"/>
        <w:ind w:left="0" w:right="0" w:firstLine="460"/>
        <w:jc w:val="left"/>
      </w:pPr>
      <w:r>
        <w:rPr>
          <w:color w:val="000000"/>
          <w:spacing w:val="0"/>
          <w:w w:val="100"/>
          <w:position w:val="0"/>
        </w:rPr>
        <w:t>公司持续聚焦“通用</w:t>
      </w:r>
      <w:r>
        <w:rPr>
          <w:rFonts w:ascii="Times New Roman" w:eastAsia="Times New Roman" w:hAnsi="Times New Roman" w:cs="Times New Roman"/>
          <w:color w:val="000000"/>
          <w:spacing w:val="0"/>
          <w:w w:val="100"/>
          <w:position w:val="0"/>
        </w:rPr>
        <w:t>+</w:t>
      </w:r>
      <w:r>
        <w:rPr>
          <w:color w:val="000000"/>
          <w:spacing w:val="0"/>
          <w:w w:val="100"/>
          <w:position w:val="0"/>
        </w:rPr>
        <w:t>安全”产品及市场战略，围绕信息安全、</w:t>
      </w:r>
      <w:r>
        <w:rPr>
          <w:rFonts w:ascii="Times New Roman" w:eastAsia="Times New Roman" w:hAnsi="Times New Roman" w:cs="Times New Roman"/>
          <w:color w:val="000000"/>
          <w:spacing w:val="0"/>
          <w:w w:val="100"/>
          <w:position w:val="0"/>
        </w:rPr>
        <w:t>SoC</w:t>
      </w:r>
      <w:r>
        <w:rPr>
          <w:color w:val="000000"/>
          <w:spacing w:val="0"/>
          <w:w w:val="100"/>
          <w:position w:val="0"/>
        </w:rPr>
        <w:t>、</w:t>
      </w:r>
      <w:r>
        <w:rPr>
          <w:color w:val="000000"/>
          <w:spacing w:val="0"/>
          <w:w w:val="100"/>
          <w:position w:val="0"/>
        </w:rPr>
        <w:t>无线通信连接三大核心 技术优势，形成通用</w:t>
      </w:r>
      <w:r>
        <w:rPr>
          <w:rFonts w:ascii="Times New Roman" w:eastAsia="Times New Roman" w:hAnsi="Times New Roman" w:cs="Times New Roman"/>
          <w:color w:val="000000"/>
          <w:spacing w:val="0"/>
          <w:w w:val="100"/>
          <w:position w:val="0"/>
        </w:rPr>
        <w:t>MCU</w:t>
      </w:r>
      <w:r>
        <w:rPr>
          <w:color w:val="000000"/>
          <w:spacing w:val="0"/>
          <w:w w:val="100"/>
          <w:position w:val="0"/>
        </w:rPr>
        <w:t>、</w:t>
      </w:r>
      <w:r>
        <w:rPr>
          <w:color w:val="000000"/>
          <w:spacing w:val="0"/>
          <w:w w:val="100"/>
          <w:position w:val="0"/>
        </w:rPr>
        <w:t>安全芯片及射频芯片产品线。产品涉及通用</w:t>
      </w:r>
      <w:r>
        <w:rPr>
          <w:rFonts w:ascii="Times New Roman" w:eastAsia="Times New Roman" w:hAnsi="Times New Roman" w:cs="Times New Roman"/>
          <w:color w:val="000000"/>
          <w:spacing w:val="0"/>
          <w:w w:val="100"/>
          <w:position w:val="0"/>
        </w:rPr>
        <w:t>MCU</w:t>
      </w:r>
      <w:r>
        <w:rPr>
          <w:color w:val="000000"/>
          <w:spacing w:val="0"/>
          <w:w w:val="100"/>
          <w:position w:val="0"/>
        </w:rPr>
        <w:t>芯片、金融安全和 物联网安全芯片、可信计算芯片、智能卡芯片、超低功耗蓝牙芯片等。</w:t>
      </w:r>
    </w:p>
    <w:p>
      <w:pPr>
        <w:pStyle w:val="Style13"/>
        <w:keepNext w:val="0"/>
        <w:keepLines w:val="0"/>
        <w:widowControl w:val="0"/>
        <w:shd w:val="clear" w:color="auto" w:fill="auto"/>
        <w:bidi w:val="0"/>
        <w:spacing w:before="0" w:after="0" w:line="470" w:lineRule="exact"/>
        <w:ind w:left="0" w:right="0" w:firstLine="460"/>
        <w:jc w:val="left"/>
      </w:pPr>
      <w:bookmarkStart w:id="75" w:name="bookmark75"/>
      <w:r>
        <w:rPr>
          <w:rFonts w:ascii="Times New Roman" w:eastAsia="Times New Roman" w:hAnsi="Times New Roman" w:cs="Times New Roman"/>
          <w:color w:val="000000"/>
          <w:spacing w:val="0"/>
          <w:w w:val="100"/>
          <w:position w:val="0"/>
        </w:rPr>
        <w:t>4</w:t>
      </w:r>
      <w:bookmarkEnd w:id="75"/>
      <w:r>
        <w:rPr>
          <w:color w:val="000000"/>
          <w:spacing w:val="0"/>
          <w:w w:val="100"/>
          <w:position w:val="0"/>
        </w:rPr>
        <w:t>、下游应用领域及应用示例</w:t>
      </w:r>
    </w:p>
    <w:p>
      <w:pPr>
        <w:pStyle w:val="Style13"/>
        <w:keepNext w:val="0"/>
        <w:keepLines w:val="0"/>
        <w:widowControl w:val="0"/>
        <w:shd w:val="clear" w:color="auto" w:fill="auto"/>
        <w:tabs>
          <w:tab w:pos="1007" w:val="left"/>
        </w:tabs>
        <w:bidi w:val="0"/>
        <w:spacing w:before="0" w:after="0" w:line="470" w:lineRule="exact"/>
        <w:ind w:left="0" w:right="0" w:firstLine="460"/>
        <w:jc w:val="left"/>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1</w:t>
      </w:r>
      <w:r>
        <w:rPr>
          <w:color w:val="000000"/>
          <w:spacing w:val="0"/>
          <w:w w:val="100"/>
          <w:position w:val="0"/>
        </w:rPr>
        <w:t>）</w:t>
        <w:tab/>
        <w:t>通用</w:t>
      </w:r>
      <w:r>
        <w:rPr>
          <w:rFonts w:ascii="Times New Roman" w:eastAsia="Times New Roman" w:hAnsi="Times New Roman" w:cs="Times New Roman"/>
          <w:color w:val="000000"/>
          <w:spacing w:val="0"/>
          <w:w w:val="100"/>
          <w:position w:val="0"/>
        </w:rPr>
        <w:t>MCU</w:t>
      </w:r>
      <w:r>
        <w:rPr>
          <w:color w:val="000000"/>
          <w:spacing w:val="0"/>
          <w:w w:val="100"/>
          <w:position w:val="0"/>
        </w:rPr>
        <w:t>产品线，主要覆盖物联网、工业联网及工业控制、智能家电及智能家庭物联 网终端、消费电子、电机驱动、伺服、电池及能源管理、智能表计、医疗电子、汽车电子、安防、 生物识别、通讯、传感器、机器自动化等应用领域和方向。典型应用覆盖电池</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储能、电机 驱动控制器、电动两轮车、滑板车、平衡车、智能门锁、手持云台、健康智能硬件及医疗设备、 血氧仪、车用电子、飞控云台、水表及燃气表、</w:t>
      </w:r>
      <w:r>
        <w:rPr>
          <w:rFonts w:ascii="Times New Roman" w:eastAsia="Times New Roman" w:hAnsi="Times New Roman" w:cs="Times New Roman"/>
          <w:color w:val="000000"/>
          <w:spacing w:val="0"/>
          <w:w w:val="100"/>
          <w:position w:val="0"/>
        </w:rPr>
        <w:t>3D</w:t>
      </w:r>
      <w:r>
        <w:rPr>
          <w:color w:val="000000"/>
          <w:spacing w:val="0"/>
          <w:w w:val="100"/>
          <w:position w:val="0"/>
        </w:rPr>
        <w:t>打印、微型打印机、工业伺服、</w:t>
      </w:r>
      <w:r>
        <w:rPr>
          <w:rFonts w:ascii="Times New Roman" w:eastAsia="Times New Roman" w:hAnsi="Times New Roman" w:cs="Times New Roman"/>
          <w:color w:val="000000"/>
          <w:spacing w:val="0"/>
          <w:w w:val="100"/>
          <w:position w:val="0"/>
        </w:rPr>
        <w:t>PLC</w:t>
      </w:r>
      <w:r>
        <w:rPr>
          <w:color w:val="000000"/>
          <w:spacing w:val="0"/>
          <w:w w:val="100"/>
          <w:position w:val="0"/>
        </w:rPr>
        <w:t>、</w:t>
      </w:r>
      <w:r>
        <w:rPr>
          <w:color w:val="000000"/>
          <w:spacing w:val="0"/>
          <w:w w:val="100"/>
          <w:position w:val="0"/>
        </w:rPr>
        <w:t>逆变器、 数字电源及</w:t>
      </w:r>
      <w:r>
        <w:rPr>
          <w:rFonts w:ascii="Times New Roman" w:eastAsia="Times New Roman" w:hAnsi="Times New Roman" w:cs="Times New Roman"/>
          <w:color w:val="000000"/>
          <w:spacing w:val="0"/>
          <w:w w:val="100"/>
          <w:position w:val="0"/>
        </w:rPr>
        <w:t>UPS</w:t>
      </w:r>
      <w:r>
        <w:rPr>
          <w:color w:val="000000"/>
          <w:spacing w:val="0"/>
          <w:w w:val="100"/>
          <w:position w:val="0"/>
        </w:rPr>
        <w:t>、</w:t>
      </w:r>
      <w:r>
        <w:rPr>
          <w:color w:val="000000"/>
          <w:spacing w:val="0"/>
          <w:w w:val="100"/>
          <w:position w:val="0"/>
        </w:rPr>
        <w:t>充电桩、换电柜、扫地机、吸尘器、</w:t>
      </w:r>
      <w:r>
        <w:rPr>
          <w:rFonts w:ascii="Times New Roman" w:eastAsia="Times New Roman" w:hAnsi="Times New Roman" w:cs="Times New Roman"/>
          <w:color w:val="000000"/>
          <w:spacing w:val="0"/>
          <w:w w:val="100"/>
          <w:position w:val="0"/>
        </w:rPr>
        <w:t>TWS</w:t>
      </w:r>
      <w:r>
        <w:rPr>
          <w:color w:val="000000"/>
          <w:spacing w:val="0"/>
          <w:w w:val="100"/>
          <w:position w:val="0"/>
        </w:rPr>
        <w:t>耳机等。</w:t>
      </w:r>
    </w:p>
    <w:p>
      <w:pPr>
        <w:pStyle w:val="Style13"/>
        <w:keepNext w:val="0"/>
        <w:keepLines w:val="0"/>
        <w:widowControl w:val="0"/>
        <w:shd w:val="clear" w:color="auto" w:fill="auto"/>
        <w:tabs>
          <w:tab w:pos="1007" w:val="left"/>
        </w:tabs>
        <w:bidi w:val="0"/>
        <w:spacing w:before="0" w:after="0" w:line="470" w:lineRule="exact"/>
        <w:ind w:left="0" w:right="0" w:firstLine="460"/>
        <w:jc w:val="left"/>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2</w:t>
      </w:r>
      <w:r>
        <w:rPr>
          <w:color w:val="000000"/>
          <w:spacing w:val="0"/>
          <w:w w:val="100"/>
          <w:position w:val="0"/>
        </w:rPr>
        <w:t>）</w:t>
        <w:tab/>
        <w:t>安全芯片产品线，主要应用于网络身份认证、电子银行、可信计算、电子证照、移动支 付与服务器</w:t>
      </w:r>
      <w:r>
        <w:rPr>
          <w:rFonts w:ascii="Times New Roman" w:eastAsia="Times New Roman" w:hAnsi="Times New Roman" w:cs="Times New Roman"/>
          <w:color w:val="000000"/>
          <w:spacing w:val="0"/>
          <w:w w:val="100"/>
          <w:position w:val="0"/>
        </w:rPr>
        <w:t>/</w:t>
      </w:r>
      <w:r>
        <w:rPr>
          <w:color w:val="000000"/>
          <w:spacing w:val="0"/>
          <w:w w:val="100"/>
          <w:position w:val="0"/>
        </w:rPr>
        <w:t>云安全、物联网安全等信息安全领域。</w:t>
      </w:r>
    </w:p>
    <w:p>
      <w:pPr>
        <w:pStyle w:val="Style13"/>
        <w:keepNext w:val="0"/>
        <w:keepLines w:val="0"/>
        <w:widowControl w:val="0"/>
        <w:shd w:val="clear" w:color="auto" w:fill="auto"/>
        <w:tabs>
          <w:tab w:pos="959" w:val="left"/>
        </w:tabs>
        <w:bidi w:val="0"/>
        <w:spacing w:before="0" w:after="0" w:line="470" w:lineRule="exact"/>
        <w:ind w:left="0" w:right="0" w:firstLine="440"/>
        <w:jc w:val="left"/>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3</w:t>
      </w:r>
      <w:r>
        <w:rPr>
          <w:color w:val="000000"/>
          <w:spacing w:val="0"/>
          <w:w w:val="100"/>
          <w:position w:val="0"/>
        </w:rPr>
        <w:t>）</w:t>
        <w:tab/>
        <w:t>射频芯片产品线，主要应用于物联网、可穿戴设备、智能家居等。</w:t>
      </w:r>
    </w:p>
    <w:p>
      <w:pPr>
        <w:pStyle w:val="Style13"/>
        <w:keepNext w:val="0"/>
        <w:keepLines w:val="0"/>
        <w:widowControl w:val="0"/>
        <w:shd w:val="clear" w:color="auto" w:fill="auto"/>
        <w:bidi w:val="0"/>
        <w:spacing w:before="0" w:after="0" w:line="470" w:lineRule="exact"/>
        <w:ind w:left="0" w:right="0" w:firstLine="460"/>
        <w:jc w:val="both"/>
      </w:pPr>
      <w:bookmarkStart w:id="79" w:name="bookmark79"/>
      <w:r>
        <w:rPr>
          <w:rFonts w:ascii="Times New Roman" w:eastAsia="Times New Roman" w:hAnsi="Times New Roman" w:cs="Times New Roman"/>
          <w:color w:val="000000"/>
          <w:spacing w:val="0"/>
          <w:w w:val="100"/>
          <w:position w:val="0"/>
        </w:rPr>
        <w:t>5</w:t>
      </w:r>
      <w:bookmarkEnd w:id="79"/>
      <w:r>
        <w:rPr>
          <w:color w:val="000000"/>
          <w:spacing w:val="0"/>
          <w:w w:val="100"/>
          <w:position w:val="0"/>
        </w:rPr>
        <w:t>、公司所处行业地位</w:t>
      </w:r>
    </w:p>
    <w:p>
      <w:pPr>
        <w:pStyle w:val="Style13"/>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公司持续深耕信息安全市场和技术领域，作为我国最早的商用密码核心定点单位，以具有特 定优势的芯片级安全技术、低功耗及无线射频等长期积累的丰厚技术优势，构筑产品及业务综合 市场竞争力优势。公司目前为国内</w:t>
      </w:r>
      <w:r>
        <w:rPr>
          <w:rFonts w:ascii="Times New Roman" w:eastAsia="Times New Roman" w:hAnsi="Times New Roman" w:cs="Times New Roman"/>
          <w:color w:val="000000"/>
          <w:spacing w:val="0"/>
          <w:w w:val="100"/>
          <w:position w:val="0"/>
        </w:rPr>
        <w:t>USBKEY</w:t>
      </w:r>
      <w:r>
        <w:rPr>
          <w:color w:val="000000"/>
          <w:spacing w:val="0"/>
          <w:w w:val="100"/>
          <w:position w:val="0"/>
        </w:rPr>
        <w:t>芯片、蓝牙</w:t>
      </w:r>
      <w:r>
        <w:rPr>
          <w:rFonts w:ascii="Times New Roman" w:eastAsia="Times New Roman" w:hAnsi="Times New Roman" w:cs="Times New Roman"/>
          <w:color w:val="000000"/>
          <w:spacing w:val="0"/>
          <w:w w:val="100"/>
          <w:position w:val="0"/>
        </w:rPr>
        <w:t>KEY</w:t>
      </w:r>
      <w:r>
        <w:rPr>
          <w:color w:val="000000"/>
          <w:spacing w:val="0"/>
          <w:w w:val="100"/>
          <w:position w:val="0"/>
        </w:rPr>
        <w:t>芯片、可信计算芯片的主要供货商之 一，保持较高的市场占有率。</w:t>
      </w:r>
    </w:p>
    <w:p>
      <w:pPr>
        <w:pStyle w:val="Style13"/>
        <w:keepNext w:val="0"/>
        <w:keepLines w:val="0"/>
        <w:widowControl w:val="0"/>
        <w:shd w:val="clear" w:color="auto" w:fill="auto"/>
        <w:bidi w:val="0"/>
        <w:spacing w:before="0" w:after="0" w:line="470" w:lineRule="exact"/>
        <w:ind w:left="0" w:right="0" w:firstLine="460"/>
        <w:jc w:val="both"/>
        <w:sectPr>
          <w:footnotePr>
            <w:pos w:val="pageBottom"/>
            <w:numFmt w:val="decimal"/>
            <w:numRestart w:val="continuous"/>
          </w:footnotePr>
          <w:pgSz w:w="11900" w:h="16840"/>
          <w:pgMar w:top="1525" w:right="992" w:bottom="1449" w:left="1102" w:header="0" w:footer="3" w:gutter="0"/>
          <w:cols w:space="720"/>
          <w:noEndnote/>
          <w:rtlGutter w:val="0"/>
          <w:docGrid w:linePitch="360"/>
        </w:sectPr>
      </w:pPr>
      <w:r>
        <w:rPr>
          <w:color w:val="000000"/>
          <w:spacing w:val="0"/>
          <w:w w:val="100"/>
          <w:position w:val="0"/>
        </w:rPr>
        <w:t>在通用</w:t>
      </w:r>
      <w:r>
        <w:rPr>
          <w:rFonts w:ascii="Times New Roman" w:eastAsia="Times New Roman" w:hAnsi="Times New Roman" w:cs="Times New Roman"/>
          <w:color w:val="000000"/>
          <w:spacing w:val="0"/>
          <w:w w:val="100"/>
          <w:position w:val="0"/>
        </w:rPr>
        <w:t>MCU</w:t>
      </w:r>
      <w:r>
        <w:rPr>
          <w:color w:val="000000"/>
          <w:spacing w:val="0"/>
          <w:w w:val="100"/>
          <w:position w:val="0"/>
        </w:rPr>
        <w:t>领域，公司通用</w:t>
      </w:r>
      <w:r>
        <w:rPr>
          <w:rFonts w:ascii="Times New Roman" w:eastAsia="Times New Roman" w:hAnsi="Times New Roman" w:cs="Times New Roman"/>
          <w:color w:val="000000"/>
          <w:spacing w:val="0"/>
          <w:w w:val="100"/>
          <w:position w:val="0"/>
        </w:rPr>
        <w:t>MCU</w:t>
      </w:r>
      <w:r>
        <w:rPr>
          <w:color w:val="000000"/>
          <w:spacing w:val="0"/>
          <w:w w:val="100"/>
          <w:position w:val="0"/>
        </w:rPr>
        <w:t>芯片产品已经形成相对丰富且具有市场竞争力的产品布局。 在产品细分种类方面，公司已经形成了 “宽产品线、高覆盖面”的产品矩阵，推出多款基于</w:t>
      </w:r>
      <w:r>
        <w:rPr>
          <w:rFonts w:ascii="Times New Roman" w:eastAsia="Times New Roman" w:hAnsi="Times New Roman" w:cs="Times New Roman"/>
          <w:color w:val="000000"/>
          <w:spacing w:val="0"/>
          <w:w w:val="100"/>
          <w:position w:val="0"/>
        </w:rPr>
        <w:t>ARM Cortex-M</w:t>
      </w:r>
      <w:r>
        <w:rPr>
          <w:rFonts w:ascii="Times New Roman" w:eastAsia="Times New Roman" w:hAnsi="Times New Roman" w:cs="Times New Roman"/>
          <w:color w:val="000000"/>
          <w:spacing w:val="0"/>
          <w:w w:val="100"/>
          <w:position w:val="0"/>
        </w:rPr>
        <w:t>0</w:t>
      </w:r>
      <w:r>
        <w:rPr>
          <w:color w:val="000000"/>
          <w:spacing w:val="0"/>
          <w:w w:val="100"/>
          <w:position w:val="0"/>
        </w:rPr>
        <w:t>及</w:t>
      </w:r>
      <w:r>
        <w:rPr>
          <w:rFonts w:ascii="Times New Roman" w:eastAsia="Times New Roman" w:hAnsi="Times New Roman" w:cs="Times New Roman"/>
          <w:color w:val="000000"/>
          <w:spacing w:val="0"/>
          <w:w w:val="100"/>
          <w:position w:val="0"/>
        </w:rPr>
        <w:t>M4</w:t>
      </w:r>
      <w:r>
        <w:rPr>
          <w:color w:val="000000"/>
          <w:spacing w:val="0"/>
          <w:w w:val="100"/>
          <w:position w:val="0"/>
        </w:rPr>
        <w:t>内核的通用安全</w:t>
      </w:r>
      <w:r>
        <w:rPr>
          <w:rFonts w:ascii="Times New Roman" w:eastAsia="Times New Roman" w:hAnsi="Times New Roman" w:cs="Times New Roman"/>
          <w:color w:val="000000"/>
          <w:spacing w:val="0"/>
          <w:w w:val="100"/>
          <w:position w:val="0"/>
        </w:rPr>
        <w:t>MCU</w:t>
      </w:r>
      <w:r>
        <w:rPr>
          <w:color w:val="000000"/>
          <w:spacing w:val="0"/>
          <w:w w:val="100"/>
          <w:position w:val="0"/>
        </w:rPr>
        <w:t>系列量产产品，正在研发的高性能</w:t>
      </w:r>
      <w:r>
        <w:rPr>
          <w:rFonts w:ascii="Times New Roman" w:eastAsia="Times New Roman" w:hAnsi="Times New Roman" w:cs="Times New Roman"/>
          <w:color w:val="000000"/>
          <w:spacing w:val="0"/>
          <w:w w:val="100"/>
          <w:position w:val="0"/>
        </w:rPr>
        <w:t>ARM Cortex-M7</w:t>
      </w:r>
      <w:r>
        <w:rPr>
          <w:color w:val="000000"/>
          <w:spacing w:val="0"/>
          <w:w w:val="100"/>
          <w:position w:val="0"/>
        </w:rPr>
        <w:t>产品，可 覆盖</w:t>
      </w:r>
      <w:r>
        <w:rPr>
          <w:rFonts w:ascii="Times New Roman" w:eastAsia="Times New Roman" w:hAnsi="Times New Roman" w:cs="Times New Roman"/>
          <w:color w:val="000000"/>
          <w:spacing w:val="0"/>
          <w:w w:val="100"/>
          <w:position w:val="0"/>
        </w:rPr>
        <w:t>32</w:t>
      </w:r>
      <w:r>
        <w:rPr>
          <w:color w:val="000000"/>
          <w:spacing w:val="0"/>
          <w:w w:val="100"/>
          <w:position w:val="0"/>
        </w:rPr>
        <w:t>位</w:t>
      </w:r>
      <w:r>
        <w:rPr>
          <w:rFonts w:ascii="Times New Roman" w:eastAsia="Times New Roman" w:hAnsi="Times New Roman" w:cs="Times New Roman"/>
          <w:color w:val="000000"/>
          <w:spacing w:val="0"/>
          <w:w w:val="100"/>
          <w:position w:val="0"/>
        </w:rPr>
        <w:t>MCU</w:t>
      </w:r>
      <w:r>
        <w:rPr>
          <w:color w:val="000000"/>
          <w:spacing w:val="0"/>
          <w:w w:val="100"/>
          <w:position w:val="0"/>
        </w:rPr>
        <w:t>从简配置到高配置的大多数应用场景，更好地满足不同行业、不同客户的不同产品 需求。在产品性能方面，公司的</w:t>
      </w:r>
      <w:r>
        <w:rPr>
          <w:rFonts w:ascii="Times New Roman" w:eastAsia="Times New Roman" w:hAnsi="Times New Roman" w:cs="Times New Roman"/>
          <w:color w:val="000000"/>
          <w:spacing w:val="0"/>
          <w:w w:val="100"/>
          <w:position w:val="0"/>
        </w:rPr>
        <w:t>MCU</w:t>
      </w:r>
      <w:r>
        <w:rPr>
          <w:color w:val="000000"/>
          <w:spacing w:val="0"/>
          <w:w w:val="100"/>
          <w:position w:val="0"/>
        </w:rPr>
        <w:t>芯片系列产品具有安全、低功耗、高性能、高可靠性、高集 成度等特点，同时提供相关行业应用解决方案，形成技术领先、产品覆盖面全、解决方案具有行 业针对性等综合市场竞争优势。公司的通用</w:t>
      </w:r>
      <w:r>
        <w:rPr>
          <w:rFonts w:ascii="Times New Roman" w:eastAsia="Times New Roman" w:hAnsi="Times New Roman" w:cs="Times New Roman"/>
          <w:color w:val="000000"/>
          <w:spacing w:val="0"/>
          <w:w w:val="100"/>
          <w:position w:val="0"/>
        </w:rPr>
        <w:t>MCU</w:t>
      </w:r>
      <w:r>
        <w:rPr>
          <w:color w:val="000000"/>
          <w:spacing w:val="0"/>
          <w:w w:val="100"/>
          <w:position w:val="0"/>
        </w:rPr>
        <w:t xml:space="preserve">芯片产品目前已进入主流应用场景，并在电池 </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储能、电机驱动控制器、电动两轮车、滑板车、平衡车、微型打印机、智能门锁、手持云</w:t>
      </w:r>
    </w:p>
    <w:p>
      <w:pPr>
        <w:pStyle w:val="Style13"/>
        <w:keepNext w:val="0"/>
        <w:keepLines w:val="0"/>
        <w:widowControl w:val="0"/>
        <w:shd w:val="clear" w:color="auto" w:fill="auto"/>
        <w:bidi w:val="0"/>
        <w:spacing w:before="0" w:after="40" w:line="473" w:lineRule="exact"/>
        <w:ind w:left="0" w:right="0" w:firstLine="0"/>
        <w:jc w:val="both"/>
      </w:pPr>
      <w:r>
        <w:rPr>
          <w:color w:val="000000"/>
          <w:spacing w:val="0"/>
          <w:w w:val="100"/>
          <w:position w:val="0"/>
        </w:rPr>
        <w:t>台、健康智能硬件及医疗设备、血氧仪、车用电子、飞控云台、扫地机、吸尘器、</w:t>
      </w:r>
      <w:r>
        <w:rPr>
          <w:rFonts w:ascii="Times New Roman" w:eastAsia="Times New Roman" w:hAnsi="Times New Roman" w:cs="Times New Roman"/>
          <w:color w:val="000000"/>
          <w:spacing w:val="0"/>
          <w:w w:val="100"/>
          <w:position w:val="0"/>
        </w:rPr>
        <w:t>TWS</w:t>
      </w:r>
      <w:r>
        <w:rPr>
          <w:color w:val="000000"/>
          <w:spacing w:val="0"/>
          <w:w w:val="100"/>
          <w:position w:val="0"/>
        </w:rPr>
        <w:t>耳机、水 表及燃气表、</w:t>
      </w:r>
      <w:r>
        <w:rPr>
          <w:rFonts w:ascii="Times New Roman" w:eastAsia="Times New Roman" w:hAnsi="Times New Roman" w:cs="Times New Roman"/>
          <w:color w:val="000000"/>
          <w:spacing w:val="0"/>
          <w:w w:val="100"/>
          <w:position w:val="0"/>
        </w:rPr>
        <w:t>3D</w:t>
      </w:r>
      <w:r>
        <w:rPr>
          <w:color w:val="000000"/>
          <w:spacing w:val="0"/>
          <w:w w:val="100"/>
          <w:position w:val="0"/>
        </w:rPr>
        <w:t>打印、工业伺服、</w:t>
      </w:r>
      <w:r>
        <w:rPr>
          <w:rFonts w:ascii="Times New Roman" w:eastAsia="Times New Roman" w:hAnsi="Times New Roman" w:cs="Times New Roman"/>
          <w:color w:val="000000"/>
          <w:spacing w:val="0"/>
          <w:w w:val="100"/>
          <w:position w:val="0"/>
        </w:rPr>
        <w:t>PLC</w:t>
      </w:r>
      <w:r>
        <w:rPr>
          <w:color w:val="000000"/>
          <w:spacing w:val="0"/>
          <w:w w:val="100"/>
          <w:position w:val="0"/>
        </w:rPr>
        <w:t>、逆变器、数字电源及</w:t>
      </w:r>
      <w:r>
        <w:rPr>
          <w:rFonts w:ascii="Times New Roman" w:eastAsia="Times New Roman" w:hAnsi="Times New Roman" w:cs="Times New Roman"/>
          <w:color w:val="000000"/>
          <w:spacing w:val="0"/>
          <w:w w:val="100"/>
          <w:position w:val="0"/>
        </w:rPr>
        <w:t>UPS</w:t>
      </w:r>
      <w:r>
        <w:rPr>
          <w:color w:val="000000"/>
          <w:spacing w:val="0"/>
          <w:w w:val="100"/>
          <w:position w:val="0"/>
        </w:rPr>
        <w:t>、</w:t>
      </w:r>
      <w:r>
        <w:rPr>
          <w:color w:val="000000"/>
          <w:spacing w:val="0"/>
          <w:w w:val="100"/>
          <w:position w:val="0"/>
        </w:rPr>
        <w:t>充电桩、换电柜等多个细分 领域实现出货。</w:t>
      </w:r>
    </w:p>
    <w:p>
      <w:pPr>
        <w:pStyle w:val="Style13"/>
        <w:keepNext w:val="0"/>
        <w:keepLines w:val="0"/>
        <w:widowControl w:val="0"/>
        <w:shd w:val="clear" w:color="auto" w:fill="auto"/>
        <w:tabs>
          <w:tab w:pos="883" w:val="left"/>
        </w:tabs>
        <w:bidi w:val="0"/>
        <w:spacing w:before="0" w:after="40" w:line="468" w:lineRule="exact"/>
        <w:ind w:left="0" w:right="0" w:firstLine="480"/>
        <w:jc w:val="left"/>
      </w:pPr>
      <w:bookmarkStart w:id="80" w:name="bookmark80"/>
      <w:r>
        <w:rPr>
          <w:rFonts w:ascii="Times New Roman" w:eastAsia="Times New Roman" w:hAnsi="Times New Roman" w:cs="Times New Roman"/>
          <w:color w:val="000000"/>
          <w:spacing w:val="0"/>
          <w:w w:val="100"/>
          <w:position w:val="0"/>
        </w:rPr>
        <w:t>6</w:t>
      </w:r>
      <w:bookmarkEnd w:id="80"/>
      <w:r>
        <w:rPr>
          <w:color w:val="000000"/>
          <w:spacing w:val="0"/>
          <w:w w:val="100"/>
          <w:position w:val="0"/>
        </w:rPr>
        <w:t>、</w:t>
        <w:tab/>
        <w:t>公司国内外主要同行业公司</w:t>
      </w:r>
    </w:p>
    <w:p>
      <w:pPr>
        <w:pStyle w:val="Style13"/>
        <w:keepNext w:val="0"/>
        <w:keepLines w:val="0"/>
        <w:widowControl w:val="0"/>
        <w:shd w:val="clear" w:color="auto" w:fill="auto"/>
        <w:bidi w:val="0"/>
        <w:spacing w:before="0" w:after="40" w:line="461" w:lineRule="exact"/>
        <w:ind w:left="0" w:right="0" w:firstLine="480"/>
        <w:jc w:val="left"/>
      </w:pPr>
      <w:r>
        <w:rPr>
          <w:color w:val="000000"/>
          <w:spacing w:val="0"/>
          <w:w w:val="100"/>
          <w:position w:val="0"/>
        </w:rPr>
        <w:t>国内外同行业公司主要有意法半导体、恩智浦半导体、英飞凌、瑞萨电子、紫光国微、复旦 微电子、兆易创新、华大半导体等芯片企业。</w:t>
      </w:r>
    </w:p>
    <w:p>
      <w:pPr>
        <w:pStyle w:val="Style13"/>
        <w:keepNext w:val="0"/>
        <w:keepLines w:val="0"/>
        <w:widowControl w:val="0"/>
        <w:shd w:val="clear" w:color="auto" w:fill="auto"/>
        <w:tabs>
          <w:tab w:pos="883" w:val="left"/>
        </w:tabs>
        <w:bidi w:val="0"/>
        <w:spacing w:before="0" w:after="40" w:line="468" w:lineRule="exact"/>
        <w:ind w:left="0" w:right="0" w:firstLine="480"/>
        <w:jc w:val="left"/>
      </w:pPr>
      <w:bookmarkStart w:id="81" w:name="bookmark81"/>
      <w:r>
        <w:rPr>
          <w:rFonts w:ascii="Times New Roman" w:eastAsia="Times New Roman" w:hAnsi="Times New Roman" w:cs="Times New Roman"/>
          <w:color w:val="000000"/>
          <w:spacing w:val="0"/>
          <w:w w:val="100"/>
          <w:position w:val="0"/>
        </w:rPr>
        <w:t>7</w:t>
      </w:r>
      <w:bookmarkEnd w:id="81"/>
      <w:r>
        <w:rPr>
          <w:color w:val="000000"/>
          <w:spacing w:val="0"/>
          <w:w w:val="100"/>
          <w:position w:val="0"/>
        </w:rPr>
        <w:t>、</w:t>
        <w:tab/>
        <w:t>发展战略及经营计划</w:t>
      </w:r>
    </w:p>
    <w:p>
      <w:pPr>
        <w:pStyle w:val="Style13"/>
        <w:keepNext w:val="0"/>
        <w:keepLines w:val="0"/>
        <w:widowControl w:val="0"/>
        <w:shd w:val="clear" w:color="auto" w:fill="auto"/>
        <w:bidi w:val="0"/>
        <w:spacing w:before="0" w:after="40" w:line="470" w:lineRule="exact"/>
        <w:ind w:left="0" w:right="0" w:firstLine="480"/>
        <w:jc w:val="left"/>
      </w:pPr>
      <w:r>
        <w:rPr>
          <w:color w:val="000000"/>
          <w:spacing w:val="0"/>
          <w:w w:val="100"/>
          <w:position w:val="0"/>
        </w:rPr>
        <w:t>公司将继续拓展实施“通用</w:t>
      </w:r>
      <w:r>
        <w:rPr>
          <w:rFonts w:ascii="Times New Roman" w:eastAsia="Times New Roman" w:hAnsi="Times New Roman" w:cs="Times New Roman"/>
          <w:color w:val="000000"/>
          <w:spacing w:val="0"/>
          <w:w w:val="100"/>
          <w:position w:val="0"/>
        </w:rPr>
        <w:t>+</w:t>
      </w:r>
      <w:r>
        <w:rPr>
          <w:color w:val="000000"/>
          <w:spacing w:val="0"/>
          <w:w w:val="100"/>
          <w:position w:val="0"/>
        </w:rPr>
        <w:t>安全”产品战略，并且做精做深做广，重点在高端高性能</w:t>
      </w:r>
      <w:r>
        <w:rPr>
          <w:rFonts w:ascii="Times New Roman" w:eastAsia="Times New Roman" w:hAnsi="Times New Roman" w:cs="Times New Roman"/>
          <w:color w:val="000000"/>
          <w:spacing w:val="0"/>
          <w:w w:val="100"/>
          <w:position w:val="0"/>
        </w:rPr>
        <w:t>MCU</w:t>
      </w:r>
      <w:r>
        <w:rPr>
          <w:color w:val="000000"/>
          <w:spacing w:val="0"/>
          <w:w w:val="100"/>
          <w:position w:val="0"/>
        </w:rPr>
        <w:t xml:space="preserve">、 </w:t>
      </w:r>
      <w:r>
        <w:rPr>
          <w:color w:val="000000"/>
          <w:spacing w:val="0"/>
          <w:w w:val="100"/>
          <w:position w:val="0"/>
        </w:rPr>
        <w:t>高可靠性车规</w:t>
      </w:r>
      <w:r>
        <w:rPr>
          <w:rFonts w:ascii="Times New Roman" w:eastAsia="Times New Roman" w:hAnsi="Times New Roman" w:cs="Times New Roman"/>
          <w:color w:val="000000"/>
          <w:spacing w:val="0"/>
          <w:w w:val="100"/>
          <w:position w:val="0"/>
        </w:rPr>
        <w:t>MCU</w:t>
      </w:r>
      <w:r>
        <w:rPr>
          <w:color w:val="000000"/>
          <w:spacing w:val="0"/>
          <w:w w:val="100"/>
          <w:position w:val="0"/>
        </w:rPr>
        <w:t>、</w:t>
      </w:r>
      <w:r>
        <w:rPr>
          <w:color w:val="000000"/>
          <w:spacing w:val="0"/>
          <w:w w:val="100"/>
          <w:position w:val="0"/>
        </w:rPr>
        <w:t>高可靠性</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安全微认证芯片、可信计算芯片等战略产品线上投入资源。 通过不断提升产品技术性能指标和产品质量，增强产品功能属性和安全标准，持续提升公司在传 统安全领域以及在通用领域产品市场竞争力。同时，公司将通过不断完善产品系列和持续服务， 深入应用场景打磨解决方案，并充分利用公司通用</w:t>
      </w:r>
      <w:r>
        <w:rPr>
          <w:rFonts w:ascii="Times New Roman" w:eastAsia="Times New Roman" w:hAnsi="Times New Roman" w:cs="Times New Roman"/>
          <w:color w:val="000000"/>
          <w:spacing w:val="0"/>
          <w:w w:val="100"/>
          <w:position w:val="0"/>
        </w:rPr>
        <w:t>MCU</w:t>
      </w:r>
      <w:r>
        <w:rPr>
          <w:color w:val="000000"/>
          <w:spacing w:val="0"/>
          <w:w w:val="100"/>
          <w:position w:val="0"/>
        </w:rPr>
        <w:t>产品高集成度、高性能、低功耗、高性价 比、安全性等差异化优势，提高</w:t>
      </w:r>
      <w:r>
        <w:rPr>
          <w:rFonts w:ascii="Times New Roman" w:eastAsia="Times New Roman" w:hAnsi="Times New Roman" w:cs="Times New Roman"/>
          <w:color w:val="000000"/>
          <w:spacing w:val="0"/>
          <w:w w:val="100"/>
          <w:position w:val="0"/>
        </w:rPr>
        <w:t>MCU</w:t>
      </w:r>
      <w:r>
        <w:rPr>
          <w:color w:val="000000"/>
          <w:spacing w:val="0"/>
          <w:w w:val="100"/>
          <w:position w:val="0"/>
        </w:rPr>
        <w:t>市场竞争力，努力在通用</w:t>
      </w:r>
      <w:r>
        <w:rPr>
          <w:rFonts w:ascii="Times New Roman" w:eastAsia="Times New Roman" w:hAnsi="Times New Roman" w:cs="Times New Roman"/>
          <w:color w:val="000000"/>
          <w:spacing w:val="0"/>
          <w:w w:val="100"/>
          <w:position w:val="0"/>
        </w:rPr>
        <w:t>MCU</w:t>
      </w:r>
      <w:r>
        <w:rPr>
          <w:color w:val="000000"/>
          <w:spacing w:val="0"/>
          <w:w w:val="100"/>
          <w:position w:val="0"/>
        </w:rPr>
        <w:t>领域将公司打造成为集技术 优势、产品种类的丰富性、交付质量稳定性为一体的国内领军企业。</w:t>
      </w:r>
    </w:p>
    <w:p>
      <w:pPr>
        <w:pStyle w:val="Style37"/>
        <w:keepNext/>
        <w:keepLines/>
        <w:widowControl w:val="0"/>
        <w:shd w:val="clear" w:color="auto" w:fill="auto"/>
        <w:tabs>
          <w:tab w:pos="937" w:val="left"/>
        </w:tabs>
        <w:bidi w:val="0"/>
        <w:spacing w:before="0" w:after="40" w:line="468" w:lineRule="exact"/>
        <w:ind w:left="0" w:right="0" w:firstLine="480"/>
        <w:jc w:val="both"/>
      </w:pPr>
      <w:bookmarkStart w:id="82" w:name="bookmark82"/>
      <w:bookmarkStart w:id="83" w:name="bookmark83"/>
      <w:bookmarkStart w:id="84" w:name="bookmark84"/>
      <w:bookmarkStart w:id="85" w:name="bookmark85"/>
      <w:r>
        <w:rPr>
          <w:color w:val="000000"/>
          <w:spacing w:val="0"/>
          <w:w w:val="100"/>
          <w:position w:val="0"/>
        </w:rPr>
        <w:t>（</w:t>
      </w:r>
      <w:bookmarkEnd w:id="84"/>
      <w:r>
        <w:rPr>
          <w:rFonts w:ascii="Times New Roman" w:eastAsia="Times New Roman" w:hAnsi="Times New Roman" w:cs="Times New Roman"/>
          <w:color w:val="000000"/>
          <w:spacing w:val="0"/>
          <w:w w:val="100"/>
          <w:position w:val="0"/>
        </w:rPr>
        <w:t>1</w:t>
      </w:r>
      <w:r>
        <w:rPr>
          <w:color w:val="000000"/>
          <w:spacing w:val="0"/>
          <w:w w:val="100"/>
          <w:position w:val="0"/>
        </w:rPr>
        <w:t>）</w:t>
        <w:tab/>
        <w:t>继续拓展实施“通用</w:t>
      </w:r>
      <w:r>
        <w:rPr>
          <w:rFonts w:ascii="Times New Roman" w:eastAsia="Times New Roman" w:hAnsi="Times New Roman" w:cs="Times New Roman"/>
          <w:color w:val="000000"/>
          <w:spacing w:val="0"/>
          <w:w w:val="100"/>
          <w:position w:val="0"/>
        </w:rPr>
        <w:t>+</w:t>
      </w:r>
      <w:r>
        <w:rPr>
          <w:color w:val="000000"/>
          <w:spacing w:val="0"/>
          <w:w w:val="100"/>
          <w:position w:val="0"/>
        </w:rPr>
        <w:t>安全”战略，保持和提升产品及业务核心竞争力</w:t>
      </w:r>
      <w:bookmarkEnd w:id="82"/>
      <w:bookmarkEnd w:id="83"/>
      <w:bookmarkEnd w:id="85"/>
    </w:p>
    <w:p>
      <w:pPr>
        <w:pStyle w:val="Style13"/>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公司具备传统信息安全领域的技术及产品优势，在保持该领域技术与业务核心优势同时，积 极拓展多元化的市场应用空间，针对新兴市场对信息安全的应用需求情况，进一步拓展相关产品 和解决方案。与此同时，公司以具有特定优势的安全密码算法性能、低功耗、</w:t>
      </w:r>
      <w:r>
        <w:rPr>
          <w:rFonts w:ascii="Times New Roman" w:eastAsia="Times New Roman" w:hAnsi="Times New Roman" w:cs="Times New Roman"/>
          <w:color w:val="000000"/>
          <w:spacing w:val="0"/>
          <w:w w:val="100"/>
          <w:position w:val="0"/>
        </w:rPr>
        <w:t>SoC</w:t>
      </w:r>
      <w:r>
        <w:rPr>
          <w:color w:val="000000"/>
          <w:spacing w:val="0"/>
          <w:w w:val="100"/>
          <w:position w:val="0"/>
        </w:rPr>
        <w:t>架构与</w:t>
      </w:r>
      <w:r>
        <w:rPr>
          <w:rFonts w:ascii="Times New Roman" w:eastAsia="Times New Roman" w:hAnsi="Times New Roman" w:cs="Times New Roman"/>
          <w:color w:val="000000"/>
          <w:spacing w:val="0"/>
          <w:w w:val="100"/>
          <w:position w:val="0"/>
        </w:rPr>
        <w:t>IP</w:t>
      </w:r>
      <w:r>
        <w:rPr>
          <w:color w:val="000000"/>
          <w:spacing w:val="0"/>
          <w:w w:val="100"/>
          <w:position w:val="0"/>
        </w:rPr>
        <w:t>经验 积累和技术沉淀优势，积极布局通用</w:t>
      </w:r>
      <w:r>
        <w:rPr>
          <w:rFonts w:ascii="Times New Roman" w:eastAsia="Times New Roman" w:hAnsi="Times New Roman" w:cs="Times New Roman"/>
          <w:color w:val="000000"/>
          <w:spacing w:val="0"/>
          <w:w w:val="100"/>
          <w:position w:val="0"/>
        </w:rPr>
        <w:t>MCU</w:t>
      </w:r>
      <w:r>
        <w:rPr>
          <w:color w:val="000000"/>
          <w:spacing w:val="0"/>
          <w:w w:val="100"/>
          <w:position w:val="0"/>
        </w:rPr>
        <w:t>领域产品和应用，增强产品安全性能和通用性能，形成 差异化和优势产品系列，充分利用公司拥有的供应链资源优势降低成本，积极把握“万物互联” 的市场机遇，大力拓展在工业控制、智能家电及智能家庭物联网终端、智能表计、安防、医疗电 子、电机驱动、电池及能源管理、生物识别、通讯、传感器、机器自动化等行业应用。同时，不 断探索在战略性新兴产业中涌现出的行业市场机会，以及在新一代信息技术产业中，各领域资源 整合和合作带来的新市场和新业务。</w:t>
      </w:r>
    </w:p>
    <w:p>
      <w:pPr>
        <w:pStyle w:val="Style37"/>
        <w:keepNext/>
        <w:keepLines/>
        <w:widowControl w:val="0"/>
        <w:shd w:val="clear" w:color="auto" w:fill="auto"/>
        <w:tabs>
          <w:tab w:pos="937" w:val="left"/>
        </w:tabs>
        <w:bidi w:val="0"/>
        <w:spacing w:before="0" w:after="40" w:line="468" w:lineRule="exact"/>
        <w:ind w:left="0" w:right="0" w:firstLine="480"/>
        <w:jc w:val="both"/>
      </w:pPr>
      <w:bookmarkStart w:id="86" w:name="bookmark86"/>
      <w:bookmarkStart w:id="87" w:name="bookmark87"/>
      <w:bookmarkStart w:id="88" w:name="bookmark88"/>
      <w:bookmarkStart w:id="89" w:name="bookmark89"/>
      <w:r>
        <w:rPr>
          <w:color w:val="000000"/>
          <w:spacing w:val="0"/>
          <w:w w:val="100"/>
          <w:position w:val="0"/>
        </w:rPr>
        <w:t>（</w:t>
      </w:r>
      <w:bookmarkEnd w:id="88"/>
      <w:r>
        <w:rPr>
          <w:rFonts w:ascii="Times New Roman" w:eastAsia="Times New Roman" w:hAnsi="Times New Roman" w:cs="Times New Roman"/>
          <w:color w:val="000000"/>
          <w:spacing w:val="0"/>
          <w:w w:val="100"/>
          <w:position w:val="0"/>
        </w:rPr>
        <w:t>2</w:t>
      </w:r>
      <w:r>
        <w:rPr>
          <w:color w:val="000000"/>
          <w:spacing w:val="0"/>
          <w:w w:val="100"/>
          <w:position w:val="0"/>
        </w:rPr>
        <w:t>）</w:t>
        <w:tab/>
        <w:t>专注研发投入，升级产品档次，优化产品结构，提升核心竞争优势</w:t>
      </w:r>
      <w:bookmarkEnd w:id="86"/>
      <w:bookmarkEnd w:id="87"/>
      <w:bookmarkEnd w:id="89"/>
    </w:p>
    <w:p>
      <w:pPr>
        <w:pStyle w:val="Style13"/>
        <w:keepNext w:val="0"/>
        <w:keepLines w:val="0"/>
        <w:widowControl w:val="0"/>
        <w:shd w:val="clear" w:color="auto" w:fill="auto"/>
        <w:bidi w:val="0"/>
        <w:spacing w:before="0" w:after="40" w:line="454" w:lineRule="exact"/>
        <w:ind w:left="0" w:right="0" w:firstLine="480"/>
        <w:jc w:val="both"/>
        <w:rPr>
          <w:sz w:val="18"/>
          <w:szCs w:val="18"/>
        </w:rPr>
        <w:sectPr>
          <w:footnotePr>
            <w:pos w:val="pageBottom"/>
            <w:numFmt w:val="decimal"/>
            <w:numRestart w:val="continuous"/>
          </w:footnotePr>
          <w:pgSz w:w="11900" w:h="16840"/>
          <w:pgMar w:top="1566" w:right="994" w:bottom="913" w:left="1109" w:header="0" w:footer="3" w:gutter="0"/>
          <w:cols w:space="720"/>
          <w:noEndnote/>
          <w:rtlGutter w:val="0"/>
          <w:docGrid w:linePitch="360"/>
        </w:sectPr>
      </w:pPr>
      <w:r>
        <w:rPr>
          <w:color w:val="000000"/>
          <w:spacing w:val="0"/>
          <w:w w:val="100"/>
          <w:position w:val="0"/>
          <w:sz w:val="22"/>
          <w:szCs w:val="22"/>
        </w:rPr>
        <w:t>针对通用</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2"/>
          <w:szCs w:val="22"/>
        </w:rPr>
        <w:t>领域，公司将扩大</w:t>
      </w:r>
      <w:r>
        <w:rPr>
          <w:rFonts w:ascii="Times New Roman" w:eastAsia="Times New Roman" w:hAnsi="Times New Roman" w:cs="Times New Roman"/>
          <w:color w:val="000000"/>
          <w:spacing w:val="0"/>
          <w:w w:val="100"/>
          <w:position w:val="0"/>
          <w:sz w:val="22"/>
          <w:szCs w:val="22"/>
        </w:rPr>
        <w:t>32</w:t>
      </w:r>
      <w:r>
        <w:rPr>
          <w:color w:val="000000"/>
          <w:spacing w:val="0"/>
          <w:w w:val="100"/>
          <w:position w:val="0"/>
          <w:sz w:val="22"/>
          <w:szCs w:val="22"/>
        </w:rPr>
        <w:t>位</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2"/>
          <w:szCs w:val="22"/>
        </w:rPr>
        <w:t>产品研发技术路径，做精做深做广，落实更高性 能技术路径；在高端高性能</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2"/>
          <w:szCs w:val="22"/>
        </w:rPr>
        <w:t>、</w:t>
      </w:r>
      <w:r>
        <w:rPr>
          <w:color w:val="000000"/>
          <w:spacing w:val="0"/>
          <w:w w:val="100"/>
          <w:position w:val="0"/>
          <w:sz w:val="22"/>
          <w:szCs w:val="22"/>
        </w:rPr>
        <w:t>高可靠性车规</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2"/>
          <w:szCs w:val="22"/>
        </w:rPr>
        <w:t>、</w:t>
      </w:r>
      <w:r>
        <w:rPr>
          <w:color w:val="000000"/>
          <w:spacing w:val="0"/>
          <w:w w:val="100"/>
          <w:position w:val="0"/>
          <w:sz w:val="22"/>
          <w:szCs w:val="22"/>
        </w:rPr>
        <w:t>高可靠性</w:t>
      </w:r>
      <w:r>
        <w:rPr>
          <w:rFonts w:ascii="Times New Roman" w:eastAsia="Times New Roman" w:hAnsi="Times New Roman" w:cs="Times New Roman"/>
          <w:color w:val="000000"/>
          <w:spacing w:val="0"/>
          <w:w w:val="100"/>
          <w:position w:val="0"/>
          <w:sz w:val="22"/>
          <w:szCs w:val="22"/>
        </w:rPr>
        <w:t>BMS</w:t>
      </w:r>
      <w:r>
        <w:rPr>
          <w:color w:val="000000"/>
          <w:spacing w:val="0"/>
          <w:w w:val="100"/>
          <w:position w:val="0"/>
          <w:sz w:val="22"/>
          <w:szCs w:val="22"/>
        </w:rPr>
        <w:t>等战略产品线上投入资源; 在保持物联网领域安全性核心技术竞争力基础上，提升产品在高集成度、高性能、低功耗、高可 靠性等技术优势。公司将继续进行通用</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2"/>
          <w:szCs w:val="22"/>
        </w:rPr>
        <w:t xml:space="preserve">芯片技术的研发，通过技术研发提升产品性能、加快 </w:t>
      </w:r>
      <w:r>
        <w:rPr>
          <w:rFonts w:ascii="Times New Roman" w:eastAsia="Times New Roman" w:hAnsi="Times New Roman" w:cs="Times New Roman"/>
          <w:color w:val="000000"/>
          <w:spacing w:val="0"/>
          <w:w w:val="100"/>
          <w:position w:val="0"/>
          <w:sz w:val="18"/>
          <w:szCs w:val="18"/>
        </w:rPr>
        <w:t>15</w:t>
      </w:r>
    </w:p>
    <w:p>
      <w:pPr>
        <w:pStyle w:val="Style13"/>
        <w:keepNext w:val="0"/>
        <w:keepLines w:val="0"/>
        <w:widowControl w:val="0"/>
        <w:shd w:val="clear" w:color="auto" w:fill="auto"/>
        <w:bidi w:val="0"/>
        <w:spacing w:before="0" w:after="0" w:line="470" w:lineRule="exact"/>
        <w:ind w:left="0" w:right="0" w:firstLine="0"/>
        <w:jc w:val="both"/>
      </w:pPr>
      <w:r>
        <w:rPr>
          <w:color w:val="000000"/>
          <w:spacing w:val="0"/>
          <w:w w:val="100"/>
          <w:position w:val="0"/>
        </w:rPr>
        <w:t>生态体系建设，构建通用</w:t>
      </w:r>
      <w:r>
        <w:rPr>
          <w:rFonts w:ascii="Times New Roman" w:eastAsia="Times New Roman" w:hAnsi="Times New Roman" w:cs="Times New Roman"/>
          <w:color w:val="000000"/>
          <w:spacing w:val="0"/>
          <w:w w:val="100"/>
          <w:position w:val="0"/>
        </w:rPr>
        <w:t>MCU</w:t>
      </w:r>
      <w:r>
        <w:rPr>
          <w:color w:val="000000"/>
          <w:spacing w:val="0"/>
          <w:w w:val="100"/>
          <w:position w:val="0"/>
        </w:rPr>
        <w:t>核心竞争力。公司将持续完善通用</w:t>
      </w:r>
      <w:r>
        <w:rPr>
          <w:rFonts w:ascii="Times New Roman" w:eastAsia="Times New Roman" w:hAnsi="Times New Roman" w:cs="Times New Roman"/>
          <w:color w:val="000000"/>
          <w:spacing w:val="0"/>
          <w:w w:val="100"/>
          <w:position w:val="0"/>
        </w:rPr>
        <w:t>MCU</w:t>
      </w:r>
      <w:r>
        <w:rPr>
          <w:color w:val="000000"/>
          <w:spacing w:val="0"/>
          <w:w w:val="100"/>
          <w:position w:val="0"/>
        </w:rPr>
        <w:t>芯片产品系列化及其解决 方案，根据行业不同应用领域和行业发展趋势，持续研发、推出高集成度、高性能、高可靠性和 低功耗等技术特色的通用安全</w:t>
      </w:r>
      <w:r>
        <w:rPr>
          <w:rFonts w:ascii="Times New Roman" w:eastAsia="Times New Roman" w:hAnsi="Times New Roman" w:cs="Times New Roman"/>
          <w:color w:val="000000"/>
          <w:spacing w:val="0"/>
          <w:w w:val="100"/>
          <w:position w:val="0"/>
        </w:rPr>
        <w:t>MCU</w:t>
      </w:r>
      <w:r>
        <w:rPr>
          <w:color w:val="000000"/>
          <w:spacing w:val="0"/>
          <w:w w:val="100"/>
          <w:position w:val="0"/>
        </w:rPr>
        <w:t>产品，为客户和市场提供更多产品选择。</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针对信息安全业务，公司将继续专注于集成电路行业与信息安全交叉领域，持续增强安全技 术升级，持续优化及迭代和发展微认证安全芯片、低功耗蓝牙等传统优势产品；继续达成推进可 信计算芯片的</w:t>
      </w:r>
      <w:r>
        <w:rPr>
          <w:rFonts w:ascii="Times New Roman" w:eastAsia="Times New Roman" w:hAnsi="Times New Roman" w:cs="Times New Roman"/>
          <w:color w:val="000000"/>
          <w:spacing w:val="0"/>
          <w:w w:val="100"/>
          <w:position w:val="0"/>
        </w:rPr>
        <w:t>CC</w:t>
      </w:r>
      <w:r>
        <w:rPr>
          <w:color w:val="000000"/>
          <w:spacing w:val="0"/>
          <w:w w:val="100"/>
          <w:position w:val="0"/>
        </w:rPr>
        <w:t>认证，扩大互联网、物联网的应用解决方案范围，深耕国内市场的同时，积极布 局该领域量子密码技术，保持与增强该领域产品核心竞争力。</w:t>
      </w:r>
    </w:p>
    <w:p>
      <w:pPr>
        <w:pStyle w:val="Style37"/>
        <w:keepNext/>
        <w:keepLines/>
        <w:widowControl w:val="0"/>
        <w:shd w:val="clear" w:color="auto" w:fill="auto"/>
        <w:tabs>
          <w:tab w:pos="948" w:val="left"/>
        </w:tabs>
        <w:bidi w:val="0"/>
        <w:spacing w:before="0" w:after="0" w:line="470" w:lineRule="exact"/>
        <w:ind w:left="0" w:right="0" w:firstLine="480"/>
        <w:jc w:val="both"/>
      </w:pPr>
      <w:bookmarkStart w:id="90" w:name="bookmark90"/>
      <w:bookmarkStart w:id="91" w:name="bookmark91"/>
      <w:bookmarkStart w:id="92" w:name="bookmark92"/>
      <w:bookmarkStart w:id="93" w:name="bookmark93"/>
      <w:r>
        <w:rPr>
          <w:color w:val="000000"/>
          <w:spacing w:val="0"/>
          <w:w w:val="100"/>
          <w:position w:val="0"/>
        </w:rPr>
        <w:t>（</w:t>
      </w:r>
      <w:bookmarkEnd w:id="92"/>
      <w:r>
        <w:rPr>
          <w:rFonts w:ascii="Times New Roman" w:eastAsia="Times New Roman" w:hAnsi="Times New Roman" w:cs="Times New Roman"/>
          <w:color w:val="000000"/>
          <w:spacing w:val="0"/>
          <w:w w:val="100"/>
          <w:position w:val="0"/>
        </w:rPr>
        <w:t>3</w:t>
      </w:r>
      <w:r>
        <w:rPr>
          <w:color w:val="000000"/>
          <w:spacing w:val="0"/>
          <w:w w:val="100"/>
          <w:position w:val="0"/>
        </w:rPr>
        <w:t>）</w:t>
        <w:tab/>
        <w:t>加强市场拓展，扩大市场份额</w:t>
      </w:r>
      <w:bookmarkEnd w:id="90"/>
      <w:bookmarkEnd w:id="91"/>
      <w:bookmarkEnd w:id="93"/>
    </w:p>
    <w:p>
      <w:pPr>
        <w:pStyle w:val="Style13"/>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公司以行业市场和通用市场并举，深入耕耘行业市场，紧跟通用市场发展趋势，研发更具竞 争力、更符合客户需求的产品和解决方案，推动公司各类芯片在细分市场的领先性。</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通用</w:t>
      </w:r>
      <w:r>
        <w:rPr>
          <w:rFonts w:ascii="Times New Roman" w:eastAsia="Times New Roman" w:hAnsi="Times New Roman" w:cs="Times New Roman"/>
          <w:color w:val="000000"/>
          <w:spacing w:val="0"/>
          <w:w w:val="100"/>
          <w:position w:val="0"/>
        </w:rPr>
        <w:t>MCU</w:t>
      </w:r>
      <w:r>
        <w:rPr>
          <w:color w:val="000000"/>
          <w:spacing w:val="0"/>
          <w:w w:val="100"/>
          <w:position w:val="0"/>
        </w:rPr>
        <w:t>领域：利用公司在</w:t>
      </w:r>
      <w:r>
        <w:rPr>
          <w:rFonts w:ascii="Times New Roman" w:eastAsia="Times New Roman" w:hAnsi="Times New Roman" w:cs="Times New Roman"/>
          <w:color w:val="000000"/>
          <w:spacing w:val="0"/>
          <w:w w:val="100"/>
          <w:position w:val="0"/>
        </w:rPr>
        <w:t>SoC</w:t>
      </w:r>
      <w:r>
        <w:rPr>
          <w:color w:val="000000"/>
          <w:spacing w:val="0"/>
          <w:w w:val="100"/>
          <w:position w:val="0"/>
        </w:rPr>
        <w:t>芯片的技术积累和沉淀优势，发挥在</w:t>
      </w:r>
      <w:r>
        <w:rPr>
          <w:rFonts w:ascii="Times New Roman" w:eastAsia="Times New Roman" w:hAnsi="Times New Roman" w:cs="Times New Roman"/>
          <w:color w:val="000000"/>
          <w:spacing w:val="0"/>
          <w:w w:val="100"/>
          <w:position w:val="0"/>
        </w:rPr>
        <w:t>MCU</w:t>
      </w:r>
      <w:r>
        <w:rPr>
          <w:color w:val="000000"/>
          <w:spacing w:val="0"/>
          <w:w w:val="100"/>
          <w:position w:val="0"/>
        </w:rPr>
        <w:t>领域高集成度、低 功耗、高可靠性等优势，增强</w:t>
      </w:r>
      <w:r>
        <w:rPr>
          <w:rFonts w:ascii="Times New Roman" w:eastAsia="Times New Roman" w:hAnsi="Times New Roman" w:cs="Times New Roman"/>
          <w:color w:val="000000"/>
          <w:spacing w:val="0"/>
          <w:w w:val="100"/>
          <w:position w:val="0"/>
        </w:rPr>
        <w:t>MCU</w:t>
      </w:r>
      <w:r>
        <w:rPr>
          <w:color w:val="000000"/>
          <w:spacing w:val="0"/>
          <w:w w:val="100"/>
          <w:position w:val="0"/>
        </w:rPr>
        <w:t>安全性，提供具有差异化和全系列化的产品和解决方案特色优 势，通过持续丰富产品系列和细分方向的应用，抓住国产供应链建立的机遇，加强在工业控制、 智能家电及智能家庭物联网终端、智能表计、安防、医疗电子、电机驱动、电池及能源管理、生 物识别、通讯、传感器、机器自动化等行业市场的进入。在部分行业突破国外企业垄断，占据更 多市场份额，努力将公司打造为在技术、产品品种和量产交付数量上的国内领军企业。</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信息安全领域：在巩固现有行业市场应用竞争力的同时，以针对性更强、应用更灵活的产品 及系统解决方案，将各类产品及解决方案进一步进入物联网、工业互联网、微认证应用等安全领 域市场，促进物联网市场应用的数据保护及物联网身份认证的安全性，加强和行业主流厂商的深 入合作；推动可信计算芯片在互联网、大数据、云计算、物联网等安全领域的发展。</w:t>
      </w:r>
    </w:p>
    <w:p>
      <w:pPr>
        <w:pStyle w:val="Style37"/>
        <w:keepNext/>
        <w:keepLines/>
        <w:widowControl w:val="0"/>
        <w:shd w:val="clear" w:color="auto" w:fill="auto"/>
        <w:tabs>
          <w:tab w:pos="916" w:val="left"/>
        </w:tabs>
        <w:bidi w:val="0"/>
        <w:spacing w:before="0" w:after="0" w:line="470" w:lineRule="exact"/>
        <w:ind w:left="0" w:right="0" w:firstLine="440"/>
        <w:jc w:val="both"/>
      </w:pPr>
      <w:bookmarkStart w:id="94" w:name="bookmark94"/>
      <w:bookmarkStart w:id="95" w:name="bookmark95"/>
      <w:bookmarkStart w:id="96" w:name="bookmark96"/>
      <w:bookmarkStart w:id="97" w:name="bookmark97"/>
      <w:r>
        <w:rPr>
          <w:color w:val="000000"/>
          <w:spacing w:val="0"/>
          <w:w w:val="100"/>
          <w:position w:val="0"/>
        </w:rPr>
        <w:t>（</w:t>
      </w:r>
      <w:bookmarkEnd w:id="96"/>
      <w:r>
        <w:rPr>
          <w:rFonts w:ascii="Times New Roman" w:eastAsia="Times New Roman" w:hAnsi="Times New Roman" w:cs="Times New Roman"/>
          <w:color w:val="000000"/>
          <w:spacing w:val="0"/>
          <w:w w:val="100"/>
          <w:position w:val="0"/>
        </w:rPr>
        <w:t>4</w:t>
      </w:r>
      <w:r>
        <w:rPr>
          <w:color w:val="000000"/>
          <w:spacing w:val="0"/>
          <w:w w:val="100"/>
          <w:position w:val="0"/>
        </w:rPr>
        <w:t>）</w:t>
        <w:tab/>
        <w:t>加强核心技术人才的引进和培养</w:t>
      </w:r>
      <w:bookmarkEnd w:id="94"/>
      <w:bookmarkEnd w:id="95"/>
      <w:bookmarkEnd w:id="97"/>
    </w:p>
    <w:p>
      <w:pPr>
        <w:pStyle w:val="Style13"/>
        <w:keepNext w:val="0"/>
        <w:keepLines w:val="0"/>
        <w:widowControl w:val="0"/>
        <w:shd w:val="clear" w:color="auto" w:fill="auto"/>
        <w:bidi w:val="0"/>
        <w:spacing w:before="0" w:after="440" w:line="468" w:lineRule="exact"/>
        <w:ind w:left="0" w:right="0" w:firstLine="480"/>
        <w:jc w:val="both"/>
      </w:pPr>
      <w:r>
        <w:rPr>
          <w:color w:val="000000"/>
          <w:spacing w:val="0"/>
          <w:w w:val="100"/>
          <w:position w:val="0"/>
        </w:rPr>
        <w:t>公司拥有集成电路行业和新能源负极材料行业中优秀而多元化的团队，他们在产品、技术、 研发、供应链、销售和管理上均具有多年从业经历。优秀的人才队伍是公司赖以生存与发展的核 心竞争力，为公司未来可持续性发展提供有力的保障。公司将持续加大对外引进人才、对内培养 人才梯队的力度，建立健康企业文化，设立有效激励制度，优胜劣汰保持团队活力，优化人力资 源结构，不断提升组织能力和公司价值。</w:t>
      </w:r>
    </w:p>
    <w:p>
      <w:pPr>
        <w:pStyle w:val="Style37"/>
        <w:keepNext/>
        <w:keepLines/>
        <w:widowControl w:val="0"/>
        <w:shd w:val="clear" w:color="auto" w:fill="auto"/>
        <w:bidi w:val="0"/>
        <w:spacing w:before="0" w:after="200" w:line="240" w:lineRule="auto"/>
        <w:ind w:left="0" w:right="0" w:firstLine="440"/>
        <w:jc w:val="both"/>
      </w:pPr>
      <w:bookmarkStart w:id="100" w:name="bookmark100"/>
      <w:bookmarkStart w:id="101" w:name="bookmark101"/>
      <w:bookmarkStart w:id="98" w:name="bookmark98"/>
      <w:bookmarkStart w:id="99" w:name="bookmark99"/>
      <w:r>
        <w:rPr>
          <w:color w:val="000000"/>
          <w:spacing w:val="0"/>
          <w:w w:val="100"/>
          <w:position w:val="0"/>
        </w:rPr>
        <w:t>（</w:t>
      </w:r>
      <w:bookmarkEnd w:id="100"/>
      <w:r>
        <w:rPr>
          <w:color w:val="000000"/>
          <w:spacing w:val="0"/>
          <w:w w:val="100"/>
          <w:position w:val="0"/>
        </w:rPr>
        <w:t>二）新能源负极材料领域</w:t>
      </w:r>
      <w:bookmarkEnd w:id="101"/>
      <w:bookmarkEnd w:id="98"/>
      <w:bookmarkEnd w:id="99"/>
    </w:p>
    <w:p>
      <w:pPr>
        <w:pStyle w:val="Style13"/>
        <w:keepNext w:val="0"/>
        <w:keepLines w:val="0"/>
        <w:widowControl w:val="0"/>
        <w:shd w:val="clear" w:color="auto" w:fill="auto"/>
        <w:bidi w:val="0"/>
        <w:spacing w:before="0" w:after="0" w:line="240" w:lineRule="auto"/>
        <w:ind w:left="0" w:right="0" w:firstLine="440"/>
        <w:jc w:val="both"/>
      </w:pPr>
      <w:bookmarkStart w:id="102" w:name="bookmark102"/>
      <w:r>
        <w:rPr>
          <w:rFonts w:ascii="Times New Roman" w:eastAsia="Times New Roman" w:hAnsi="Times New Roman" w:cs="Times New Roman"/>
          <w:color w:val="000000"/>
          <w:spacing w:val="0"/>
          <w:w w:val="100"/>
          <w:position w:val="0"/>
        </w:rPr>
        <w:t>1</w:t>
      </w:r>
      <w:bookmarkEnd w:id="102"/>
      <w:r>
        <w:rPr>
          <w:color w:val="000000"/>
          <w:spacing w:val="0"/>
          <w:w w:val="100"/>
          <w:position w:val="0"/>
        </w:rPr>
        <w:t>、报告期内主要业务及产品</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目前，新能源负极材料领域业务由控股子公司内蒙古斯诺承担，其主要从事锂离子电池负极 材料研发、生产和销售，以及石墨化加工服务。负极材料主要应用于新能源汽车动力电池、</w:t>
      </w:r>
      <w:r>
        <w:rPr>
          <w:rFonts w:ascii="Times New Roman" w:eastAsia="Times New Roman" w:hAnsi="Times New Roman" w:cs="Times New Roman"/>
          <w:color w:val="000000"/>
          <w:spacing w:val="0"/>
          <w:w w:val="100"/>
          <w:position w:val="0"/>
        </w:rPr>
        <w:t>3C</w:t>
      </w:r>
      <w:r>
        <w:rPr>
          <w:color w:val="000000"/>
          <w:spacing w:val="0"/>
          <w:w w:val="100"/>
          <w:position w:val="0"/>
        </w:rPr>
        <w:t>数 码和储能等锂电池领域；石墨化加工工艺是锂离子电池负极材料生产过程中的重要环节之一。报 告期内石墨化加工除满足内部需求外，也为行业其他用户提供部分石墨化加工服务。</w:t>
      </w:r>
    </w:p>
    <w:p>
      <w:pPr>
        <w:pStyle w:val="Style13"/>
        <w:keepNext w:val="0"/>
        <w:keepLines w:val="0"/>
        <w:widowControl w:val="0"/>
        <w:shd w:val="clear" w:color="auto" w:fill="auto"/>
        <w:tabs>
          <w:tab w:pos="835" w:val="left"/>
        </w:tabs>
        <w:bidi w:val="0"/>
        <w:spacing w:before="0" w:after="0" w:line="469" w:lineRule="exact"/>
        <w:ind w:left="0" w:right="0" w:firstLine="480"/>
        <w:jc w:val="both"/>
      </w:pPr>
      <w:bookmarkStart w:id="103" w:name="bookmark103"/>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经营模式</w:t>
      </w:r>
    </w:p>
    <w:p>
      <w:pPr>
        <w:pStyle w:val="Style13"/>
        <w:keepNext w:val="0"/>
        <w:keepLines w:val="0"/>
        <w:widowControl w:val="0"/>
        <w:shd w:val="clear" w:color="auto" w:fill="auto"/>
        <w:tabs>
          <w:tab w:pos="1061" w:val="left"/>
        </w:tabs>
        <w:bidi w:val="0"/>
        <w:spacing w:before="0" w:after="0" w:line="474" w:lineRule="exact"/>
        <w:ind w:left="0" w:right="0" w:firstLine="48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w:t>
        <w:tab/>
        <w:t>采购模式。内蒙古斯诺采购的原材料主料为焦类产品、石墨，辅料为沥青，为保障原材 料的稳定供应，同时降低采购成本，采用“按需采购”的模式。</w:t>
      </w:r>
    </w:p>
    <w:p>
      <w:pPr>
        <w:pStyle w:val="Style13"/>
        <w:keepNext w:val="0"/>
        <w:keepLines w:val="0"/>
        <w:widowControl w:val="0"/>
        <w:shd w:val="clear" w:color="auto" w:fill="auto"/>
        <w:tabs>
          <w:tab w:pos="1056" w:val="left"/>
        </w:tabs>
        <w:bidi w:val="0"/>
        <w:spacing w:before="0" w:after="0" w:line="474" w:lineRule="exact"/>
        <w:ind w:left="0" w:right="0" w:firstLine="48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w:t>
        <w:tab/>
        <w:t>生产模式。内蒙古斯诺实行“自主生产”模式，结合各类型产品的销售情况、原材料和 成品库存量，制定下月生产计划。石墨化加工主要配套自身负极材料石墨化加工需求，在满足自 身需求的基础上剩余产能可对外提供加工服务。</w:t>
      </w:r>
    </w:p>
    <w:p>
      <w:pPr>
        <w:pStyle w:val="Style13"/>
        <w:keepNext w:val="0"/>
        <w:keepLines w:val="0"/>
        <w:widowControl w:val="0"/>
        <w:shd w:val="clear" w:color="auto" w:fill="auto"/>
        <w:tabs>
          <w:tab w:pos="1061" w:val="left"/>
        </w:tabs>
        <w:bidi w:val="0"/>
        <w:spacing w:before="0" w:after="0" w:line="480" w:lineRule="exact"/>
        <w:ind w:left="0" w:right="0" w:firstLine="48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rPr>
        <w:t>3</w:t>
      </w:r>
      <w:r>
        <w:rPr>
          <w:color w:val="000000"/>
          <w:spacing w:val="0"/>
          <w:w w:val="100"/>
          <w:position w:val="0"/>
        </w:rPr>
        <w:t>）</w:t>
        <w:tab/>
        <w:t>销售模式。内蒙古斯诺以直销为主，通过多种渠道积极响应行业内客户需求，加快自身 技术和产品的升级速度。</w:t>
      </w:r>
    </w:p>
    <w:p>
      <w:pPr>
        <w:pStyle w:val="Style13"/>
        <w:keepNext w:val="0"/>
        <w:keepLines w:val="0"/>
        <w:widowControl w:val="0"/>
        <w:shd w:val="clear" w:color="auto" w:fill="auto"/>
        <w:tabs>
          <w:tab w:pos="835" w:val="left"/>
        </w:tabs>
        <w:bidi w:val="0"/>
        <w:spacing w:before="0" w:after="0" w:line="467" w:lineRule="exact"/>
        <w:ind w:left="0" w:right="0" w:firstLine="480"/>
        <w:jc w:val="both"/>
      </w:pPr>
      <w:bookmarkStart w:id="107" w:name="bookmark107"/>
      <w:r>
        <w:rPr>
          <w:rFonts w:ascii="Times New Roman" w:eastAsia="Times New Roman" w:hAnsi="Times New Roman" w:cs="Times New Roman"/>
          <w:color w:val="000000"/>
          <w:spacing w:val="0"/>
          <w:w w:val="100"/>
          <w:position w:val="0"/>
        </w:rPr>
        <w:t>3</w:t>
      </w:r>
      <w:bookmarkEnd w:id="107"/>
      <w:r>
        <w:rPr>
          <w:color w:val="000000"/>
          <w:spacing w:val="0"/>
          <w:w w:val="100"/>
          <w:position w:val="0"/>
        </w:rPr>
        <w:t>、</w:t>
        <w:tab/>
        <w:t>报告期内行业竞争情况及趋势</w:t>
      </w:r>
    </w:p>
    <w:p>
      <w:pPr>
        <w:pStyle w:val="Style13"/>
        <w:keepNext w:val="0"/>
        <w:keepLines w:val="0"/>
        <w:widowControl w:val="0"/>
        <w:shd w:val="clear" w:color="auto" w:fill="auto"/>
        <w:bidi w:val="0"/>
        <w:spacing w:before="0" w:after="0" w:line="467" w:lineRule="exact"/>
        <w:ind w:left="0" w:right="0" w:firstLine="480"/>
        <w:jc w:val="both"/>
        <w:sectPr>
          <w:footnotePr>
            <w:pos w:val="pageBottom"/>
            <w:numFmt w:val="decimal"/>
            <w:numRestart w:val="continuous"/>
          </w:footnotePr>
          <w:pgSz w:w="11900" w:h="16840"/>
          <w:pgMar w:top="1570" w:right="986" w:bottom="1844" w:left="1084" w:header="0" w:footer="3" w:gutter="0"/>
          <w:cols w:space="720"/>
          <w:noEndnote/>
          <w:rtlGutter w:val="0"/>
          <w:docGrid w:linePitch="360"/>
        </w:sectPr>
      </w:pPr>
      <w:r>
        <w:rPr>
          <w:color w:val="000000"/>
          <w:spacing w:val="0"/>
          <w:w w:val="100"/>
          <w:position w:val="0"/>
        </w:rPr>
        <w:t>全球锂电池负极材料生产企业主要分布于中国，根据</w:t>
      </w:r>
      <w:r>
        <w:rPr>
          <w:rFonts w:ascii="Times New Roman" w:eastAsia="Times New Roman" w:hAnsi="Times New Roman" w:cs="Times New Roman"/>
          <w:color w:val="000000"/>
          <w:spacing w:val="0"/>
          <w:w w:val="100"/>
          <w:position w:val="0"/>
        </w:rPr>
        <w:t>GGII</w:t>
      </w:r>
      <w:r>
        <w:rPr>
          <w:color w:val="000000"/>
          <w:spacing w:val="0"/>
          <w:w w:val="100"/>
          <w:position w:val="0"/>
        </w:rPr>
        <w:t>数据，</w:t>
      </w:r>
      <w:r>
        <w:rPr>
          <w:rFonts w:ascii="Times New Roman" w:eastAsia="Times New Roman" w:hAnsi="Times New Roman" w:cs="Times New Roman"/>
          <w:color w:val="000000"/>
          <w:spacing w:val="0"/>
          <w:w w:val="100"/>
          <w:position w:val="0"/>
        </w:rPr>
        <w:t>2020</w:t>
      </w:r>
      <w:r>
        <w:rPr>
          <w:color w:val="000000"/>
          <w:spacing w:val="0"/>
          <w:w w:val="100"/>
          <w:position w:val="0"/>
        </w:rPr>
        <w:t>年全球负极材料出货量 为</w:t>
      </w:r>
      <w:r>
        <w:rPr>
          <w:rFonts w:ascii="Times New Roman" w:eastAsia="Times New Roman" w:hAnsi="Times New Roman" w:cs="Times New Roman"/>
          <w:color w:val="000000"/>
          <w:spacing w:val="0"/>
          <w:w w:val="100"/>
          <w:position w:val="0"/>
        </w:rPr>
        <w:t>53</w:t>
      </w:r>
      <w:r>
        <w:rPr>
          <w:color w:val="000000"/>
          <w:spacing w:val="0"/>
          <w:w w:val="100"/>
          <w:position w:val="0"/>
        </w:rPr>
        <w:t>万吨，中国锂电池负极材料企业共实现出货</w:t>
      </w:r>
      <w:r>
        <w:rPr>
          <w:rFonts w:ascii="Times New Roman" w:eastAsia="Times New Roman" w:hAnsi="Times New Roman" w:cs="Times New Roman"/>
          <w:color w:val="000000"/>
          <w:spacing w:val="0"/>
          <w:w w:val="100"/>
          <w:position w:val="0"/>
        </w:rPr>
        <w:t>36.5</w:t>
      </w:r>
      <w:r>
        <w:rPr>
          <w:color w:val="000000"/>
          <w:spacing w:val="0"/>
          <w:w w:val="100"/>
          <w:position w:val="0"/>
        </w:rPr>
        <w:t>万吨，占全球市场份额的比重达</w:t>
      </w:r>
      <w:r>
        <w:rPr>
          <w:rFonts w:ascii="Times New Roman" w:eastAsia="Times New Roman" w:hAnsi="Times New Roman" w:cs="Times New Roman"/>
          <w:color w:val="000000"/>
          <w:spacing w:val="0"/>
          <w:w w:val="100"/>
          <w:position w:val="0"/>
        </w:rPr>
        <w:t>69.8%</w:t>
      </w:r>
      <w:r>
        <w:rPr>
          <w:color w:val="000000"/>
          <w:spacing w:val="0"/>
          <w:w w:val="100"/>
          <w:position w:val="0"/>
        </w:rPr>
        <w:t>，其余 主要为日本、韩国等国家。国内负极材料的主要供应商有贝特瑞、杉杉股份、璞泰来、凯金能源、 中科星城、翔丰华、石家庄尚太等，国外负极材料的主要供应商有日立化成、浦项化学及三菱化 学等。</w:t>
      </w:r>
      <w:r>
        <w:rPr>
          <w:rFonts w:ascii="Times New Roman" w:eastAsia="Times New Roman" w:hAnsi="Times New Roman" w:cs="Times New Roman"/>
          <w:color w:val="000000"/>
          <w:spacing w:val="0"/>
          <w:w w:val="100"/>
          <w:position w:val="0"/>
        </w:rPr>
        <w:t>2020</w:t>
      </w:r>
      <w:r>
        <w:rPr>
          <w:color w:val="000000"/>
          <w:spacing w:val="0"/>
          <w:w w:val="100"/>
          <w:position w:val="0"/>
        </w:rPr>
        <w:t>年全球主要锂电池负极材料生产企业市场占有率如下：</w:t>
      </w:r>
    </w:p>
    <w:p>
      <w:pPr>
        <w:pStyle w:val="Style40"/>
        <w:keepNext/>
        <w:keepLines/>
        <w:widowControl w:val="0"/>
        <w:shd w:val="clear" w:color="auto" w:fill="auto"/>
        <w:bidi w:val="0"/>
        <w:spacing w:before="0" w:after="0" w:line="240" w:lineRule="auto"/>
        <w:ind w:left="0" w:right="0" w:firstLine="0"/>
        <w:jc w:val="left"/>
      </w:pPr>
      <w:bookmarkStart w:id="108" w:name="bookmark108"/>
      <w:bookmarkStart w:id="109" w:name="bookmark109"/>
      <w:bookmarkStart w:id="110" w:name="bookmark110"/>
      <w:r>
        <w:rPr>
          <w:spacing w:val="0"/>
          <w:w w:val="100"/>
          <w:position w:val="0"/>
        </w:rPr>
        <w:t>Nation 0</w:t>
      </w:r>
      <w:bookmarkEnd w:id="108"/>
      <w:bookmarkEnd w:id="109"/>
      <w:bookmarkEnd w:id="110"/>
    </w:p>
    <w:p>
      <w:pPr>
        <w:pStyle w:val="Style5"/>
        <w:keepNext w:val="0"/>
        <w:keepLines w:val="0"/>
        <w:widowControl w:val="0"/>
        <w:shd w:val="clear" w:color="auto" w:fill="auto"/>
        <w:bidi w:val="0"/>
        <w:spacing w:before="0" w:line="240" w:lineRule="auto"/>
        <w:ind w:left="0" w:right="0" w:firstLine="680"/>
        <w:jc w:val="both"/>
      </w:pPr>
      <w:r>
        <w:rPr>
          <w:color w:val="000000"/>
          <w:spacing w:val="0"/>
          <w:w w:val="100"/>
          <w:position w:val="0"/>
        </w:rPr>
        <w:t>国民技术</w:t>
      </w:r>
      <w:r>
        <w:rPr>
          <w:color w:val="01418A"/>
          <w:spacing w:val="0"/>
          <w:w w:val="100"/>
          <w:position w:val="0"/>
        </w:rPr>
        <w:t>▼</w:t>
      </w:r>
    </w:p>
    <w:p>
      <w:pPr>
        <w:pStyle w:val="Style4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666666"/>
          <w:spacing w:val="0"/>
          <w:w w:val="100"/>
          <w:position w:val="0"/>
          <w:sz w:val="24"/>
          <w:szCs w:val="24"/>
        </w:rPr>
        <w:t>2020</w:t>
      </w:r>
      <w:r>
        <w:rPr>
          <w:b/>
          <w:bCs/>
          <w:color w:val="666666"/>
          <w:spacing w:val="0"/>
          <w:w w:val="100"/>
          <w:position w:val="0"/>
        </w:rPr>
        <w:t>年全球主要锂电池负极材料生产企业市场占有率</w:t>
      </w:r>
    </w:p>
    <w:p>
      <w:pPr>
        <w:widowControl w:val="0"/>
        <w:jc w:val="center"/>
        <w:rPr>
          <w:sz w:val="2"/>
          <w:szCs w:val="2"/>
        </w:rPr>
      </w:pPr>
      <w:r>
        <w:drawing>
          <wp:inline>
            <wp:extent cx="4839970" cy="349313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4839970" cy="3493135"/>
                    </a:xfrm>
                    <a:prstGeom prst="rect"/>
                  </pic:spPr>
                </pic:pic>
              </a:graphicData>
            </a:graphic>
          </wp:inline>
        </w:drawing>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数据来源：高工锂电</w:t>
      </w:r>
    </w:p>
    <w:p>
      <w:pPr>
        <w:pStyle w:val="Style13"/>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由于负极材料核心工序石墨化加工领域属于高能耗项目，容易受限电、限产政策影响，新建 项目审批流程较长，导致石墨化新增产能释放缓慢，进而在一定程度上影响了负极材料的产能释 放。基于此，负极材料行业头部企业纷纷在石墨化产能及负极材料一体化项目加速扩张，国内锂 离子电池负极材料生产企业众多，同时还有新晋企业加入，负极材料行业竞争将进一步加剧。未 来几年，国内锂电负极材料生产企业的竞争主要体现在第二梯队企业对第一梯队企业的追赶，以 及第二梯队企业之间的竞争；低端重复产能将被淘汰，拥有核心技术、较强的质量控制能力、成 本控制能力和优势客户渠道的企业才能获得长足的发展，市场集中度将一步提升，行业内企业面 临较大的市场竞争。</w:t>
      </w:r>
    </w:p>
    <w:p>
      <w:pPr>
        <w:pStyle w:val="Style13"/>
        <w:keepNext w:val="0"/>
        <w:keepLines w:val="0"/>
        <w:widowControl w:val="0"/>
        <w:shd w:val="clear" w:color="auto" w:fill="auto"/>
        <w:bidi w:val="0"/>
        <w:spacing w:before="0" w:after="200" w:line="470" w:lineRule="exact"/>
        <w:ind w:left="0" w:right="0" w:firstLine="0"/>
        <w:jc w:val="both"/>
      </w:pPr>
      <w:bookmarkStart w:id="111" w:name="bookmark111"/>
      <w:r>
        <w:rPr>
          <w:b/>
          <w:bCs/>
          <w:color w:val="000000"/>
          <w:spacing w:val="0"/>
          <w:w w:val="100"/>
          <w:position w:val="0"/>
        </w:rPr>
        <w:t>三</w:t>
      </w:r>
      <w:bookmarkEnd w:id="111"/>
      <w:r>
        <w:rPr>
          <w:b/>
          <w:bCs/>
          <w:color w:val="000000"/>
          <w:spacing w:val="0"/>
          <w:w w:val="100"/>
          <w:position w:val="0"/>
        </w:rPr>
        <w:t>、核心竞争力分析</w:t>
      </w:r>
    </w:p>
    <w:p>
      <w:pPr>
        <w:pStyle w:val="Style13"/>
        <w:keepNext w:val="0"/>
        <w:keepLines w:val="0"/>
        <w:widowControl w:val="0"/>
        <w:shd w:val="clear" w:color="auto" w:fill="auto"/>
        <w:bidi w:val="0"/>
        <w:spacing w:before="0" w:after="200" w:line="470" w:lineRule="exact"/>
        <w:ind w:left="0" w:right="0" w:firstLine="480"/>
        <w:jc w:val="both"/>
      </w:pPr>
      <w:r>
        <w:rPr>
          <w:b/>
          <w:bCs/>
          <w:color w:val="000000"/>
          <w:spacing w:val="0"/>
          <w:w w:val="100"/>
          <w:position w:val="0"/>
        </w:rPr>
        <w:t>（一）、集成电路设计领域</w:t>
      </w:r>
    </w:p>
    <w:p>
      <w:pPr>
        <w:pStyle w:val="Style13"/>
        <w:keepNext w:val="0"/>
        <w:keepLines w:val="0"/>
        <w:widowControl w:val="0"/>
        <w:shd w:val="clear" w:color="auto" w:fill="auto"/>
        <w:bidi w:val="0"/>
        <w:spacing w:before="0" w:after="0" w:line="410" w:lineRule="auto"/>
        <w:ind w:left="0" w:right="0" w:firstLine="480"/>
        <w:jc w:val="both"/>
      </w:pPr>
      <w:bookmarkStart w:id="112" w:name="bookmark112"/>
      <w:r>
        <w:rPr>
          <w:rFonts w:ascii="Times New Roman" w:eastAsia="Times New Roman" w:hAnsi="Times New Roman" w:cs="Times New Roman"/>
          <w:b/>
          <w:bCs/>
          <w:color w:val="000000"/>
          <w:spacing w:val="0"/>
          <w:w w:val="100"/>
          <w:position w:val="0"/>
          <w:sz w:val="24"/>
          <w:szCs w:val="24"/>
        </w:rPr>
        <w:t>1</w:t>
      </w:r>
      <w:bookmarkEnd w:id="112"/>
      <w:r>
        <w:rPr>
          <w:b/>
          <w:bCs/>
          <w:color w:val="000000"/>
          <w:spacing w:val="0"/>
          <w:w w:val="100"/>
          <w:position w:val="0"/>
        </w:rPr>
        <w:t>、技术及研发优势</w:t>
      </w:r>
    </w:p>
    <w:p>
      <w:pPr>
        <w:pStyle w:val="Style13"/>
        <w:keepNext w:val="0"/>
        <w:keepLines w:val="0"/>
        <w:widowControl w:val="0"/>
        <w:shd w:val="clear" w:color="auto" w:fill="auto"/>
        <w:bidi w:val="0"/>
        <w:spacing w:before="0" w:after="200" w:line="470" w:lineRule="exact"/>
        <w:ind w:left="0" w:right="0" w:firstLine="380"/>
        <w:jc w:val="both"/>
        <w:sectPr>
          <w:footnotePr>
            <w:pos w:val="pageBottom"/>
            <w:numFmt w:val="decimal"/>
            <w:numRestart w:val="continuous"/>
          </w:footnotePr>
          <w:pgSz w:w="11900" w:h="16840"/>
          <w:pgMar w:top="313" w:right="1110" w:bottom="1369" w:left="1076" w:header="0" w:footer="3" w:gutter="0"/>
          <w:cols w:space="720"/>
          <w:noEndnote/>
          <w:rtlGutter w:val="0"/>
          <w:docGrid w:linePitch="360"/>
        </w:sectPr>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1</w:t>
      </w:r>
      <w:r>
        <w:rPr>
          <w:color w:val="000000"/>
          <w:spacing w:val="0"/>
          <w:w w:val="100"/>
          <w:position w:val="0"/>
        </w:rPr>
        <w:t>）在安全</w:t>
      </w:r>
      <w:r>
        <w:rPr>
          <w:rFonts w:ascii="Times New Roman" w:eastAsia="Times New Roman" w:hAnsi="Times New Roman" w:cs="Times New Roman"/>
          <w:color w:val="000000"/>
          <w:spacing w:val="0"/>
          <w:w w:val="100"/>
          <w:position w:val="0"/>
        </w:rPr>
        <w:t>SoC</w:t>
      </w:r>
      <w:r>
        <w:rPr>
          <w:color w:val="000000"/>
          <w:spacing w:val="0"/>
          <w:w w:val="100"/>
          <w:position w:val="0"/>
        </w:rPr>
        <w:t>芯片技术领域，经过长期研发与迭代，公司积累沉淀了能够充分满足和引领 客户应用的下一代安全密码芯片技术、高性能超低功耗</w:t>
      </w:r>
      <w:r>
        <w:rPr>
          <w:rFonts w:ascii="Times New Roman" w:eastAsia="Times New Roman" w:hAnsi="Times New Roman" w:cs="Times New Roman"/>
          <w:color w:val="000000"/>
          <w:spacing w:val="0"/>
          <w:w w:val="100"/>
          <w:position w:val="0"/>
        </w:rPr>
        <w:t>SoC</w:t>
      </w:r>
      <w:r>
        <w:rPr>
          <w:color w:val="000000"/>
          <w:spacing w:val="0"/>
          <w:w w:val="100"/>
          <w:position w:val="0"/>
        </w:rPr>
        <w:t>架构设计技术以及超低功耗蓝牙无线 通信技术等核心技术及卓越的芯片产品研发能力；在通用</w:t>
      </w:r>
      <w:r>
        <w:rPr>
          <w:rFonts w:ascii="Times New Roman" w:eastAsia="Times New Roman" w:hAnsi="Times New Roman" w:cs="Times New Roman"/>
          <w:color w:val="000000"/>
          <w:spacing w:val="0"/>
          <w:w w:val="100"/>
          <w:position w:val="0"/>
        </w:rPr>
        <w:t>MCU</w:t>
      </w:r>
      <w:r>
        <w:rPr>
          <w:color w:val="000000"/>
          <w:spacing w:val="0"/>
          <w:w w:val="100"/>
          <w:position w:val="0"/>
        </w:rPr>
        <w:t>芯片技术领域，成熟掌握自主核</w:t>
      </w:r>
    </w:p>
    <w:p>
      <w:pPr>
        <w:pStyle w:val="Style13"/>
        <w:keepNext w:val="0"/>
        <w:keepLines w:val="0"/>
        <w:widowControl w:val="0"/>
        <w:shd w:val="clear" w:color="auto" w:fill="auto"/>
        <w:bidi w:val="0"/>
        <w:spacing w:before="0" w:after="0" w:line="470" w:lineRule="exact"/>
        <w:ind w:left="0" w:right="0" w:firstLine="0"/>
        <w:jc w:val="both"/>
      </w:pPr>
      <w:r>
        <w:rPr>
          <w:color w:val="000000"/>
          <w:spacing w:val="0"/>
          <w:w w:val="100"/>
          <w:position w:val="0"/>
        </w:rPr>
        <w:t>心技术和底层基础技术，建立并布局通用</w:t>
      </w:r>
      <w:r>
        <w:rPr>
          <w:rFonts w:ascii="Times New Roman" w:eastAsia="Times New Roman" w:hAnsi="Times New Roman" w:cs="Times New Roman"/>
          <w:color w:val="000000"/>
          <w:spacing w:val="0"/>
          <w:w w:val="100"/>
          <w:position w:val="0"/>
        </w:rPr>
        <w:t>MCU</w:t>
      </w:r>
      <w:r>
        <w:rPr>
          <w:color w:val="000000"/>
          <w:spacing w:val="0"/>
          <w:w w:val="100"/>
          <w:position w:val="0"/>
        </w:rPr>
        <w:t>芯片设计研发所需要的核心技术知识产权，持续 优化提升通用</w:t>
      </w:r>
      <w:r>
        <w:rPr>
          <w:rFonts w:ascii="Times New Roman" w:eastAsia="Times New Roman" w:hAnsi="Times New Roman" w:cs="Times New Roman"/>
          <w:color w:val="000000"/>
          <w:spacing w:val="0"/>
          <w:w w:val="100"/>
          <w:position w:val="0"/>
        </w:rPr>
        <w:t>MCU</w:t>
      </w:r>
      <w:r>
        <w:rPr>
          <w:color w:val="000000"/>
          <w:spacing w:val="0"/>
          <w:w w:val="100"/>
          <w:position w:val="0"/>
        </w:rPr>
        <w:t>芯片产品系列化研发平台；在工业控制等高可靠性</w:t>
      </w:r>
      <w:r>
        <w:rPr>
          <w:rFonts w:ascii="Times New Roman" w:eastAsia="Times New Roman" w:hAnsi="Times New Roman" w:cs="Times New Roman"/>
          <w:color w:val="000000"/>
          <w:spacing w:val="0"/>
          <w:w w:val="100"/>
          <w:position w:val="0"/>
        </w:rPr>
        <w:t>MCU</w:t>
      </w:r>
      <w:r>
        <w:rPr>
          <w:color w:val="000000"/>
          <w:spacing w:val="0"/>
          <w:w w:val="100"/>
          <w:position w:val="0"/>
        </w:rPr>
        <w:t>芯片技术领域，开 始掌握高质量目标、高性能和高可靠系统架构与核心技术；公司与集成电路产业链上下游厂商、 国内外同行建立的战略合作关系深入持久，持续保持基于先进工艺技术的芯片研发设计和产品化 方面的技术优势。</w:t>
      </w:r>
    </w:p>
    <w:p>
      <w:pPr>
        <w:pStyle w:val="Style13"/>
        <w:keepNext w:val="0"/>
        <w:keepLines w:val="0"/>
        <w:widowControl w:val="0"/>
        <w:shd w:val="clear" w:color="auto" w:fill="auto"/>
        <w:bidi w:val="0"/>
        <w:spacing w:before="0" w:after="0" w:line="472" w:lineRule="exact"/>
        <w:ind w:left="0" w:right="0" w:firstLine="36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）公司持续加强引进专业优秀人才，并不断优化核心技术团队，保持技术团队的技术领先 性、战斗力和研发核心竞争力。多年来汇集和培养了一批海内外集成电路行业内优秀技术人才、 研发和管理人才和高层次领军骨干，形成完整人才梯队；公司在新加坡设立研发中心，聚集具有 国际知名半导体企业丰富工作经验的高端人才，紧随世界先进技术发展前沿，为保持产品核心竞 争力提供坚实基础。</w:t>
      </w:r>
    </w:p>
    <w:p>
      <w:pPr>
        <w:pStyle w:val="Style37"/>
        <w:keepNext/>
        <w:keepLines/>
        <w:widowControl w:val="0"/>
        <w:shd w:val="clear" w:color="auto" w:fill="auto"/>
        <w:tabs>
          <w:tab w:pos="829" w:val="left"/>
        </w:tabs>
        <w:bidi w:val="0"/>
        <w:spacing w:before="0" w:after="0" w:line="468" w:lineRule="exact"/>
        <w:ind w:left="0" w:right="0" w:firstLine="48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产品竞争力优势</w:t>
      </w:r>
      <w:bookmarkEnd w:id="115"/>
      <w:bookmarkEnd w:id="116"/>
      <w:bookmarkEnd w:id="118"/>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）在通用</w:t>
      </w:r>
      <w:r>
        <w:rPr>
          <w:rFonts w:ascii="Times New Roman" w:eastAsia="Times New Roman" w:hAnsi="Times New Roman" w:cs="Times New Roman"/>
          <w:color w:val="000000"/>
          <w:spacing w:val="0"/>
          <w:w w:val="100"/>
          <w:position w:val="0"/>
        </w:rPr>
        <w:t>MCU</w:t>
      </w:r>
      <w:r>
        <w:rPr>
          <w:color w:val="000000"/>
          <w:spacing w:val="0"/>
          <w:w w:val="100"/>
          <w:position w:val="0"/>
        </w:rPr>
        <w:t>产品方面，公司基于</w:t>
      </w:r>
      <w:r>
        <w:rPr>
          <w:rFonts w:ascii="Times New Roman" w:eastAsia="Times New Roman" w:hAnsi="Times New Roman" w:cs="Times New Roman"/>
          <w:color w:val="000000"/>
          <w:spacing w:val="0"/>
          <w:w w:val="100"/>
          <w:position w:val="0"/>
        </w:rPr>
        <w:t>ARM Cortex-M0</w:t>
      </w:r>
      <w:r>
        <w:rPr>
          <w:color w:val="000000"/>
          <w:spacing w:val="0"/>
          <w:w w:val="100"/>
          <w:position w:val="0"/>
        </w:rPr>
        <w:t>及</w:t>
      </w:r>
      <w:r>
        <w:rPr>
          <w:rFonts w:ascii="Times New Roman" w:eastAsia="Times New Roman" w:hAnsi="Times New Roman" w:cs="Times New Roman"/>
          <w:color w:val="000000"/>
          <w:spacing w:val="0"/>
          <w:w w:val="100"/>
          <w:position w:val="0"/>
        </w:rPr>
        <w:t>M4</w:t>
      </w:r>
      <w:r>
        <w:rPr>
          <w:color w:val="000000"/>
          <w:spacing w:val="0"/>
          <w:w w:val="100"/>
          <w:position w:val="0"/>
        </w:rPr>
        <w:t>系列内核的通用安全</w:t>
      </w:r>
      <w:r>
        <w:rPr>
          <w:rFonts w:ascii="Times New Roman" w:eastAsia="Times New Roman" w:hAnsi="Times New Roman" w:cs="Times New Roman"/>
          <w:color w:val="000000"/>
          <w:spacing w:val="0"/>
          <w:w w:val="100"/>
          <w:position w:val="0"/>
        </w:rPr>
        <w:t xml:space="preserve">MCU </w:t>
      </w:r>
      <w:r>
        <w:rPr>
          <w:color w:val="000000"/>
          <w:spacing w:val="0"/>
          <w:w w:val="100"/>
          <w:position w:val="0"/>
        </w:rPr>
        <w:t>产品已实现批量供货，目前在售的</w:t>
      </w:r>
      <w:r>
        <w:rPr>
          <w:rFonts w:ascii="Times New Roman" w:eastAsia="Times New Roman" w:hAnsi="Times New Roman" w:cs="Times New Roman"/>
          <w:color w:val="000000"/>
          <w:spacing w:val="0"/>
          <w:w w:val="100"/>
          <w:position w:val="0"/>
        </w:rPr>
        <w:t>100</w:t>
      </w:r>
      <w:r>
        <w:rPr>
          <w:color w:val="000000"/>
          <w:spacing w:val="0"/>
          <w:w w:val="100"/>
          <w:position w:val="0"/>
        </w:rPr>
        <w:t>多个型号以及今、明两年即将完成的多个产品平台，将覆 盖</w:t>
      </w:r>
      <w:r>
        <w:rPr>
          <w:rFonts w:ascii="Times New Roman" w:eastAsia="Times New Roman" w:hAnsi="Times New Roman" w:cs="Times New Roman"/>
          <w:color w:val="000000"/>
          <w:spacing w:val="0"/>
          <w:w w:val="100"/>
          <w:position w:val="0"/>
        </w:rPr>
        <w:t>32</w:t>
      </w:r>
      <w:r>
        <w:rPr>
          <w:color w:val="000000"/>
          <w:spacing w:val="0"/>
          <w:w w:val="100"/>
          <w:position w:val="0"/>
        </w:rPr>
        <w:t>位</w:t>
      </w:r>
      <w:r>
        <w:rPr>
          <w:rFonts w:ascii="Times New Roman" w:eastAsia="Times New Roman" w:hAnsi="Times New Roman" w:cs="Times New Roman"/>
          <w:color w:val="000000"/>
          <w:spacing w:val="0"/>
          <w:w w:val="100"/>
          <w:position w:val="0"/>
        </w:rPr>
        <w:t>MCU</w:t>
      </w:r>
      <w:r>
        <w:rPr>
          <w:color w:val="000000"/>
          <w:spacing w:val="0"/>
          <w:w w:val="100"/>
          <w:position w:val="0"/>
        </w:rPr>
        <w:t>从低端到高端大多数应用场景，该系列产品结合公司在集成电路</w:t>
      </w:r>
      <w:r>
        <w:rPr>
          <w:rFonts w:ascii="Times New Roman" w:eastAsia="Times New Roman" w:hAnsi="Times New Roman" w:cs="Times New Roman"/>
          <w:color w:val="000000"/>
          <w:spacing w:val="0"/>
          <w:w w:val="100"/>
          <w:position w:val="0"/>
        </w:rPr>
        <w:t>SoC</w:t>
      </w:r>
      <w:r>
        <w:rPr>
          <w:color w:val="000000"/>
          <w:spacing w:val="0"/>
          <w:w w:val="100"/>
          <w:position w:val="0"/>
        </w:rPr>
        <w:t>芯片设计领 域长期研发技术积累，内置嵌入式高速闪存、低功耗电源管理，集成数模混合电路，并内置硬件 密码算法加速引擎以及安全单元，具有高集成度、高性能、低功耗、高可靠性等特色。（</w:t>
      </w:r>
      <w:r>
        <w:rPr>
          <w:rFonts w:ascii="Times New Roman" w:eastAsia="Times New Roman" w:hAnsi="Times New Roman" w:cs="Times New Roman"/>
          <w:color w:val="000000"/>
          <w:spacing w:val="0"/>
          <w:w w:val="100"/>
          <w:position w:val="0"/>
        </w:rPr>
        <w:t>2</w:t>
      </w:r>
      <w:r>
        <w:rPr>
          <w:color w:val="000000"/>
          <w:spacing w:val="0"/>
          <w:w w:val="100"/>
          <w:position w:val="0"/>
        </w:rPr>
        <w:t>）公司 针对下一代网络安全认证芯片产品已实现客户导入，实现批量供货。该系列产品具备高安全性、 低功耗无线连接和高集成度等特点，在当下网络安全认证领域具备领先优势。（</w:t>
      </w:r>
      <w:r>
        <w:rPr>
          <w:rFonts w:ascii="Times New Roman" w:eastAsia="Times New Roman" w:hAnsi="Times New Roman" w:cs="Times New Roman"/>
          <w:color w:val="000000"/>
          <w:spacing w:val="0"/>
          <w:w w:val="100"/>
          <w:position w:val="0"/>
        </w:rPr>
        <w:t>3</w:t>
      </w:r>
      <w:r>
        <w:rPr>
          <w:color w:val="000000"/>
          <w:spacing w:val="0"/>
          <w:w w:val="100"/>
          <w:position w:val="0"/>
        </w:rPr>
        <w:t>）公司新一代可 信计算芯片产品已进入样品测试及产品资质认证阶段，作为唯一一款国内、国际安全认证的可信 计算芯片，满足国内外主流</w:t>
      </w:r>
      <w:r>
        <w:rPr>
          <w:rFonts w:ascii="Times New Roman" w:eastAsia="Times New Roman" w:hAnsi="Times New Roman" w:cs="Times New Roman"/>
          <w:color w:val="000000"/>
          <w:spacing w:val="0"/>
          <w:w w:val="100"/>
          <w:position w:val="0"/>
        </w:rPr>
        <w:t>IT</w:t>
      </w:r>
      <w:r>
        <w:rPr>
          <w:color w:val="000000"/>
          <w:spacing w:val="0"/>
          <w:w w:val="100"/>
          <w:position w:val="0"/>
        </w:rPr>
        <w:t>厂商客户全球一体化产品策略。</w:t>
      </w:r>
    </w:p>
    <w:p>
      <w:pPr>
        <w:pStyle w:val="Style37"/>
        <w:keepNext/>
        <w:keepLines/>
        <w:widowControl w:val="0"/>
        <w:shd w:val="clear" w:color="auto" w:fill="auto"/>
        <w:tabs>
          <w:tab w:pos="829" w:val="left"/>
        </w:tabs>
        <w:bidi w:val="0"/>
        <w:spacing w:before="0" w:after="0" w:line="468" w:lineRule="exact"/>
        <w:ind w:left="0" w:right="0" w:firstLine="480"/>
        <w:jc w:val="both"/>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3</w:t>
      </w:r>
      <w:bookmarkEnd w:id="121"/>
      <w:r>
        <w:rPr>
          <w:color w:val="000000"/>
          <w:spacing w:val="0"/>
          <w:w w:val="100"/>
          <w:position w:val="0"/>
        </w:rPr>
        <w:t>、</w:t>
        <w:tab/>
        <w:t>知识产权创新能力</w:t>
      </w:r>
      <w:bookmarkEnd w:id="119"/>
      <w:bookmarkEnd w:id="120"/>
      <w:bookmarkEnd w:id="122"/>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经过多年的持续研发和技术积累，公司在</w:t>
      </w:r>
      <w:r>
        <w:rPr>
          <w:rFonts w:ascii="Times New Roman" w:eastAsia="Times New Roman" w:hAnsi="Times New Roman" w:cs="Times New Roman"/>
          <w:color w:val="000000"/>
          <w:spacing w:val="0"/>
          <w:w w:val="100"/>
          <w:position w:val="0"/>
        </w:rPr>
        <w:t>SoC</w:t>
      </w:r>
      <w:r>
        <w:rPr>
          <w:color w:val="000000"/>
          <w:spacing w:val="0"/>
          <w:w w:val="100"/>
          <w:position w:val="0"/>
        </w:rPr>
        <w:t>芯片设计、安全、射频、低功耗等多方面均积 累了自主研发的核心技术，并拥有多项知识产权。截至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日，公司知识产权（含 专利、商标、软件著作权、集成电路布图等）累计申请量为</w:t>
      </w:r>
      <w:r>
        <w:rPr>
          <w:rFonts w:ascii="Times New Roman" w:eastAsia="Times New Roman" w:hAnsi="Times New Roman" w:cs="Times New Roman"/>
          <w:color w:val="000000"/>
          <w:spacing w:val="0"/>
          <w:w w:val="100"/>
          <w:position w:val="0"/>
        </w:rPr>
        <w:t>2,443</w:t>
      </w:r>
      <w:r>
        <w:rPr>
          <w:color w:val="000000"/>
          <w:spacing w:val="0"/>
          <w:w w:val="100"/>
          <w:position w:val="0"/>
        </w:rPr>
        <w:t>项，授权量为</w:t>
      </w:r>
      <w:r>
        <w:rPr>
          <w:rFonts w:ascii="Times New Roman" w:eastAsia="Times New Roman" w:hAnsi="Times New Roman" w:cs="Times New Roman"/>
          <w:color w:val="000000"/>
          <w:spacing w:val="0"/>
          <w:w w:val="100"/>
          <w:position w:val="0"/>
        </w:rPr>
        <w:t>1,419</w:t>
      </w:r>
      <w:r>
        <w:rPr>
          <w:color w:val="000000"/>
          <w:spacing w:val="0"/>
          <w:w w:val="100"/>
          <w:position w:val="0"/>
        </w:rPr>
        <w:t>项，其中 国内外专利申请总量达</w:t>
      </w:r>
      <w:r>
        <w:rPr>
          <w:rFonts w:ascii="Times New Roman" w:eastAsia="Times New Roman" w:hAnsi="Times New Roman" w:cs="Times New Roman"/>
          <w:color w:val="000000"/>
          <w:spacing w:val="0"/>
          <w:w w:val="100"/>
          <w:position w:val="0"/>
        </w:rPr>
        <w:t>1,497</w:t>
      </w:r>
      <w:r>
        <w:rPr>
          <w:color w:val="000000"/>
          <w:spacing w:val="0"/>
          <w:w w:val="100"/>
          <w:position w:val="0"/>
        </w:rPr>
        <w:t>项，取得国内外授权专利</w:t>
      </w:r>
      <w:r>
        <w:rPr>
          <w:rFonts w:ascii="Times New Roman" w:eastAsia="Times New Roman" w:hAnsi="Times New Roman" w:cs="Times New Roman"/>
          <w:color w:val="000000"/>
          <w:spacing w:val="0"/>
          <w:w w:val="100"/>
          <w:position w:val="0"/>
        </w:rPr>
        <w:t>913</w:t>
      </w:r>
      <w:r>
        <w:rPr>
          <w:color w:val="000000"/>
          <w:spacing w:val="0"/>
          <w:w w:val="100"/>
          <w:position w:val="0"/>
        </w:rPr>
        <w:t>项，集成电路布图设计登记</w:t>
      </w:r>
      <w:r>
        <w:rPr>
          <w:rFonts w:ascii="Times New Roman" w:eastAsia="Times New Roman" w:hAnsi="Times New Roman" w:cs="Times New Roman"/>
          <w:color w:val="000000"/>
          <w:spacing w:val="0"/>
          <w:w w:val="100"/>
          <w:position w:val="0"/>
        </w:rPr>
        <w:t>46</w:t>
      </w:r>
      <w:r>
        <w:rPr>
          <w:color w:val="000000"/>
          <w:spacing w:val="0"/>
          <w:w w:val="100"/>
          <w:position w:val="0"/>
        </w:rPr>
        <w:t>项，软 件著作权</w:t>
      </w:r>
      <w:r>
        <w:rPr>
          <w:rFonts w:ascii="Times New Roman" w:eastAsia="Times New Roman" w:hAnsi="Times New Roman" w:cs="Times New Roman"/>
          <w:color w:val="000000"/>
          <w:spacing w:val="0"/>
          <w:w w:val="100"/>
          <w:position w:val="0"/>
        </w:rPr>
        <w:t>82</w:t>
      </w:r>
      <w:r>
        <w:rPr>
          <w:color w:val="000000"/>
          <w:spacing w:val="0"/>
          <w:w w:val="100"/>
          <w:position w:val="0"/>
        </w:rPr>
        <w:t>项。历年来公司相关技术已累计获得</w:t>
      </w:r>
      <w:r>
        <w:rPr>
          <w:rFonts w:ascii="Times New Roman" w:eastAsia="Times New Roman" w:hAnsi="Times New Roman" w:cs="Times New Roman"/>
          <w:color w:val="000000"/>
          <w:spacing w:val="0"/>
          <w:w w:val="100"/>
          <w:position w:val="0"/>
        </w:rPr>
        <w:t>1</w:t>
      </w:r>
      <w:r>
        <w:rPr>
          <w:color w:val="000000"/>
          <w:spacing w:val="0"/>
          <w:w w:val="100"/>
          <w:position w:val="0"/>
        </w:rPr>
        <w:t>项中国专利金奖，</w:t>
      </w:r>
      <w:r>
        <w:rPr>
          <w:rFonts w:ascii="Times New Roman" w:eastAsia="Times New Roman" w:hAnsi="Times New Roman" w:cs="Times New Roman"/>
          <w:color w:val="000000"/>
          <w:spacing w:val="0"/>
          <w:w w:val="100"/>
          <w:position w:val="0"/>
        </w:rPr>
        <w:t>9</w:t>
      </w:r>
      <w:r>
        <w:rPr>
          <w:color w:val="000000"/>
          <w:spacing w:val="0"/>
          <w:w w:val="100"/>
          <w:position w:val="0"/>
        </w:rPr>
        <w:t>项中国专利优秀奖，</w:t>
      </w:r>
      <w:r>
        <w:rPr>
          <w:rFonts w:ascii="Times New Roman" w:eastAsia="Times New Roman" w:hAnsi="Times New Roman" w:cs="Times New Roman"/>
          <w:color w:val="000000"/>
          <w:spacing w:val="0"/>
          <w:w w:val="100"/>
          <w:position w:val="0"/>
        </w:rPr>
        <w:t>1</w:t>
      </w:r>
      <w:r>
        <w:rPr>
          <w:color w:val="000000"/>
          <w:spacing w:val="0"/>
          <w:w w:val="100"/>
          <w:position w:val="0"/>
        </w:rPr>
        <w:t>项 广东专利金奖，</w:t>
      </w:r>
      <w:r>
        <w:rPr>
          <w:rFonts w:ascii="Times New Roman" w:eastAsia="Times New Roman" w:hAnsi="Times New Roman" w:cs="Times New Roman"/>
          <w:color w:val="000000"/>
          <w:spacing w:val="0"/>
          <w:w w:val="100"/>
          <w:position w:val="0"/>
        </w:rPr>
        <w:t>4</w:t>
      </w:r>
      <w:r>
        <w:rPr>
          <w:color w:val="000000"/>
          <w:spacing w:val="0"/>
          <w:w w:val="100"/>
          <w:position w:val="0"/>
        </w:rPr>
        <w:t>项广东专利优秀奖。</w:t>
      </w:r>
    </w:p>
    <w:p>
      <w:pPr>
        <w:pStyle w:val="Style37"/>
        <w:keepNext/>
        <w:keepLines/>
        <w:widowControl w:val="0"/>
        <w:shd w:val="clear" w:color="auto" w:fill="auto"/>
        <w:tabs>
          <w:tab w:pos="829" w:val="left"/>
        </w:tabs>
        <w:bidi w:val="0"/>
        <w:spacing w:before="0" w:after="0" w:line="468" w:lineRule="exact"/>
        <w:ind w:left="0" w:right="0" w:firstLine="48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4</w:t>
      </w:r>
      <w:bookmarkEnd w:id="125"/>
      <w:r>
        <w:rPr>
          <w:color w:val="000000"/>
          <w:spacing w:val="0"/>
          <w:w w:val="100"/>
          <w:position w:val="0"/>
        </w:rPr>
        <w:t>、</w:t>
        <w:tab/>
        <w:t>行业应用市场积累</w:t>
      </w:r>
      <w:bookmarkEnd w:id="123"/>
      <w:bookmarkEnd w:id="124"/>
      <w:bookmarkEnd w:id="126"/>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为客户提供更完善便捷的使用体验，是提升竞争力的关键。为最大限度满足下游客户，公司 </w:t>
      </w:r>
      <w:r>
        <w:rPr>
          <w:color w:val="000000"/>
          <w:spacing w:val="0"/>
          <w:w w:val="100"/>
          <w:position w:val="0"/>
        </w:rPr>
        <w:t>不断提供优化与产品相关的配套服务来支持客户自身的使用需求。公司始终坚持产品技术与行业 应用紧密结合的发展方向，整合产业链上下游资源，不断拓展产品应用场景，为行业客户提供系 统级芯片应用解决方案。公司通过建立完备的生态系统，使下游用户在开发产品的过程中能便捷 开发，同时能及时获取关于产品的相关文档，公司开通第三方专业论坛，积极开展参与行业市场 线上、线下活动技术论坛，分享行业应用经验和拓展延伸行业市场应用。目前，公司的网络身份 认证、可信计算、商用密码算法应用、互联网金融安全、公共服务数据传输安全和短距离数据传 输安全、物联网及智能硬件等系列化的芯片产品、行业应用解决方案和服务管理平台，能够满足 在“信息化+互联化”趋势下的各类行业客户需求。公司通用</w:t>
      </w:r>
      <w:r>
        <w:rPr>
          <w:rFonts w:ascii="Times New Roman" w:eastAsia="Times New Roman" w:hAnsi="Times New Roman" w:cs="Times New Roman"/>
          <w:color w:val="000000"/>
          <w:spacing w:val="0"/>
          <w:w w:val="100"/>
          <w:position w:val="0"/>
        </w:rPr>
        <w:t>MCU</w:t>
      </w:r>
      <w:r>
        <w:rPr>
          <w:color w:val="000000"/>
          <w:spacing w:val="0"/>
          <w:w w:val="100"/>
          <w:position w:val="0"/>
        </w:rPr>
        <w:t>芯片产品，也致力于为各类行 业市场用户提供覆盖高中低端</w:t>
      </w:r>
      <w:r>
        <w:rPr>
          <w:rFonts w:ascii="Times New Roman" w:eastAsia="Times New Roman" w:hAnsi="Times New Roman" w:cs="Times New Roman"/>
          <w:color w:val="000000"/>
          <w:spacing w:val="0"/>
          <w:w w:val="100"/>
          <w:position w:val="0"/>
        </w:rPr>
        <w:t>MCU</w:t>
      </w:r>
      <w:r>
        <w:rPr>
          <w:color w:val="000000"/>
          <w:spacing w:val="0"/>
          <w:w w:val="100"/>
          <w:position w:val="0"/>
        </w:rPr>
        <w:t>应用需求的高性价比芯片产品及应用解决方案。</w:t>
      </w:r>
    </w:p>
    <w:p>
      <w:pPr>
        <w:pStyle w:val="Style13"/>
        <w:keepNext w:val="0"/>
        <w:keepLines w:val="0"/>
        <w:widowControl w:val="0"/>
        <w:shd w:val="clear" w:color="auto" w:fill="auto"/>
        <w:bidi w:val="0"/>
        <w:spacing w:before="0" w:after="240" w:line="468" w:lineRule="exact"/>
        <w:ind w:left="0" w:right="0" w:firstLine="480"/>
        <w:jc w:val="both"/>
      </w:pPr>
      <w:r>
        <w:rPr>
          <w:color w:val="000000"/>
          <w:spacing w:val="0"/>
          <w:w w:val="100"/>
          <w:position w:val="0"/>
        </w:rPr>
        <w:t>公司在业务发展过程中采取合作开放的模式，努力聚集产业链上下游的合作伙伴，形成从晶 圆厂和封测厂、行业解决方案商和集成商、终端产品生产商、电信运营和互联网企业等资源整合 型合作链，为公司业务发展打造持续发展生态系统。</w:t>
      </w:r>
    </w:p>
    <w:p>
      <w:pPr>
        <w:pStyle w:val="Style13"/>
        <w:keepNext w:val="0"/>
        <w:keepLines w:val="0"/>
        <w:widowControl w:val="0"/>
        <w:shd w:val="clear" w:color="auto" w:fill="auto"/>
        <w:bidi w:val="0"/>
        <w:spacing w:before="0" w:after="0" w:line="466" w:lineRule="exact"/>
        <w:ind w:left="0" w:right="0" w:firstLine="480"/>
        <w:jc w:val="both"/>
      </w:pPr>
      <w:r>
        <w:rPr>
          <w:b/>
          <w:bCs/>
          <w:color w:val="000000"/>
          <w:spacing w:val="0"/>
          <w:w w:val="100"/>
          <w:position w:val="0"/>
        </w:rPr>
        <w:t>（二）、新能源负极材料领域</w:t>
      </w:r>
    </w:p>
    <w:p>
      <w:pPr>
        <w:pStyle w:val="Style37"/>
        <w:keepNext/>
        <w:keepLines/>
        <w:widowControl w:val="0"/>
        <w:shd w:val="clear" w:color="auto" w:fill="auto"/>
        <w:tabs>
          <w:tab w:pos="818" w:val="left"/>
        </w:tabs>
        <w:bidi w:val="0"/>
        <w:spacing w:before="0" w:after="0" w:line="466" w:lineRule="exact"/>
        <w:ind w:left="0" w:right="0" w:firstLine="480"/>
        <w:jc w:val="both"/>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1</w:t>
      </w:r>
      <w:bookmarkEnd w:id="129"/>
      <w:r>
        <w:rPr>
          <w:color w:val="000000"/>
          <w:spacing w:val="0"/>
          <w:w w:val="100"/>
          <w:position w:val="0"/>
        </w:rPr>
        <w:t>、</w:t>
        <w:tab/>
        <w:t>技术优势</w:t>
      </w:r>
      <w:bookmarkEnd w:id="127"/>
      <w:bookmarkEnd w:id="128"/>
      <w:bookmarkEnd w:id="130"/>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内蒙古斯诺深耕人造石墨负极材料领域的研发与应用，在石墨整形和造孔以及表面改性方面 具有多项核心技术，拥有近</w:t>
      </w:r>
      <w:r>
        <w:rPr>
          <w:rFonts w:ascii="Times New Roman" w:eastAsia="Times New Roman" w:hAnsi="Times New Roman" w:cs="Times New Roman"/>
          <w:color w:val="000000"/>
          <w:spacing w:val="0"/>
          <w:w w:val="100"/>
          <w:position w:val="0"/>
        </w:rPr>
        <w:t>60</w:t>
      </w:r>
      <w:r>
        <w:rPr>
          <w:color w:val="000000"/>
          <w:spacing w:val="0"/>
          <w:w w:val="100"/>
          <w:position w:val="0"/>
        </w:rPr>
        <w:t>项自主知识产权，具有行业前沿技术的开发和转换能力。尤其在 新能源汽车锂离子动力电池负极材料方面，具有独特的生产工艺技术以保证产品良好的一致性。 先后开发的多款负极材料产品广泛应用于电动汽车领域，产品同时也通过</w:t>
      </w:r>
      <w:r>
        <w:rPr>
          <w:rFonts w:ascii="Times New Roman" w:eastAsia="Times New Roman" w:hAnsi="Times New Roman" w:cs="Times New Roman"/>
          <w:color w:val="000000"/>
          <w:spacing w:val="0"/>
          <w:w w:val="100"/>
          <w:position w:val="0"/>
        </w:rPr>
        <w:t>IATF16949</w:t>
      </w:r>
      <w:r>
        <w:rPr>
          <w:color w:val="000000"/>
          <w:spacing w:val="0"/>
          <w:w w:val="100"/>
          <w:position w:val="0"/>
        </w:rPr>
        <w:t>、</w:t>
      </w:r>
      <w:r>
        <w:rPr>
          <w:rFonts w:ascii="Times New Roman" w:eastAsia="Times New Roman" w:hAnsi="Times New Roman" w:cs="Times New Roman"/>
          <w:color w:val="000000"/>
          <w:spacing w:val="0"/>
          <w:w w:val="100"/>
          <w:position w:val="0"/>
        </w:rPr>
        <w:t>ISO9001</w:t>
      </w:r>
      <w:r>
        <w:rPr>
          <w:color w:val="000000"/>
          <w:spacing w:val="0"/>
          <w:w w:val="100"/>
          <w:position w:val="0"/>
        </w:rPr>
        <w:t xml:space="preserve">、 </w:t>
      </w:r>
      <w:r>
        <w:rPr>
          <w:rFonts w:ascii="Times New Roman" w:eastAsia="Times New Roman" w:hAnsi="Times New Roman" w:cs="Times New Roman"/>
          <w:color w:val="000000"/>
          <w:spacing w:val="0"/>
          <w:w w:val="100"/>
          <w:position w:val="0"/>
        </w:rPr>
        <w:t>ISO14001</w:t>
      </w:r>
      <w:r>
        <w:rPr>
          <w:color w:val="000000"/>
          <w:spacing w:val="0"/>
          <w:w w:val="100"/>
          <w:position w:val="0"/>
        </w:rPr>
        <w:t>、</w:t>
      </w:r>
      <w:r>
        <w:rPr>
          <w:rFonts w:ascii="Times New Roman" w:eastAsia="Times New Roman" w:hAnsi="Times New Roman" w:cs="Times New Roman"/>
          <w:color w:val="000000"/>
          <w:spacing w:val="0"/>
          <w:w w:val="100"/>
          <w:position w:val="0"/>
        </w:rPr>
        <w:t>OHSAS18001</w:t>
      </w:r>
      <w:r>
        <w:rPr>
          <w:color w:val="000000"/>
          <w:spacing w:val="0"/>
          <w:w w:val="100"/>
          <w:position w:val="0"/>
        </w:rPr>
        <w:t>等体系标准认证。</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经过长期建设和技术改进，内蒙古斯诺在人造石墨负极材料全工序生产装备和工艺技术水平 方面得到较大提升。</w:t>
      </w:r>
      <w:r>
        <w:rPr>
          <w:rFonts w:ascii="Times New Roman" w:eastAsia="Times New Roman" w:hAnsi="Times New Roman" w:cs="Times New Roman"/>
          <w:color w:val="000000"/>
          <w:spacing w:val="0"/>
          <w:w w:val="100"/>
          <w:position w:val="0"/>
        </w:rPr>
        <w:t>1</w:t>
      </w:r>
      <w:r>
        <w:rPr>
          <w:color w:val="000000"/>
          <w:spacing w:val="0"/>
          <w:w w:val="100"/>
          <w:position w:val="0"/>
        </w:rPr>
        <w:t>）原材料预处理方面，引进国内先进的辊压磨，显著提高了成品率和产品 技术指标；</w:t>
      </w:r>
      <w:r>
        <w:rPr>
          <w:rFonts w:ascii="Times New Roman" w:eastAsia="Times New Roman" w:hAnsi="Times New Roman" w:cs="Times New Roman"/>
          <w:color w:val="000000"/>
          <w:spacing w:val="0"/>
          <w:w w:val="100"/>
          <w:position w:val="0"/>
        </w:rPr>
        <w:t>2</w:t>
      </w:r>
      <w:r>
        <w:rPr>
          <w:color w:val="000000"/>
          <w:spacing w:val="0"/>
          <w:w w:val="100"/>
          <w:position w:val="0"/>
        </w:rPr>
        <w:t>）复合造粒方面，对出料系统进行了改进和优化，提高了产品的一致性和合格率；</w:t>
      </w:r>
      <w:r>
        <w:rPr>
          <w:rFonts w:ascii="Times New Roman" w:eastAsia="Times New Roman" w:hAnsi="Times New Roman" w:cs="Times New Roman"/>
          <w:color w:val="000000"/>
          <w:spacing w:val="0"/>
          <w:w w:val="100"/>
          <w:position w:val="0"/>
        </w:rPr>
        <w:t>3</w:t>
      </w:r>
      <w:r>
        <w:rPr>
          <w:color w:val="000000"/>
          <w:spacing w:val="0"/>
          <w:w w:val="100"/>
          <w:position w:val="0"/>
        </w:rPr>
        <w:t xml:space="preserve">） 高温炭化方面，建成全自动化的辊道窑生产线，并开发出适用于不同产品的温度曲线和生产工艺; </w:t>
      </w:r>
      <w:r>
        <w:rPr>
          <w:rFonts w:ascii="Times New Roman" w:eastAsia="Times New Roman" w:hAnsi="Times New Roman" w:cs="Times New Roman"/>
          <w:color w:val="000000"/>
          <w:spacing w:val="0"/>
          <w:w w:val="100"/>
          <w:position w:val="0"/>
        </w:rPr>
        <w:t>4</w:t>
      </w:r>
      <w:r>
        <w:rPr>
          <w:color w:val="000000"/>
          <w:spacing w:val="0"/>
          <w:w w:val="100"/>
          <w:position w:val="0"/>
        </w:rPr>
        <w:t>）石墨化方面，提升装炉量，提升石墨化加工效率，降低生产成本，在产品合格率和实收率方 面在行业里有较高知名度。</w:t>
      </w:r>
    </w:p>
    <w:p>
      <w:pPr>
        <w:pStyle w:val="Style37"/>
        <w:keepNext/>
        <w:keepLines/>
        <w:widowControl w:val="0"/>
        <w:shd w:val="clear" w:color="auto" w:fill="auto"/>
        <w:tabs>
          <w:tab w:pos="818" w:val="left"/>
        </w:tabs>
        <w:bidi w:val="0"/>
        <w:spacing w:before="0" w:after="0" w:line="466" w:lineRule="exact"/>
        <w:ind w:left="0" w:right="0" w:firstLine="48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2</w:t>
      </w:r>
      <w:bookmarkEnd w:id="133"/>
      <w:r>
        <w:rPr>
          <w:color w:val="000000"/>
          <w:spacing w:val="0"/>
          <w:w w:val="100"/>
          <w:position w:val="0"/>
        </w:rPr>
        <w:t>、</w:t>
        <w:tab/>
        <w:t>研发团队</w:t>
      </w:r>
      <w:bookmarkEnd w:id="131"/>
      <w:bookmarkEnd w:id="132"/>
      <w:bookmarkEnd w:id="134"/>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内蒙古斯诺设有研发中心，研发人员均为本科以上学历，涵盖材料学、电化学、物理学、机 械制造等专业，形成了一支多学科有机互补、专业搭配合理的研发队伍。研发中心与国内多家高 校和科研院所建立了产学研和技术合作，努力提升公司在新能源汽车动力电池负极材料领域的研 </w:t>
      </w:r>
      <w:r>
        <w:rPr>
          <w:color w:val="000000"/>
          <w:spacing w:val="0"/>
          <w:w w:val="100"/>
          <w:position w:val="0"/>
        </w:rPr>
        <w:t>发实力。</w:t>
      </w:r>
    </w:p>
    <w:p>
      <w:pPr>
        <w:pStyle w:val="Style37"/>
        <w:keepNext/>
        <w:keepLines/>
        <w:widowControl w:val="0"/>
        <w:shd w:val="clear" w:color="auto" w:fill="auto"/>
        <w:bidi w:val="0"/>
        <w:spacing w:before="0" w:after="0" w:line="468" w:lineRule="exact"/>
        <w:ind w:left="0" w:right="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3</w:t>
      </w:r>
      <w:bookmarkEnd w:id="137"/>
      <w:r>
        <w:rPr>
          <w:color w:val="000000"/>
          <w:spacing w:val="0"/>
          <w:w w:val="100"/>
          <w:position w:val="0"/>
        </w:rPr>
        <w:t>、负极材料一体化布局优势</w:t>
      </w:r>
      <w:bookmarkEnd w:id="135"/>
      <w:bookmarkEnd w:id="136"/>
      <w:bookmarkEnd w:id="138"/>
    </w:p>
    <w:p>
      <w:pPr>
        <w:pStyle w:val="Style13"/>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斯诺实业专注人造石墨负极材料的研究与开发，行业深耕十数年，通过不断积累已具备从原 料预处理至负极材料的全产业链生产能力。报告期内在内蒙地区投资建设的石墨化二期建设已正 式试产，两条产线在满产状态下预计年产能可达到</w:t>
      </w:r>
      <w:r>
        <w:rPr>
          <w:rFonts w:ascii="Times New Roman" w:eastAsia="Times New Roman" w:hAnsi="Times New Roman" w:cs="Times New Roman"/>
          <w:color w:val="000000"/>
          <w:spacing w:val="0"/>
          <w:w w:val="100"/>
          <w:position w:val="0"/>
        </w:rPr>
        <w:t>20,000</w:t>
      </w:r>
      <w:r>
        <w:rPr>
          <w:color w:val="000000"/>
          <w:spacing w:val="0"/>
          <w:w w:val="100"/>
          <w:position w:val="0"/>
        </w:rPr>
        <w:t>吨以上，将使得内蒙古工厂规模化效应 提升，进一步加强产品质量、成本控制和稳定供应方面的能力。后续公司继续优化内蒙古工厂负 极材料和石墨化生产协同，发挥内蒙古工厂一体化布局生产优势。</w:t>
      </w:r>
    </w:p>
    <w:p>
      <w:pPr>
        <w:pStyle w:val="Style13"/>
        <w:keepNext w:val="0"/>
        <w:keepLines w:val="0"/>
        <w:widowControl w:val="0"/>
        <w:shd w:val="clear" w:color="auto" w:fill="auto"/>
        <w:bidi w:val="0"/>
        <w:spacing w:before="0" w:after="360" w:line="468" w:lineRule="exact"/>
        <w:ind w:left="0" w:right="0" w:firstLine="0"/>
        <w:jc w:val="both"/>
      </w:pPr>
      <w:bookmarkStart w:id="139" w:name="bookmark139"/>
      <w:r>
        <w:rPr>
          <w:b/>
          <w:bCs/>
          <w:color w:val="000000"/>
          <w:spacing w:val="0"/>
          <w:w w:val="100"/>
          <w:position w:val="0"/>
        </w:rPr>
        <w:t>四</w:t>
      </w:r>
      <w:bookmarkEnd w:id="139"/>
      <w:r>
        <w:rPr>
          <w:b/>
          <w:bCs/>
          <w:color w:val="000000"/>
          <w:spacing w:val="0"/>
          <w:w w:val="100"/>
          <w:position w:val="0"/>
        </w:rPr>
        <w:t>、主营业务分析</w:t>
      </w:r>
    </w:p>
    <w:p>
      <w:pPr>
        <w:pStyle w:val="Style37"/>
        <w:keepNext/>
        <w:keepLines/>
        <w:widowControl w:val="0"/>
        <w:shd w:val="clear" w:color="auto" w:fill="auto"/>
        <w:bidi w:val="0"/>
        <w:spacing w:before="0" w:after="0" w:line="444" w:lineRule="auto"/>
        <w:ind w:left="0" w:right="0" w:firstLine="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1</w:t>
      </w:r>
      <w:bookmarkEnd w:id="142"/>
      <w:r>
        <w:rPr>
          <w:color w:val="000000"/>
          <w:spacing w:val="0"/>
          <w:w w:val="100"/>
          <w:position w:val="0"/>
        </w:rPr>
        <w:t>、概述</w:t>
      </w:r>
      <w:bookmarkEnd w:id="140"/>
      <w:bookmarkEnd w:id="141"/>
      <w:bookmarkEnd w:id="143"/>
    </w:p>
    <w:p>
      <w:pPr>
        <w:pStyle w:val="Style1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101,760.87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168%</w:t>
      </w:r>
      <w:r>
        <w:rPr>
          <w:color w:val="000000"/>
          <w:spacing w:val="0"/>
          <w:w w:val="100"/>
          <w:position w:val="0"/>
        </w:rPr>
        <w:t>；实现归属于上市公 司所有者的净利润</w:t>
      </w:r>
      <w:r>
        <w:rPr>
          <w:rFonts w:ascii="Times New Roman" w:eastAsia="Times New Roman" w:hAnsi="Times New Roman" w:cs="Times New Roman"/>
          <w:color w:val="000000"/>
          <w:spacing w:val="0"/>
          <w:w w:val="100"/>
          <w:position w:val="0"/>
        </w:rPr>
        <w:t>21,897.60</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1,849.09%</w:t>
      </w:r>
      <w:r>
        <w:rPr>
          <w:color w:val="000000"/>
          <w:spacing w:val="0"/>
          <w:w w:val="100"/>
          <w:position w:val="0"/>
        </w:rPr>
        <w:t>，扣除非经常性损益后的归属于上 市公司所有者的净利润</w:t>
      </w:r>
      <w:r>
        <w:rPr>
          <w:rFonts w:ascii="Times New Roman" w:eastAsia="Times New Roman" w:hAnsi="Times New Roman" w:cs="Times New Roman"/>
          <w:color w:val="000000"/>
          <w:spacing w:val="0"/>
          <w:w w:val="100"/>
          <w:position w:val="0"/>
        </w:rPr>
        <w:t>4,635.80</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131.59%</w:t>
      </w:r>
      <w:r>
        <w:rPr>
          <w:color w:val="000000"/>
          <w:spacing w:val="0"/>
          <w:w w:val="100"/>
          <w:position w:val="0"/>
        </w:rPr>
        <w:t>。</w:t>
      </w:r>
    </w:p>
    <w:p>
      <w:pPr>
        <w:pStyle w:val="Style1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业绩变动的主要原因系</w:t>
      </w:r>
      <w:r>
        <w:rPr>
          <w:rFonts w:ascii="Times New Roman" w:eastAsia="Times New Roman" w:hAnsi="Times New Roman" w:cs="Times New Roman"/>
          <w:color w:val="000000"/>
          <w:spacing w:val="0"/>
          <w:w w:val="100"/>
          <w:position w:val="0"/>
        </w:rPr>
        <w:t>2021</w:t>
      </w:r>
      <w:r>
        <w:rPr>
          <w:color w:val="000000"/>
          <w:spacing w:val="0"/>
          <w:w w:val="100"/>
          <w:position w:val="0"/>
        </w:rPr>
        <w:t>年集成电路下游市场需求增加，公司系列化通用</w:t>
      </w:r>
      <w:r>
        <w:rPr>
          <w:rFonts w:ascii="Times New Roman" w:eastAsia="Times New Roman" w:hAnsi="Times New Roman" w:cs="Times New Roman"/>
          <w:color w:val="000000"/>
          <w:spacing w:val="0"/>
          <w:w w:val="100"/>
          <w:position w:val="0"/>
        </w:rPr>
        <w:t>MCU</w:t>
      </w:r>
      <w:r>
        <w:rPr>
          <w:color w:val="000000"/>
          <w:spacing w:val="0"/>
          <w:w w:val="100"/>
          <w:position w:val="0"/>
        </w:rPr>
        <w:t>产品在报 告期内规模量产，实现较大规模增长；同时，受益于锂电池产业快速发展，公司负极材料类业务 销售实现较大幅增长。</w:t>
      </w:r>
      <w:r>
        <w:rPr>
          <w:rFonts w:ascii="Times New Roman" w:eastAsia="Times New Roman" w:hAnsi="Times New Roman" w:cs="Times New Roman"/>
          <w:color w:val="000000"/>
          <w:spacing w:val="0"/>
          <w:w w:val="100"/>
          <w:position w:val="0"/>
        </w:rPr>
        <w:t>2021</w:t>
      </w:r>
      <w:r>
        <w:rPr>
          <w:color w:val="000000"/>
          <w:spacing w:val="0"/>
          <w:w w:val="100"/>
          <w:position w:val="0"/>
        </w:rPr>
        <w:t>年，公司集成电路业务和负极材料类业务的销售收入和毛利同比均实 现较大幅增长。其中，公司集成电路业务收入共计</w:t>
      </w:r>
      <w:r>
        <w:rPr>
          <w:rFonts w:ascii="Times New Roman" w:eastAsia="Times New Roman" w:hAnsi="Times New Roman" w:cs="Times New Roman"/>
          <w:color w:val="000000"/>
          <w:spacing w:val="0"/>
          <w:w w:val="100"/>
          <w:position w:val="0"/>
        </w:rPr>
        <w:t>63,733.25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163.82%</w:t>
      </w:r>
      <w:r>
        <w:rPr>
          <w:color w:val="000000"/>
          <w:spacing w:val="0"/>
          <w:w w:val="100"/>
          <w:position w:val="0"/>
        </w:rPr>
        <w:t>；负 极材料类业务收入共计</w:t>
      </w:r>
      <w:r>
        <w:rPr>
          <w:rFonts w:ascii="Times New Roman" w:eastAsia="Times New Roman" w:hAnsi="Times New Roman" w:cs="Times New Roman"/>
          <w:color w:val="000000"/>
          <w:spacing w:val="0"/>
          <w:w w:val="100"/>
          <w:position w:val="0"/>
        </w:rPr>
        <w:t>38,027.62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175.31%</w:t>
      </w:r>
      <w:r>
        <w:rPr>
          <w:color w:val="000000"/>
          <w:spacing w:val="0"/>
          <w:w w:val="100"/>
          <w:position w:val="0"/>
        </w:rPr>
        <w:t>。</w:t>
      </w:r>
    </w:p>
    <w:p>
      <w:pPr>
        <w:pStyle w:val="Style1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报告期内，公司重点工作开展情况：</w:t>
      </w:r>
    </w:p>
    <w:p>
      <w:pPr>
        <w:pStyle w:val="Style37"/>
        <w:keepNext/>
        <w:keepLines/>
        <w:widowControl w:val="0"/>
        <w:shd w:val="clear" w:color="auto" w:fill="auto"/>
        <w:bidi w:val="0"/>
        <w:spacing w:before="0" w:after="0" w:line="468" w:lineRule="exact"/>
        <w:ind w:left="0" w:right="0"/>
        <w:jc w:val="both"/>
      </w:pPr>
      <w:bookmarkStart w:id="144" w:name="bookmark144"/>
      <w:bookmarkStart w:id="145" w:name="bookmark145"/>
      <w:bookmarkStart w:id="146" w:name="bookmark1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）通用</w:t>
      </w:r>
      <w:r>
        <w:rPr>
          <w:rFonts w:ascii="Times New Roman" w:eastAsia="Times New Roman" w:hAnsi="Times New Roman" w:cs="Times New Roman"/>
          <w:color w:val="000000"/>
          <w:spacing w:val="0"/>
          <w:w w:val="100"/>
          <w:position w:val="0"/>
        </w:rPr>
        <w:t>MCU</w:t>
      </w:r>
      <w:r>
        <w:rPr>
          <w:color w:val="000000"/>
          <w:spacing w:val="0"/>
          <w:w w:val="100"/>
          <w:position w:val="0"/>
        </w:rPr>
        <w:t>产品</w:t>
      </w:r>
      <w:bookmarkEnd w:id="144"/>
      <w:bookmarkEnd w:id="145"/>
      <w:bookmarkEnd w:id="146"/>
    </w:p>
    <w:p>
      <w:pPr>
        <w:pStyle w:val="Style13"/>
        <w:keepNext w:val="0"/>
        <w:keepLines w:val="0"/>
        <w:widowControl w:val="0"/>
        <w:shd w:val="clear" w:color="auto" w:fill="auto"/>
        <w:bidi w:val="0"/>
        <w:spacing w:before="0" w:after="220" w:line="468" w:lineRule="exact"/>
        <w:ind w:left="0" w:right="0" w:firstLine="460"/>
        <w:jc w:val="both"/>
      </w:pPr>
      <w:r>
        <w:rPr>
          <w:color w:val="000000"/>
          <w:spacing w:val="0"/>
          <w:w w:val="100"/>
          <w:position w:val="0"/>
        </w:rPr>
        <w:t>报告期内，公司深入研究通用型芯片技术发展趋势和市场竞争格局，结合低功耗和安全芯片 研发所形成的技术优势，开展了基于</w:t>
      </w:r>
      <w:r>
        <w:rPr>
          <w:rFonts w:ascii="Times New Roman" w:eastAsia="Times New Roman" w:hAnsi="Times New Roman" w:cs="Times New Roman"/>
          <w:color w:val="000000"/>
          <w:spacing w:val="0"/>
          <w:w w:val="100"/>
          <w:position w:val="0"/>
        </w:rPr>
        <w:t>ARM Cortex M0</w:t>
      </w:r>
      <w:r>
        <w:rPr>
          <w:color w:val="000000"/>
          <w:spacing w:val="0"/>
          <w:w w:val="100"/>
          <w:position w:val="0"/>
        </w:rPr>
        <w:t>、</w:t>
      </w:r>
      <w:r>
        <w:rPr>
          <w:rFonts w:ascii="Times New Roman" w:eastAsia="Times New Roman" w:hAnsi="Times New Roman" w:cs="Times New Roman"/>
          <w:color w:val="000000"/>
          <w:spacing w:val="0"/>
          <w:w w:val="100"/>
          <w:position w:val="0"/>
        </w:rPr>
        <w:t>M4</w:t>
      </w:r>
      <w:r>
        <w:rPr>
          <w:color w:val="000000"/>
          <w:spacing w:val="0"/>
          <w:w w:val="100"/>
          <w:position w:val="0"/>
        </w:rPr>
        <w:t>及</w:t>
      </w:r>
      <w:r>
        <w:rPr>
          <w:rFonts w:ascii="Times New Roman" w:eastAsia="Times New Roman" w:hAnsi="Times New Roman" w:cs="Times New Roman"/>
          <w:color w:val="000000"/>
          <w:spacing w:val="0"/>
          <w:w w:val="100"/>
          <w:position w:val="0"/>
        </w:rPr>
        <w:t>M7</w:t>
      </w:r>
      <w:r>
        <w:rPr>
          <w:color w:val="000000"/>
          <w:spacing w:val="0"/>
          <w:w w:val="100"/>
          <w:position w:val="0"/>
        </w:rPr>
        <w:t>内核的中低端较高性价比、中端、 高端等平台化系列化</w:t>
      </w:r>
      <w:r>
        <w:rPr>
          <w:rFonts w:ascii="Times New Roman" w:eastAsia="Times New Roman" w:hAnsi="Times New Roman" w:cs="Times New Roman"/>
          <w:color w:val="000000"/>
          <w:spacing w:val="0"/>
          <w:w w:val="100"/>
          <w:position w:val="0"/>
        </w:rPr>
        <w:t>MCU</w:t>
      </w:r>
      <w:r>
        <w:rPr>
          <w:color w:val="000000"/>
          <w:spacing w:val="0"/>
          <w:w w:val="100"/>
          <w:position w:val="0"/>
        </w:rPr>
        <w:t>芯片产品研制工作，并针对物联网、工业互联网及工业控制、智能家电 及智能家庭物联网终端、医疗电子、电机驱动、生物识别、通讯、车联网等应用领域积极开展市 场推广工作，并在</w:t>
      </w:r>
      <w:r>
        <w:rPr>
          <w:rFonts w:ascii="Times New Roman" w:eastAsia="Times New Roman" w:hAnsi="Times New Roman" w:cs="Times New Roman"/>
          <w:color w:val="000000"/>
          <w:spacing w:val="0"/>
          <w:w w:val="100"/>
          <w:position w:val="0"/>
        </w:rPr>
        <w:t>TWS</w:t>
      </w:r>
      <w:r>
        <w:rPr>
          <w:color w:val="000000"/>
          <w:spacing w:val="0"/>
          <w:w w:val="100"/>
          <w:position w:val="0"/>
        </w:rPr>
        <w:t>耳机、电池</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电机驱动控制器、微型打印机、智能门锁、手持云台、 仪器仪表、扫地机、血氧仪等多个细分行业和应用实现较大规模出货。与此同时，多个基于</w:t>
      </w:r>
      <w:r>
        <w:rPr>
          <w:rFonts w:ascii="Times New Roman" w:eastAsia="Times New Roman" w:hAnsi="Times New Roman" w:cs="Times New Roman"/>
          <w:color w:val="000000"/>
          <w:spacing w:val="0"/>
          <w:w w:val="100"/>
          <w:position w:val="0"/>
        </w:rPr>
        <w:t>ARM Cortex M0</w:t>
      </w:r>
      <w:r>
        <w:rPr>
          <w:color w:val="000000"/>
          <w:spacing w:val="0"/>
          <w:w w:val="100"/>
          <w:position w:val="0"/>
        </w:rPr>
        <w:t>与</w:t>
      </w:r>
      <w:r>
        <w:rPr>
          <w:rFonts w:ascii="Times New Roman" w:eastAsia="Times New Roman" w:hAnsi="Times New Roman" w:cs="Times New Roman"/>
          <w:color w:val="000000"/>
          <w:spacing w:val="0"/>
          <w:w w:val="100"/>
          <w:position w:val="0"/>
        </w:rPr>
        <w:t>M4</w:t>
      </w:r>
      <w:r>
        <w:rPr>
          <w:color w:val="000000"/>
          <w:spacing w:val="0"/>
          <w:w w:val="100"/>
          <w:position w:val="0"/>
        </w:rPr>
        <w:t>内核的平台化、系列化</w:t>
      </w:r>
      <w:r>
        <w:rPr>
          <w:rFonts w:ascii="Times New Roman" w:eastAsia="Times New Roman" w:hAnsi="Times New Roman" w:cs="Times New Roman"/>
          <w:color w:val="000000"/>
          <w:spacing w:val="0"/>
          <w:w w:val="100"/>
          <w:position w:val="0"/>
        </w:rPr>
        <w:t>MCU</w:t>
      </w:r>
      <w:r>
        <w:rPr>
          <w:color w:val="000000"/>
          <w:spacing w:val="0"/>
          <w:w w:val="100"/>
          <w:position w:val="0"/>
        </w:rPr>
        <w:t>产品进入研制状态，同时布局汽车电子</w:t>
      </w:r>
      <w:r>
        <w:rPr>
          <w:rFonts w:ascii="Times New Roman" w:eastAsia="Times New Roman" w:hAnsi="Times New Roman" w:cs="Times New Roman"/>
          <w:color w:val="000000"/>
          <w:spacing w:val="0"/>
          <w:w w:val="100"/>
          <w:position w:val="0"/>
        </w:rPr>
        <w:t>MCU</w:t>
      </w:r>
      <w:r>
        <w:rPr>
          <w:color w:val="000000"/>
          <w:spacing w:val="0"/>
          <w:w w:val="100"/>
          <w:position w:val="0"/>
        </w:rPr>
        <w:t>产品，进 一步丰富</w:t>
      </w:r>
      <w:r>
        <w:rPr>
          <w:rFonts w:ascii="Times New Roman" w:eastAsia="Times New Roman" w:hAnsi="Times New Roman" w:cs="Times New Roman"/>
          <w:color w:val="000000"/>
          <w:spacing w:val="0"/>
          <w:w w:val="100"/>
          <w:position w:val="0"/>
        </w:rPr>
        <w:t>MCU</w:t>
      </w:r>
      <w:r>
        <w:rPr>
          <w:color w:val="000000"/>
          <w:spacing w:val="0"/>
          <w:w w:val="100"/>
          <w:position w:val="0"/>
        </w:rPr>
        <w:t>产品全系列、全应用、全场景的产品战略，为市场和客户提供更多产品选择。</w:t>
      </w:r>
    </w:p>
    <w:p>
      <w:pPr>
        <w:pStyle w:val="Style37"/>
        <w:keepNext/>
        <w:keepLines/>
        <w:widowControl w:val="0"/>
        <w:shd w:val="clear" w:color="auto" w:fill="auto"/>
        <w:bidi w:val="0"/>
        <w:spacing w:before="0" w:after="0" w:line="240" w:lineRule="auto"/>
        <w:ind w:left="0" w:right="0" w:firstLine="440"/>
        <w:jc w:val="both"/>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2</w:t>
      </w:r>
      <w:r>
        <w:rPr>
          <w:color w:val="000000"/>
          <w:spacing w:val="0"/>
          <w:w w:val="100"/>
          <w:position w:val="0"/>
        </w:rPr>
        <w:t>）安全芯片产品</w:t>
      </w:r>
      <w:bookmarkEnd w:id="147"/>
      <w:bookmarkEnd w:id="148"/>
      <w:bookmarkEnd w:id="150"/>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报告期内，公司开展了新一代安全认证芯片控制器的研发、新一代微认证芯片产品研发及样 品测试等工作。在新一代工艺下，应用于</w:t>
      </w:r>
      <w:r>
        <w:rPr>
          <w:rFonts w:ascii="Times New Roman" w:eastAsia="Times New Roman" w:hAnsi="Times New Roman" w:cs="Times New Roman"/>
          <w:color w:val="000000"/>
          <w:spacing w:val="0"/>
          <w:w w:val="100"/>
          <w:position w:val="0"/>
        </w:rPr>
        <w:t>USBKEY</w:t>
      </w:r>
      <w:r>
        <w:rPr>
          <w:color w:val="000000"/>
          <w:spacing w:val="0"/>
          <w:w w:val="100"/>
          <w:position w:val="0"/>
        </w:rPr>
        <w:t>、</w:t>
      </w:r>
      <w:r>
        <w:rPr>
          <w:color w:val="000000"/>
          <w:spacing w:val="0"/>
          <w:w w:val="100"/>
          <w:position w:val="0"/>
        </w:rPr>
        <w:t>蓝牙</w:t>
      </w:r>
      <w:r>
        <w:rPr>
          <w:rFonts w:ascii="Times New Roman" w:eastAsia="Times New Roman" w:hAnsi="Times New Roman" w:cs="Times New Roman"/>
          <w:color w:val="000000"/>
          <w:spacing w:val="0"/>
          <w:w w:val="100"/>
          <w:position w:val="0"/>
        </w:rPr>
        <w:t>KEY</w:t>
      </w:r>
      <w:r>
        <w:rPr>
          <w:color w:val="000000"/>
          <w:spacing w:val="0"/>
          <w:w w:val="100"/>
          <w:position w:val="0"/>
        </w:rPr>
        <w:t>、</w:t>
      </w:r>
      <w:r>
        <w:rPr>
          <w:color w:val="000000"/>
          <w:spacing w:val="0"/>
          <w:w w:val="100"/>
          <w:position w:val="0"/>
        </w:rPr>
        <w:t>安全主控芯片及安全微认证芯片 的产品已进入量产阶段，对保持公司在传统网络安全领域产品应用竞争力的同时，扩展新兴产业 应用起到重要保障作用。同时，公司积极布局下一代可信计算技术研发工作，围绕下一代可信计 算产品的核心竞争力布局国内外安全等级认证以及海外销售等工作。</w:t>
      </w:r>
    </w:p>
    <w:p>
      <w:pPr>
        <w:pStyle w:val="Style37"/>
        <w:keepNext/>
        <w:keepLines/>
        <w:widowControl w:val="0"/>
        <w:shd w:val="clear" w:color="auto" w:fill="auto"/>
        <w:bidi w:val="0"/>
        <w:spacing w:before="0" w:after="0" w:line="472" w:lineRule="exact"/>
        <w:ind w:left="0" w:right="0" w:firstLine="440"/>
        <w:jc w:val="both"/>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3</w:t>
      </w:r>
      <w:r>
        <w:rPr>
          <w:color w:val="000000"/>
          <w:spacing w:val="0"/>
          <w:w w:val="100"/>
          <w:position w:val="0"/>
        </w:rPr>
        <w:t>）锂离子电池负极材料产品</w:t>
      </w:r>
      <w:bookmarkEnd w:id="151"/>
      <w:bookmarkEnd w:id="152"/>
      <w:bookmarkEnd w:id="154"/>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报告期内，公司在内蒙古地区投资建设的石墨化二期建设正式试产，使得内蒙古工厂规模化 效应进一步提升。</w:t>
      </w:r>
      <w:r>
        <w:rPr>
          <w:rFonts w:ascii="Times New Roman" w:eastAsia="Times New Roman" w:hAnsi="Times New Roman" w:cs="Times New Roman"/>
          <w:color w:val="000000"/>
          <w:spacing w:val="0"/>
          <w:w w:val="100"/>
          <w:position w:val="0"/>
        </w:rPr>
        <w:t>2021</w:t>
      </w:r>
      <w:r>
        <w:rPr>
          <w:color w:val="000000"/>
          <w:spacing w:val="0"/>
          <w:w w:val="100"/>
          <w:position w:val="0"/>
        </w:rPr>
        <w:t>年，公司持续稳定为国轩高科、天津力神等主要客户供货，不断提升技术 满足现有客户需求，并在保持与现有客户稳固合作的同时，积极拓展市场新优质大中型客户，进 一步优化产品结构。</w:t>
      </w:r>
    </w:p>
    <w:p>
      <w:pPr>
        <w:pStyle w:val="Style13"/>
        <w:keepNext w:val="0"/>
        <w:keepLines w:val="0"/>
        <w:widowControl w:val="0"/>
        <w:shd w:val="clear" w:color="auto" w:fill="auto"/>
        <w:bidi w:val="0"/>
        <w:spacing w:before="0" w:after="0" w:line="472"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月，浦项化学以</w:t>
      </w:r>
      <w:r>
        <w:rPr>
          <w:rFonts w:ascii="Times New Roman" w:eastAsia="Times New Roman" w:hAnsi="Times New Roman" w:cs="Times New Roman"/>
          <w:color w:val="000000"/>
          <w:spacing w:val="0"/>
          <w:w w:val="100"/>
          <w:position w:val="0"/>
        </w:rPr>
        <w:t>1.41</w:t>
      </w:r>
      <w:r>
        <w:rPr>
          <w:color w:val="000000"/>
          <w:spacing w:val="0"/>
          <w:w w:val="100"/>
          <w:position w:val="0"/>
        </w:rPr>
        <w:t>亿元现金认购内蒙古斯诺新增注册资本，取得内蒙古斯诺</w:t>
      </w:r>
      <w:r>
        <w:rPr>
          <w:rFonts w:ascii="Times New Roman" w:eastAsia="Times New Roman" w:hAnsi="Times New Roman" w:cs="Times New Roman"/>
          <w:color w:val="000000"/>
          <w:spacing w:val="0"/>
          <w:w w:val="100"/>
          <w:position w:val="0"/>
        </w:rPr>
        <w:t xml:space="preserve">15% </w:t>
      </w:r>
      <w:r>
        <w:rPr>
          <w:color w:val="000000"/>
          <w:spacing w:val="0"/>
          <w:w w:val="100"/>
          <w:position w:val="0"/>
        </w:rPr>
        <w:t>股权。本次合作，将有利于内蒙古斯诺和浦项化学充分发挥各自的资源和优势，进一步推动内蒙 古斯诺在新能源负极材料行业的发展。</w:t>
      </w:r>
    </w:p>
    <w:p>
      <w:pPr>
        <w:pStyle w:val="Style37"/>
        <w:keepNext/>
        <w:keepLines/>
        <w:widowControl w:val="0"/>
        <w:shd w:val="clear" w:color="auto" w:fill="auto"/>
        <w:tabs>
          <w:tab w:pos="973" w:val="left"/>
        </w:tabs>
        <w:bidi w:val="0"/>
        <w:spacing w:before="0" w:after="0" w:line="469" w:lineRule="exact"/>
        <w:ind w:left="0" w:right="0" w:firstLine="480"/>
        <w:jc w:val="both"/>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4</w:t>
      </w:r>
      <w:r>
        <w:rPr>
          <w:color w:val="000000"/>
          <w:spacing w:val="0"/>
          <w:w w:val="100"/>
          <w:position w:val="0"/>
        </w:rPr>
        <w:t>）</w:t>
        <w:tab/>
        <w:t>抓住机遇实施股权激励</w:t>
      </w:r>
      <w:bookmarkEnd w:id="155"/>
      <w:bookmarkEnd w:id="156"/>
      <w:bookmarkEnd w:id="158"/>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报告期内，基于对公司未来发展的信心，为促进公司持续、稳定、健康发展，健全公司长效 激励机制，吸引和留住优秀人才，公司抓住机遇实施了限制性股票的员工长期激励，为公司健康 发展再添新力。未来公司将持续加强组织建设、人才培及养引进、薪酬与考核、带头人进阶及梯 队建设方面工作，不断优化核心技术团队，保持技术团队的技术领先性和研发核心竞争力。</w:t>
      </w:r>
    </w:p>
    <w:p>
      <w:pPr>
        <w:pStyle w:val="Style37"/>
        <w:keepNext/>
        <w:keepLines/>
        <w:widowControl w:val="0"/>
        <w:shd w:val="clear" w:color="auto" w:fill="auto"/>
        <w:tabs>
          <w:tab w:pos="933" w:val="left"/>
        </w:tabs>
        <w:bidi w:val="0"/>
        <w:spacing w:before="0" w:after="0" w:line="469" w:lineRule="exact"/>
        <w:ind w:left="0" w:right="0" w:firstLine="440"/>
        <w:jc w:val="both"/>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5</w:t>
      </w:r>
      <w:r>
        <w:rPr>
          <w:color w:val="000000"/>
          <w:spacing w:val="0"/>
          <w:w w:val="100"/>
          <w:position w:val="0"/>
        </w:rPr>
        <w:t>）</w:t>
        <w:tab/>
        <w:t>加强供应链管理，强化产能保障</w:t>
      </w:r>
      <w:bookmarkEnd w:id="159"/>
      <w:bookmarkEnd w:id="160"/>
      <w:bookmarkEnd w:id="162"/>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报告期内，受疫情等因素影响，集成电路行业晶圆制造与封装测试产能紧张，全球出现严重 芯片产能短缺。面对上述情况，公司凭借多年在集成电路行业的积淀，通过加强与晶圆代工厂、 封测厂等合作伙伴的持续沟通交流，赢得了相较于</w:t>
      </w:r>
      <w:r>
        <w:rPr>
          <w:rFonts w:ascii="Times New Roman" w:eastAsia="Times New Roman" w:hAnsi="Times New Roman" w:cs="Times New Roman"/>
          <w:color w:val="000000"/>
          <w:spacing w:val="0"/>
          <w:w w:val="100"/>
          <w:position w:val="0"/>
        </w:rPr>
        <w:t>2020</w:t>
      </w:r>
      <w:r>
        <w:rPr>
          <w:color w:val="000000"/>
          <w:spacing w:val="0"/>
          <w:w w:val="100"/>
          <w:position w:val="0"/>
        </w:rPr>
        <w:t>年更多的产能供应，从而实现营业收入 较大幅度的增长。</w:t>
      </w:r>
    </w:p>
    <w:p>
      <w:pPr>
        <w:pStyle w:val="Style37"/>
        <w:keepNext/>
        <w:keepLines/>
        <w:widowControl w:val="0"/>
        <w:shd w:val="clear" w:color="auto" w:fill="auto"/>
        <w:bidi w:val="0"/>
        <w:spacing w:before="0" w:after="200" w:line="469" w:lineRule="exact"/>
        <w:ind w:left="0" w:right="0" w:firstLine="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、收入与成本</w:t>
      </w:r>
      <w:bookmarkEnd w:id="163"/>
      <w:bookmarkEnd w:id="164"/>
      <w:bookmarkEnd w:id="166"/>
    </w:p>
    <w:p>
      <w:pPr>
        <w:pStyle w:val="Style37"/>
        <w:keepNext/>
        <w:keepLines/>
        <w:widowControl w:val="0"/>
        <w:shd w:val="clear" w:color="auto" w:fill="auto"/>
        <w:bidi w:val="0"/>
        <w:spacing w:before="0" w:after="200" w:line="469" w:lineRule="exact"/>
        <w:ind w:left="0" w:right="0" w:firstLine="0"/>
        <w:jc w:val="both"/>
      </w:pPr>
      <w:bookmarkStart w:id="163" w:name="bookmark163"/>
      <w:bookmarkStart w:id="164" w:name="bookmark164"/>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63"/>
      <w:bookmarkEnd w:id="164"/>
      <w:bookmarkEnd w:id="168"/>
    </w:p>
    <w:p>
      <w:pPr>
        <w:pStyle w:val="Style13"/>
        <w:keepNext w:val="0"/>
        <w:keepLines w:val="0"/>
        <w:widowControl w:val="0"/>
        <w:shd w:val="clear" w:color="auto" w:fill="auto"/>
        <w:bidi w:val="0"/>
        <w:spacing w:before="0" w:after="200" w:line="469" w:lineRule="exact"/>
        <w:ind w:left="0" w:right="0" w:firstLine="0"/>
        <w:jc w:val="both"/>
      </w:pPr>
      <w:r>
        <w:rPr>
          <w:color w:val="000000"/>
          <w:spacing w:val="0"/>
          <w:w w:val="100"/>
          <w:position w:val="0"/>
        </w:rPr>
        <w:t>营业收入整体情况</w:t>
      </w:r>
    </w:p>
    <w:p>
      <w:pPr>
        <w:pStyle w:val="Style30"/>
        <w:keepNext w:val="0"/>
        <w:keepLines w:val="0"/>
        <w:widowControl w:val="0"/>
        <w:shd w:val="clear" w:color="auto" w:fill="auto"/>
        <w:bidi w:val="0"/>
        <w:spacing w:before="0" w:after="0" w:line="469" w:lineRule="exact"/>
        <w:ind w:left="0" w:right="0" w:firstLine="0"/>
        <w:jc w:val="right"/>
      </w:pPr>
      <w:r>
        <w:rPr>
          <w:color w:val="000000"/>
          <w:spacing w:val="0"/>
          <w:w w:val="100"/>
          <w:position w:val="0"/>
        </w:rPr>
        <w:t>单位：元</w:t>
      </w:r>
    </w:p>
    <w:tbl>
      <w:tblPr>
        <w:tblOverlap w:val="never"/>
        <w:jc w:val="center"/>
        <w:tblLayout w:type="fixed"/>
      </w:tblPr>
      <w:tblGrid>
        <w:gridCol w:w="1603"/>
        <w:gridCol w:w="1666"/>
        <w:gridCol w:w="1522"/>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占营业收入比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占营业收入比</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03"/>
        <w:gridCol w:w="1666"/>
        <w:gridCol w:w="1522"/>
        <w:gridCol w:w="1598"/>
        <w:gridCol w:w="1594"/>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1,017,608,714.04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379,707,203.30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集成电路和关键 元器件等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637,332,481.07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241,581,503.74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380,276,232.97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138,125,699.56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芯片类产品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589,162,179.68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157,322,194.70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负极材料销售及 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372,221,177.10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133,578,859.71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9,201,952.84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42,980,793.27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47,023,404.42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45,825,355.62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899,652,802.90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357,028,849.45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117,955,911.14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22,678,353.85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420.13%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558,338,565.99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355,689,580.28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459,270,148.05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24,017,623.02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1812.22%</w:t>
            </w:r>
          </w:p>
        </w:tc>
      </w:tr>
    </w:tbl>
    <w:p>
      <w:pPr>
        <w:pStyle w:val="Style13"/>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号——创业板行业信息披露》中的“锂 离子电池产业链相关业务”的披露要求</w:t>
      </w:r>
    </w:p>
    <w:p>
      <w:pPr>
        <w:pStyle w:val="Style13"/>
        <w:keepNext w:val="0"/>
        <w:keepLines w:val="0"/>
        <w:widowControl w:val="0"/>
        <w:shd w:val="clear" w:color="auto" w:fill="auto"/>
        <w:bidi w:val="0"/>
        <w:spacing w:before="0" w:after="240" w:line="470" w:lineRule="exact"/>
        <w:ind w:left="0" w:right="0" w:firstLine="0"/>
        <w:jc w:val="left"/>
      </w:pPr>
      <w:r>
        <w:rPr>
          <w:color w:val="000000"/>
          <w:spacing w:val="0"/>
          <w:w w:val="100"/>
          <w:position w:val="0"/>
        </w:rPr>
        <w:t>报告期内上市公司从事锂离子电池产业链相关业务的海外销售收入占同期营业收入</w:t>
      </w:r>
      <w:r>
        <w:rPr>
          <w:rFonts w:ascii="Times New Roman" w:eastAsia="Times New Roman" w:hAnsi="Times New Roman" w:cs="Times New Roman"/>
          <w:color w:val="000000"/>
          <w:spacing w:val="0"/>
          <w:w w:val="100"/>
          <w:position w:val="0"/>
        </w:rPr>
        <w:t>30%</w:t>
      </w:r>
      <w:r>
        <w:rPr>
          <w:color w:val="000000"/>
          <w:spacing w:val="0"/>
          <w:w w:val="100"/>
          <w:position w:val="0"/>
        </w:rPr>
        <w:t>以上</w:t>
      </w:r>
    </w:p>
    <w:p>
      <w:pPr>
        <w:pStyle w:val="Style13"/>
        <w:keepNext w:val="0"/>
        <w:keepLines w:val="0"/>
        <w:widowControl w:val="0"/>
        <w:shd w:val="clear" w:color="auto" w:fill="auto"/>
        <w:bidi w:val="0"/>
        <w:spacing w:before="0" w:after="0" w:line="44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号——创业板行业信息披露》中的“集 成电路业务”的披露要求</w:t>
      </w:r>
    </w:p>
    <w:p>
      <w:pPr>
        <w:pStyle w:val="Style13"/>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公司主要收入来源地为华南地区和华东地区，占营业收入总额的</w:t>
      </w:r>
      <w:r>
        <w:rPr>
          <w:rFonts w:ascii="Times New Roman" w:eastAsia="Times New Roman" w:hAnsi="Times New Roman" w:cs="Times New Roman"/>
          <w:color w:val="000000"/>
          <w:spacing w:val="0"/>
          <w:w w:val="100"/>
          <w:position w:val="0"/>
        </w:rPr>
        <w:t>68.01%</w:t>
      </w:r>
      <w:r>
        <w:rPr>
          <w:color w:val="000000"/>
          <w:spacing w:val="0"/>
          <w:w w:val="100"/>
          <w:position w:val="0"/>
        </w:rPr>
        <w:t>。销售的主要产品类 别为通用</w:t>
      </w:r>
      <w:r>
        <w:rPr>
          <w:rFonts w:ascii="Times New Roman" w:eastAsia="Times New Roman" w:hAnsi="Times New Roman" w:cs="Times New Roman"/>
          <w:color w:val="000000"/>
          <w:spacing w:val="0"/>
          <w:w w:val="100"/>
          <w:position w:val="0"/>
        </w:rPr>
        <w:t>MCU</w:t>
      </w:r>
      <w:r>
        <w:rPr>
          <w:color w:val="000000"/>
          <w:spacing w:val="0"/>
          <w:w w:val="100"/>
          <w:position w:val="0"/>
        </w:rPr>
        <w:t>芯片产品和负极材料，回款情况良好。报告期内当地汇率、关税情况等经济政策 未发生重大变化，对公司当期和未来经营业绩情况无显著影响。</w:t>
      </w:r>
    </w:p>
    <w:p>
      <w:pPr>
        <w:pStyle w:val="Style13"/>
        <w:keepNext w:val="0"/>
        <w:keepLines w:val="0"/>
        <w:widowControl w:val="0"/>
        <w:shd w:val="clear" w:color="auto" w:fill="auto"/>
        <w:bidi w:val="0"/>
        <w:spacing w:before="0" w:after="440" w:line="470" w:lineRule="exact"/>
        <w:ind w:left="0" w:right="0" w:firstLine="0"/>
        <w:jc w:val="both"/>
        <w:rPr>
          <w:sz w:val="20"/>
          <w:szCs w:val="20"/>
        </w:rPr>
      </w:pPr>
      <w:bookmarkStart w:id="169" w:name="bookmark169"/>
      <w:r>
        <w:rPr>
          <w:b/>
          <w:bCs/>
          <w:color w:val="000000"/>
          <w:spacing w:val="0"/>
          <w:w w:val="100"/>
          <w:position w:val="0"/>
          <w:sz w:val="20"/>
          <w:szCs w:val="20"/>
        </w:rPr>
        <w:t>（</w:t>
      </w:r>
      <w:bookmarkEnd w:id="16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）占公司营业收入或营业利润</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以上的行业、产品、地区、销售模式的情况</w:t>
      </w:r>
    </w:p>
    <w:p>
      <w:pPr>
        <w:pStyle w:val="Style13"/>
        <w:keepNext w:val="0"/>
        <w:keepLines w:val="0"/>
        <w:widowControl w:val="0"/>
        <w:shd w:val="clear" w:color="auto" w:fill="auto"/>
        <w:bidi w:val="0"/>
        <w:spacing w:before="0" w:after="20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1517"/>
        <w:gridCol w:w="1210"/>
        <w:gridCol w:w="1368"/>
        <w:gridCol w:w="1368"/>
        <w:gridCol w:w="1382"/>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毛利率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营业收入比</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营业成本比</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上年同期增</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毛利率比上</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年同期增减</w:t>
            </w:r>
          </w:p>
        </w:tc>
      </w:tr>
    </w:tbl>
    <w:p>
      <w:pPr>
        <w:spacing w:lineRule="exact" w:line="1"/>
        <w:rPr>
          <w:sz w:val="2"/>
          <w:szCs w:val="2"/>
        </w:rPr>
      </w:pPr>
      <w:r>
        <w:br w:type="page"/>
      </w:r>
    </w:p>
    <w:tbl>
      <w:tblPr>
        <w:tblOverlap w:val="never"/>
        <w:jc w:val="center"/>
        <w:tblLayout w:type="fixed"/>
      </w:tblPr>
      <w:tblGrid>
        <w:gridCol w:w="1378"/>
        <w:gridCol w:w="1464"/>
        <w:gridCol w:w="1517"/>
        <w:gridCol w:w="1210"/>
        <w:gridCol w:w="1368"/>
        <w:gridCol w:w="1368"/>
        <w:gridCol w:w="13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集成电路和 关键元器件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637,332,481.07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260,096,092.62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380,276,232.97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269,270,020.66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8.18%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芯片类产品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589,162,179.68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239,439,108.33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负极材料销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售及加工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372,221,177.10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267,401,788.69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7.96%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技术服务业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9,201,952.84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1,963,079.51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47,023,404.42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20,562,136.75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11.70%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12,500,431.60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7,418,627.35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138,281,605.23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89,505,946.33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199,533,890.92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119,116,021.26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492,524,715.88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239,115,729.65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41,498,381.75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16,667,322.79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14,109,237.71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10,088,379.23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1,204,539.81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797,311.84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117,955,911.14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46,656,774.83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-18.91%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分销售模式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558,338,565.99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353,226,093.78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459,270,148.05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176,140,019.50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29.32%</w:t>
            </w:r>
          </w:p>
        </w:tc>
      </w:tr>
    </w:tbl>
    <w:p>
      <w:pPr>
        <w:widowControl w:val="0"/>
        <w:spacing w:after="159" w:line="1" w:lineRule="exact"/>
      </w:pPr>
    </w:p>
    <w:p>
      <w:pPr>
        <w:pStyle w:val="Style13"/>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w:t>
      </w:r>
    </w:p>
    <w:p>
      <w:pPr>
        <w:pStyle w:val="Style13"/>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主营业务数据</w:t>
      </w:r>
    </w:p>
    <w:p>
      <w:pPr>
        <w:pStyle w:val="Style13"/>
        <w:keepNext w:val="0"/>
        <w:keepLines w:val="0"/>
        <w:widowControl w:val="0"/>
        <w:shd w:val="clear" w:color="auto" w:fill="auto"/>
        <w:bidi w:val="0"/>
        <w:spacing w:before="0" w:after="220" w:line="240" w:lineRule="auto"/>
        <w:ind w:left="0" w:right="0" w:firstLine="2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13</w:t>
      </w:r>
      <w:r>
        <w:rPr>
          <w:color w:val="000000"/>
          <w:spacing w:val="0"/>
          <w:w w:val="100"/>
          <w:position w:val="0"/>
        </w:rPr>
        <w:t>号——上市公司从事锂离子电池产</w:t>
      </w:r>
    </w:p>
    <w:p>
      <w:pPr>
        <w:pStyle w:val="Style13"/>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业链相关业务》的披露要求</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1560"/>
        <w:gridCol w:w="1075"/>
        <w:gridCol w:w="1363"/>
        <w:gridCol w:w="1368"/>
        <w:gridCol w:w="1382"/>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营业收入比</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上年同期增 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营业成本比</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上年同期增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毛利率比上</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年同期增减</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分业务</w:t>
            </w:r>
          </w:p>
        </w:tc>
      </w:tr>
    </w:tbl>
    <w:p>
      <w:pPr>
        <w:spacing w:lineRule="exact" w:line="1"/>
        <w:rPr>
          <w:sz w:val="2"/>
          <w:szCs w:val="2"/>
        </w:rPr>
      </w:pPr>
      <w:r>
        <w:br w:type="page"/>
      </w:r>
    </w:p>
    <w:tbl>
      <w:tblPr>
        <w:tblOverlap w:val="never"/>
        <w:jc w:val="center"/>
        <w:tblLayout w:type="fixed"/>
      </w:tblPr>
      <w:tblGrid>
        <w:gridCol w:w="1378"/>
        <w:gridCol w:w="1464"/>
        <w:gridCol w:w="1560"/>
        <w:gridCol w:w="1075"/>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380,276,232.97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269,270,020.66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负极材料销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售及加工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372,221,177.10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267,401,788.69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8,055,055.87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1,868,231.97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12,499,192.66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7,418,204.94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63,128,201.17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43,352,663.56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157,594,747.80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115,987,786.19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127,814,018.77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88,858,420.85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5,285,853.97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3,094,918.07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12,758,192.05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9,768,421.35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1,196,026.55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789,605.70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w:t>
            </w:r>
          </w:p>
        </w:tc>
      </w:tr>
    </w:tbl>
    <w:p>
      <w:pPr>
        <w:widowControl w:val="0"/>
        <w:spacing w:after="139" w:line="1" w:lineRule="exact"/>
      </w:pPr>
    </w:p>
    <w:p>
      <w:pPr>
        <w:pStyle w:val="Style13"/>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w:t>
      </w:r>
    </w:p>
    <w:p>
      <w:pPr>
        <w:pStyle w:val="Style13"/>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主营业务数据</w:t>
      </w:r>
    </w:p>
    <w:p>
      <w:pPr>
        <w:pStyle w:val="Style13"/>
        <w:keepNext w:val="0"/>
        <w:keepLines w:val="0"/>
        <w:widowControl w:val="0"/>
        <w:shd w:val="clear" w:color="auto" w:fill="auto"/>
        <w:bidi w:val="0"/>
        <w:spacing w:before="0" w:after="220" w:line="240" w:lineRule="auto"/>
        <w:ind w:left="0" w:right="0" w:firstLine="2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锂离子电池产业链各环节主要产品或业务相关的关键技术或性能指标</w:t>
      </w:r>
    </w:p>
    <w:p>
      <w:pPr>
        <w:pStyle w:val="Style13"/>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25"/>
        <w:gridCol w:w="1272"/>
        <w:gridCol w:w="1138"/>
        <w:gridCol w:w="1680"/>
        <w:gridCol w:w="1906"/>
        <w:gridCol w:w="1330"/>
        <w:gridCol w:w="2021"/>
      </w:tblGrid>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产品型号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产品原料</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 xml:space="preserve">半电池克容量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mAh/g</w:t>
            </w:r>
            <w:r>
              <w:rPr>
                <w:color w:val="000000"/>
                <w:spacing w:val="0"/>
                <w:w w:val="100"/>
                <w:position w:val="0"/>
                <w:sz w:val="20"/>
                <w:szCs w:val="2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极片压实密度</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 xml:space="preserve">g/cm3 </w:t>
            </w:r>
            <w:r>
              <w:rPr>
                <w:color w:val="000000"/>
                <w:spacing w:val="0"/>
                <w:w w:val="100"/>
                <w:position w:val="0"/>
                <w:sz w:val="20"/>
                <w:szCs w:val="20"/>
              </w:rPr>
              <w:t>密）</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常温循环性 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主要应用领域</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20"/>
                <w:szCs w:val="20"/>
              </w:rPr>
              <w:t>负极材料 系列</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人造石墨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rPr>
              <w:t>1C</w:t>
            </w:r>
            <w:r>
              <w:rPr>
                <w:color w:val="000000"/>
                <w:spacing w:val="0"/>
                <w:w w:val="100"/>
                <w:position w:val="0"/>
                <w:sz w:val="20"/>
                <w:szCs w:val="20"/>
              </w:rPr>
              <w:t xml:space="preserve">循环 </w:t>
            </w:r>
            <w:r>
              <w:rPr>
                <w:rFonts w:ascii="Times New Roman" w:eastAsia="Times New Roman" w:hAnsi="Times New Roman" w:cs="Times New Roman"/>
                <w:color w:val="000000"/>
                <w:spacing w:val="0"/>
                <w:w w:val="100"/>
                <w:position w:val="0"/>
              </w:rPr>
              <w:t>3000</w:t>
            </w:r>
            <w:r>
              <w:rPr>
                <w:color w:val="000000"/>
                <w:spacing w:val="0"/>
                <w:w w:val="100"/>
                <w:position w:val="0"/>
                <w:sz w:val="20"/>
                <w:szCs w:val="20"/>
              </w:rPr>
              <w:t xml:space="preserve">周，容 量保持率〉 </w:t>
            </w: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20"/>
                <w:szCs w:val="20"/>
              </w:rPr>
              <w:t xml:space="preserve">动力锂离子电池、 储能电池、电子烟、 电动工具、航模、 </w:t>
            </w:r>
            <w:r>
              <w:rPr>
                <w:rFonts w:ascii="Times New Roman" w:eastAsia="Times New Roman" w:hAnsi="Times New Roman" w:cs="Times New Roman"/>
                <w:color w:val="000000"/>
                <w:spacing w:val="0"/>
                <w:w w:val="100"/>
                <w:position w:val="0"/>
              </w:rPr>
              <w:t>HEV</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20"/>
                <w:szCs w:val="20"/>
              </w:rPr>
              <w:t>负极材料 系列</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人造石墨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348-352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rPr>
              <w:t>1C</w:t>
            </w:r>
            <w:r>
              <w:rPr>
                <w:color w:val="000000"/>
                <w:spacing w:val="0"/>
                <w:w w:val="100"/>
                <w:position w:val="0"/>
                <w:sz w:val="20"/>
                <w:szCs w:val="20"/>
              </w:rPr>
              <w:t xml:space="preserve">循环 </w:t>
            </w:r>
            <w:r>
              <w:rPr>
                <w:rFonts w:ascii="Times New Roman" w:eastAsia="Times New Roman" w:hAnsi="Times New Roman" w:cs="Times New Roman"/>
                <w:color w:val="000000"/>
                <w:spacing w:val="0"/>
                <w:w w:val="100"/>
                <w:position w:val="0"/>
              </w:rPr>
              <w:t>4500</w:t>
            </w:r>
            <w:r>
              <w:rPr>
                <w:color w:val="000000"/>
                <w:spacing w:val="0"/>
                <w:w w:val="100"/>
                <w:position w:val="0"/>
                <w:sz w:val="20"/>
                <w:szCs w:val="20"/>
              </w:rPr>
              <w:t xml:space="preserve">周，容 量保持率〉 </w:t>
            </w: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长循环型动力锂离 子电池、储能电池</w:t>
            </w:r>
          </w:p>
        </w:tc>
      </w:tr>
      <w:tr>
        <w:trPr>
          <w:trHeight w:val="12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20"/>
                <w:szCs w:val="20"/>
              </w:rPr>
              <w:t>负极材料 系列</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人造石墨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1C</w:t>
            </w:r>
            <w:r>
              <w:rPr>
                <w:color w:val="000000"/>
                <w:spacing w:val="0"/>
                <w:w w:val="100"/>
                <w:position w:val="0"/>
                <w:sz w:val="20"/>
                <w:szCs w:val="20"/>
              </w:rPr>
              <w:t xml:space="preserve">循环 </w:t>
            </w:r>
            <w:r>
              <w:rPr>
                <w:rFonts w:ascii="Times New Roman" w:eastAsia="Times New Roman" w:hAnsi="Times New Roman" w:cs="Times New Roman"/>
                <w:color w:val="000000"/>
                <w:spacing w:val="0"/>
                <w:w w:val="100"/>
                <w:position w:val="0"/>
              </w:rPr>
              <w:t>3000</w:t>
            </w:r>
            <w:r>
              <w:rPr>
                <w:color w:val="000000"/>
                <w:spacing w:val="0"/>
                <w:w w:val="100"/>
                <w:position w:val="0"/>
                <w:sz w:val="20"/>
                <w:szCs w:val="20"/>
              </w:rPr>
              <w:t xml:space="preserve">周，容 量保持率〉 </w:t>
            </w:r>
            <w:r>
              <w:rPr>
                <w:rFonts w:ascii="Times New Roman" w:eastAsia="Times New Roman" w:hAnsi="Times New Roman" w:cs="Times New Roman"/>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高能量密度型数码 锂离子电池、动力 锂离子电池</w:t>
            </w:r>
          </w:p>
        </w:tc>
      </w:tr>
    </w:tbl>
    <w:p>
      <w:pPr>
        <w:widowControl w:val="0"/>
        <w:spacing w:after="139" w:line="1" w:lineRule="exact"/>
      </w:pPr>
    </w:p>
    <w:p>
      <w:pPr>
        <w:pStyle w:val="Style13"/>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占公司最近一个会计年度销售收入</w:t>
      </w:r>
      <w:r>
        <w:rPr>
          <w:rFonts w:ascii="Times New Roman" w:eastAsia="Times New Roman" w:hAnsi="Times New Roman" w:cs="Times New Roman"/>
          <w:color w:val="000000"/>
          <w:spacing w:val="0"/>
          <w:w w:val="100"/>
          <w:position w:val="0"/>
        </w:rPr>
        <w:t>30%</w:t>
      </w:r>
      <w:r>
        <w:rPr>
          <w:color w:val="000000"/>
          <w:spacing w:val="0"/>
          <w:w w:val="100"/>
          <w:position w:val="0"/>
        </w:rPr>
        <w:t>以上产品的销售均价较期初变动幅度超过</w:t>
      </w:r>
      <w:r>
        <w:rPr>
          <w:rFonts w:ascii="Times New Roman" w:eastAsia="Times New Roman" w:hAnsi="Times New Roman" w:cs="Times New Roman"/>
          <w:color w:val="000000"/>
          <w:spacing w:val="0"/>
          <w:w w:val="100"/>
          <w:position w:val="0"/>
        </w:rPr>
        <w:t>30%</w:t>
      </w:r>
      <w:r>
        <w:rPr>
          <w:color w:val="000000"/>
          <w:spacing w:val="0"/>
          <w:w w:val="100"/>
          <w:position w:val="0"/>
        </w:rPr>
        <w:t>的</w:t>
      </w:r>
    </w:p>
    <w:p>
      <w:pPr>
        <w:pStyle w:val="Style13"/>
        <w:keepNext w:val="0"/>
        <w:keepLines w:val="0"/>
        <w:widowControl w:val="0"/>
        <w:shd w:val="clear" w:color="auto" w:fill="auto"/>
        <w:bidi w:val="0"/>
        <w:spacing w:before="0" w:after="220" w:line="240" w:lineRule="auto"/>
        <w:ind w:left="0" w:right="0" w:firstLine="2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52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70"/>
      <w:bookmarkEnd w:id="171"/>
      <w:bookmarkEnd w:id="173"/>
    </w:p>
    <w:p>
      <w:pPr>
        <w:pStyle w:val="Style13"/>
        <w:keepNext w:val="0"/>
        <w:keepLines w:val="0"/>
        <w:widowControl w:val="0"/>
        <w:shd w:val="clear" w:color="auto" w:fill="auto"/>
        <w:bidi w:val="0"/>
        <w:spacing w:before="0" w:after="140" w:line="240" w:lineRule="auto"/>
        <w:ind w:left="0" w:right="0" w:firstLine="520"/>
        <w:jc w:val="left"/>
      </w:pPr>
      <w:r>
        <w:rPr>
          <w:rFonts w:ascii="Times New Roman" w:eastAsia="Times New Roman" w:hAnsi="Times New Roman" w:cs="Times New Roman"/>
          <w:i/>
          <w:iCs/>
          <w:color w:val="000000"/>
          <w:spacing w:val="0"/>
          <w:w w:val="100"/>
          <w:position w:val="0"/>
          <w:sz w:val="20"/>
          <w:szCs w:val="20"/>
        </w:rPr>
        <w:t>-</w:t>
      </w:r>
      <w:r>
        <w:rPr>
          <w:i/>
          <w:iCs/>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603"/>
        <w:gridCol w:w="1594"/>
        <w:gridCol w:w="1176"/>
        <w:gridCol w:w="1699"/>
        <w:gridCol w:w="1699"/>
        <w:gridCol w:w="1814"/>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集成电路和关键 元器件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14,542.74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5,882.60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147.22%</w:t>
            </w:r>
          </w:p>
        </w:tc>
      </w:tr>
      <w:tr>
        <w:trPr>
          <w:trHeight w:val="52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17,942.50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5,958.81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201.11%</w:t>
            </w:r>
          </w:p>
        </w:tc>
      </w:tr>
      <w:tr>
        <w:trPr>
          <w:trHeight w:val="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7,691.64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4,212.75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82.58%</w:t>
            </w:r>
          </w:p>
        </w:tc>
      </w:tr>
      <w:tr>
        <w:trPr>
          <w:trHeight w:val="51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8,179.19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4,486.72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82.30%</w:t>
            </w:r>
          </w:p>
        </w:tc>
      </w:tr>
      <w:tr>
        <w:trPr>
          <w:trHeight w:val="52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石墨化加工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8,254.60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2,387.44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245.75%</w:t>
            </w:r>
          </w:p>
        </w:tc>
      </w:tr>
      <w:tr>
        <w:trPr>
          <w:trHeight w:val="52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8,976.22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3,461.70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159.30%</w:t>
            </w:r>
          </w:p>
        </w:tc>
      </w:tr>
    </w:tbl>
    <w:p>
      <w:pPr>
        <w:widowControl w:val="0"/>
        <w:spacing w:after="139" w:line="1" w:lineRule="exact"/>
      </w:pPr>
    </w:p>
    <w:p>
      <w:pPr>
        <w:pStyle w:val="Style13"/>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3"/>
        <w:keepNext w:val="0"/>
        <w:keepLines w:val="0"/>
        <w:widowControl w:val="0"/>
        <w:shd w:val="clear" w:color="auto" w:fill="auto"/>
        <w:bidi w:val="0"/>
        <w:spacing w:before="0" w:after="40" w:line="240" w:lineRule="auto"/>
        <w:ind w:left="0" w:right="0" w:firstLine="5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0" w:line="470" w:lineRule="exact"/>
        <w:ind w:left="52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:集成电路和关键元器件销售量较上年同期增长</w:t>
      </w:r>
      <w:r>
        <w:rPr>
          <w:rFonts w:ascii="Times New Roman" w:eastAsia="Times New Roman" w:hAnsi="Times New Roman" w:cs="Times New Roman"/>
          <w:color w:val="000000"/>
          <w:spacing w:val="0"/>
          <w:w w:val="100"/>
          <w:position w:val="0"/>
        </w:rPr>
        <w:t>147.22%</w:t>
      </w:r>
      <w:r>
        <w:rPr>
          <w:color w:val="000000"/>
          <w:spacing w:val="0"/>
          <w:w w:val="100"/>
          <w:position w:val="0"/>
        </w:rPr>
        <w:t xml:space="preserve">，生产量较上年同期增长 </w:t>
      </w:r>
      <w:r>
        <w:rPr>
          <w:rFonts w:ascii="Times New Roman" w:eastAsia="Times New Roman" w:hAnsi="Times New Roman" w:cs="Times New Roman"/>
          <w:color w:val="000000"/>
          <w:spacing w:val="0"/>
          <w:w w:val="100"/>
          <w:position w:val="0"/>
        </w:rPr>
        <w:t>201.11%</w:t>
      </w:r>
      <w:r>
        <w:rPr>
          <w:color w:val="000000"/>
          <w:spacing w:val="0"/>
          <w:w w:val="100"/>
          <w:position w:val="0"/>
        </w:rPr>
        <w:t>，主要是</w:t>
      </w:r>
      <w:r>
        <w:rPr>
          <w:rFonts w:ascii="Times New Roman" w:eastAsia="Times New Roman" w:hAnsi="Times New Roman" w:cs="Times New Roman"/>
          <w:color w:val="000000"/>
          <w:spacing w:val="0"/>
          <w:w w:val="100"/>
          <w:position w:val="0"/>
        </w:rPr>
        <w:t>2021</w:t>
      </w:r>
      <w:r>
        <w:rPr>
          <w:color w:val="000000"/>
          <w:spacing w:val="0"/>
          <w:w w:val="100"/>
          <w:position w:val="0"/>
        </w:rPr>
        <w:t>年集成电路下游市场需求增加，公司系列化通用</w:t>
      </w:r>
      <w:r>
        <w:rPr>
          <w:rFonts w:ascii="Times New Roman" w:eastAsia="Times New Roman" w:hAnsi="Times New Roman" w:cs="Times New Roman"/>
          <w:color w:val="000000"/>
          <w:spacing w:val="0"/>
          <w:w w:val="100"/>
          <w:position w:val="0"/>
        </w:rPr>
        <w:t>MCU</w:t>
      </w:r>
      <w:r>
        <w:rPr>
          <w:color w:val="000000"/>
          <w:spacing w:val="0"/>
          <w:w w:val="100"/>
          <w:position w:val="0"/>
        </w:rPr>
        <w:t>产品销售量实现较大 规模增长，同时为了满足</w:t>
      </w:r>
      <w:r>
        <w:rPr>
          <w:rFonts w:ascii="Times New Roman" w:eastAsia="Times New Roman" w:hAnsi="Times New Roman" w:cs="Times New Roman"/>
          <w:color w:val="000000"/>
          <w:spacing w:val="0"/>
          <w:w w:val="100"/>
          <w:position w:val="0"/>
        </w:rPr>
        <w:t>MCU</w:t>
      </w:r>
      <w:r>
        <w:rPr>
          <w:color w:val="000000"/>
          <w:spacing w:val="0"/>
          <w:w w:val="100"/>
          <w:position w:val="0"/>
        </w:rPr>
        <w:t>产品销售订单大幅增长需求，公司</w:t>
      </w:r>
      <w:r>
        <w:rPr>
          <w:rFonts w:ascii="Times New Roman" w:eastAsia="Times New Roman" w:hAnsi="Times New Roman" w:cs="Times New Roman"/>
          <w:color w:val="000000"/>
          <w:spacing w:val="0"/>
          <w:w w:val="100"/>
          <w:position w:val="0"/>
        </w:rPr>
        <w:t>MCU</w:t>
      </w:r>
      <w:r>
        <w:rPr>
          <w:color w:val="000000"/>
          <w:spacing w:val="0"/>
          <w:w w:val="100"/>
          <w:position w:val="0"/>
        </w:rPr>
        <w:t>产品的生产相应大幅增加。</w:t>
      </w:r>
    </w:p>
    <w:p>
      <w:pPr>
        <w:pStyle w:val="Style13"/>
        <w:keepNext w:val="0"/>
        <w:keepLines w:val="0"/>
        <w:widowControl w:val="0"/>
        <w:shd w:val="clear" w:color="auto" w:fill="auto"/>
        <w:bidi w:val="0"/>
        <w:spacing w:before="0" w:after="220" w:line="470" w:lineRule="exact"/>
        <w:ind w:left="52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：负极材料及石墨化加工的销售量及生产量均较上年同期增长超过</w:t>
      </w:r>
      <w:r>
        <w:rPr>
          <w:rFonts w:ascii="Times New Roman" w:eastAsia="Times New Roman" w:hAnsi="Times New Roman" w:cs="Times New Roman"/>
          <w:color w:val="000000"/>
          <w:spacing w:val="0"/>
          <w:w w:val="100"/>
          <w:position w:val="0"/>
        </w:rPr>
        <w:t>30%</w:t>
      </w:r>
      <w:r>
        <w:rPr>
          <w:color w:val="000000"/>
          <w:spacing w:val="0"/>
          <w:w w:val="100"/>
          <w:position w:val="0"/>
        </w:rPr>
        <w:t>，主要是</w:t>
      </w:r>
      <w:r>
        <w:rPr>
          <w:rFonts w:ascii="Times New Roman" w:eastAsia="Times New Roman" w:hAnsi="Times New Roman" w:cs="Times New Roman"/>
          <w:color w:val="000000"/>
          <w:spacing w:val="0"/>
          <w:w w:val="100"/>
          <w:position w:val="0"/>
        </w:rPr>
        <w:t>2021</w:t>
      </w:r>
      <w:r>
        <w:rPr>
          <w:color w:val="000000"/>
          <w:spacing w:val="0"/>
          <w:w w:val="100"/>
          <w:position w:val="0"/>
        </w:rPr>
        <w:t>年锂 电池产业发展较快，负极材料及加工业务销售较大幅增长；为满足订单交付，生产量增加。</w:t>
      </w:r>
    </w:p>
    <w:p>
      <w:pPr>
        <w:pStyle w:val="Style37"/>
        <w:keepNext/>
        <w:keepLines/>
        <w:widowControl w:val="0"/>
        <w:shd w:val="clear" w:color="auto" w:fill="auto"/>
        <w:tabs>
          <w:tab w:pos="1037" w:val="left"/>
        </w:tabs>
        <w:bidi w:val="0"/>
        <w:spacing w:before="0" w:after="220" w:line="470" w:lineRule="exact"/>
        <w:ind w:left="0" w:right="0" w:firstLine="520"/>
        <w:jc w:val="left"/>
      </w:pPr>
      <w:bookmarkStart w:id="174" w:name="bookmark174"/>
      <w:bookmarkStart w:id="175" w:name="bookmark175"/>
      <w:bookmarkStart w:id="176" w:name="bookmark176"/>
      <w:bookmarkStart w:id="177" w:name="bookmark177"/>
      <w:r>
        <w:rPr>
          <w:color w:val="000000"/>
          <w:spacing w:val="0"/>
          <w:w w:val="100"/>
          <w:position w:val="0"/>
        </w:rPr>
        <w:t>（</w:t>
      </w:r>
      <w:bookmarkEnd w:id="17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公司已签订的重大销售合同、重大采购合同截本报告期的履行情况</w:t>
      </w:r>
      <w:bookmarkEnd w:id="174"/>
      <w:bookmarkEnd w:id="175"/>
      <w:bookmarkEnd w:id="177"/>
    </w:p>
    <w:p>
      <w:pPr>
        <w:pStyle w:val="Style13"/>
        <w:keepNext w:val="0"/>
        <w:keepLines w:val="0"/>
        <w:widowControl w:val="0"/>
        <w:shd w:val="clear" w:color="auto" w:fill="auto"/>
        <w:bidi w:val="0"/>
        <w:spacing w:before="0" w:after="220" w:line="470" w:lineRule="exact"/>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1037" w:val="left"/>
        </w:tabs>
        <w:bidi w:val="0"/>
        <w:spacing w:before="0" w:after="220" w:line="470" w:lineRule="exact"/>
        <w:ind w:left="0" w:right="0" w:firstLine="52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78"/>
      <w:bookmarkEnd w:id="179"/>
      <w:bookmarkEnd w:id="181"/>
    </w:p>
    <w:p>
      <w:pPr>
        <w:pStyle w:val="Style13"/>
        <w:keepNext w:val="0"/>
        <w:keepLines w:val="0"/>
        <w:widowControl w:val="0"/>
        <w:shd w:val="clear" w:color="auto" w:fill="auto"/>
        <w:bidi w:val="0"/>
        <w:spacing w:before="0" w:after="140" w:line="470" w:lineRule="exact"/>
        <w:ind w:left="0" w:right="0" w:firstLine="520"/>
        <w:jc w:val="left"/>
      </w:pPr>
      <w:r>
        <w:rPr>
          <w:color w:val="000000"/>
          <w:spacing w:val="0"/>
          <w:w w:val="100"/>
          <w:position w:val="0"/>
        </w:rPr>
        <w:t>行业分类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042"/>
        <w:gridCol w:w="1560"/>
        <w:gridCol w:w="1272"/>
        <w:gridCol w:w="1594"/>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占营业成本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占营业成本 比重</w:t>
            </w:r>
          </w:p>
        </w:tc>
        <w:tc>
          <w:tcPr>
            <w:vMerge/>
            <w:tcBorders>
              <w:left w:val="single" w:sz="4"/>
              <w:right w:val="single" w:sz="4"/>
            </w:tcBorders>
            <w:shd w:val="clear" w:color="auto" w:fill="D3D3D3"/>
            <w:vAlign w:val="center"/>
          </w:tcPr>
          <w:p>
            <w:pP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集成电路和 关键元器件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直接材料</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239,621,662.72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103,760,522.74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130.94%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20,474,429.90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7,519,839.63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172.27%</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260,096,092.62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111,280,362.37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133.73%</w:t>
            </w:r>
          </w:p>
        </w:tc>
      </w:tr>
    </w:tbl>
    <w:p>
      <w:pPr>
        <w:spacing w:lineRule="exact" w:line="1"/>
        <w:rPr>
          <w:sz w:val="2"/>
          <w:szCs w:val="2"/>
        </w:rPr>
      </w:pPr>
      <w:r>
        <w:br w:type="page"/>
      </w:r>
    </w:p>
    <w:tbl>
      <w:tblPr>
        <w:tblOverlap w:val="never"/>
        <w:jc w:val="center"/>
        <w:tblLayout w:type="fixed"/>
      </w:tblPr>
      <w:tblGrid>
        <w:gridCol w:w="1378"/>
        <w:gridCol w:w="1042"/>
        <w:gridCol w:w="1560"/>
        <w:gridCol w:w="1272"/>
        <w:gridCol w:w="1594"/>
        <w:gridCol w:w="1368"/>
        <w:gridCol w:w="1378"/>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60,706,373.27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21,920,194.58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31,011,433.88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13,403,064.31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177,552,213.50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73,775,663.39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140.67%</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269,270,020.66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109,098,922.28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146.81%</w:t>
            </w:r>
          </w:p>
        </w:tc>
      </w:tr>
    </w:tbl>
    <w:p>
      <w:pPr>
        <w:widowControl w:val="0"/>
        <w:spacing w:after="159" w:line="1" w:lineRule="exact"/>
      </w:pPr>
    </w:p>
    <w:p>
      <w:pPr>
        <w:pStyle w:val="Style13"/>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81"/>
        <w:gridCol w:w="1555"/>
        <w:gridCol w:w="1282"/>
        <w:gridCol w:w="1560"/>
        <w:gridCol w:w="1416"/>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占营业成本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占营业成本比 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芯片类产品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218,964,678.43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78,430,027.86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20,474,429.90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7,519,839.63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172.27%</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负极材料销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售及加工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58,838,141.30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19,418,830.00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31,011,433.88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13,403,064.31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177,552,213.50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73,775,663.39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技术服务业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1,963,079.51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2,431,090.45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20,562,136.75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25,400,769.01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529,366,113.28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220,379,284.65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140.21%</w:t>
            </w:r>
          </w:p>
        </w:tc>
      </w:tr>
    </w:tbl>
    <w:p>
      <w:pPr>
        <w:widowControl w:val="0"/>
        <w:spacing w:after="159" w:line="1" w:lineRule="exact"/>
      </w:pPr>
    </w:p>
    <w:p>
      <w:pPr>
        <w:pStyle w:val="Style13"/>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号——创业板行业信息披露》中的“集</w:t>
      </w:r>
    </w:p>
    <w:p>
      <w:pPr>
        <w:pStyle w:val="Style13"/>
        <w:keepNext w:val="0"/>
        <w:keepLines w:val="0"/>
        <w:widowControl w:val="0"/>
        <w:shd w:val="clear" w:color="auto" w:fill="auto"/>
        <w:bidi w:val="0"/>
        <w:spacing w:before="0" w:after="260" w:line="240" w:lineRule="auto"/>
        <w:ind w:left="0" w:right="0" w:firstLine="520"/>
        <w:jc w:val="left"/>
      </w:pPr>
      <w:r>
        <w:rPr>
          <w:color w:val="000000"/>
          <w:spacing w:val="0"/>
          <w:w w:val="100"/>
          <w:position w:val="0"/>
        </w:rPr>
        <w:t>成电路业务”的披露要求</w:t>
      </w:r>
    </w:p>
    <w:p>
      <w:pPr>
        <w:pStyle w:val="Style13"/>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产品的产销情况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555"/>
        <w:gridCol w:w="1560"/>
        <w:gridCol w:w="557"/>
        <w:gridCol w:w="1560"/>
        <w:gridCol w:w="1560"/>
        <w:gridCol w:w="710"/>
        <w:gridCol w:w="854"/>
        <w:gridCol w:w="994"/>
        <w:gridCol w:w="50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产品名 称</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产能</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利用</w:t>
            </w:r>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产能</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利用</w:t>
            </w:r>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营业成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销售金额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产能</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利用</w:t>
            </w:r>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芯片类</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239,439,108.33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589,162,179.68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85,949,867.49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157,322,194.70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3"/>
        <w:keepNext w:val="0"/>
        <w:keepLines w:val="0"/>
        <w:widowControl w:val="0"/>
        <w:shd w:val="clear" w:color="auto" w:fill="auto"/>
        <w:bidi w:val="0"/>
        <w:spacing w:before="0" w:after="200" w:line="240" w:lineRule="auto"/>
        <w:ind w:left="0" w:right="0" w:firstLine="520"/>
        <w:jc w:val="both"/>
      </w:pPr>
      <w:r>
        <w:rPr>
          <w:color w:val="000000"/>
          <w:spacing w:val="0"/>
          <w:w w:val="100"/>
          <w:position w:val="0"/>
        </w:rPr>
        <w:t>主营业务成本构成</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378"/>
        <w:gridCol w:w="1560"/>
        <w:gridCol w:w="1277"/>
        <w:gridCol w:w="1555"/>
        <w:gridCol w:w="1138"/>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产品名称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占营业成本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占营业成 本比重</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集成电路和关键 元器件等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直接材料</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直 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237,142,135.02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101,360,342.45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133.96%</w:t>
            </w:r>
          </w:p>
        </w:tc>
      </w:tr>
    </w:tbl>
    <w:tbl>
      <w:tblPr>
        <w:tblOverlap w:val="never"/>
        <w:jc w:val="center"/>
        <w:tblLayout w:type="fixed"/>
      </w:tblPr>
      <w:tblGrid>
        <w:gridCol w:w="1608"/>
        <w:gridCol w:w="1378"/>
        <w:gridCol w:w="1560"/>
        <w:gridCol w:w="1277"/>
        <w:gridCol w:w="1555"/>
        <w:gridCol w:w="1138"/>
        <w:gridCol w:w="107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20,474,429.90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7,519,839.63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172.27%</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58,838,141.30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19,418,830.00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203.00%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31,011,433.88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13,403,064.31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131.38%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177,552,213.50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73,775,663.39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140.67%</w:t>
            </w:r>
          </w:p>
        </w:tc>
      </w:tr>
    </w:tbl>
    <w:p>
      <w:pPr>
        <w:widowControl w:val="0"/>
        <w:spacing w:after="119" w:line="1" w:lineRule="exact"/>
      </w:pPr>
    </w:p>
    <w:p>
      <w:pPr>
        <w:pStyle w:val="Style13"/>
        <w:keepNext w:val="0"/>
        <w:keepLines w:val="0"/>
        <w:widowControl w:val="0"/>
        <w:shd w:val="clear" w:color="auto" w:fill="auto"/>
        <w:bidi w:val="0"/>
        <w:spacing w:before="0" w:after="220" w:line="240" w:lineRule="auto"/>
        <w:ind w:left="0" w:right="0" w:firstLine="520"/>
        <w:jc w:val="both"/>
      </w:pPr>
      <w:r>
        <w:rPr>
          <w:color w:val="000000"/>
          <w:spacing w:val="0"/>
          <w:w w:val="100"/>
          <w:position w:val="0"/>
        </w:rPr>
        <w:t>同比变化</w:t>
      </w:r>
      <w:r>
        <w:rPr>
          <w:rFonts w:ascii="Times New Roman" w:eastAsia="Times New Roman" w:hAnsi="Times New Roman" w:cs="Times New Roman"/>
          <w:color w:val="000000"/>
          <w:spacing w:val="0"/>
          <w:w w:val="100"/>
          <w:position w:val="0"/>
        </w:rPr>
        <w:t>30%</w:t>
      </w:r>
      <w:r>
        <w:rPr>
          <w:color w:val="000000"/>
          <w:spacing w:val="0"/>
          <w:w w:val="100"/>
          <w:position w:val="0"/>
        </w:rPr>
        <w:t>以上</w:t>
      </w:r>
    </w:p>
    <w:p>
      <w:pPr>
        <w:pStyle w:val="Style1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0" w:line="473" w:lineRule="exact"/>
        <w:ind w:left="520" w:right="0" w:firstLine="460"/>
        <w:jc w:val="both"/>
      </w:pPr>
      <w:r>
        <w:rPr>
          <w:color w:val="000000"/>
          <w:spacing w:val="0"/>
          <w:w w:val="100"/>
          <w:position w:val="0"/>
        </w:rPr>
        <w:t>集成电路和关键元器件等直接材料</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直接成本</w:t>
      </w:r>
      <w:r>
        <w:rPr>
          <w:color w:val="000000"/>
          <w:spacing w:val="0"/>
          <w:w w:val="100"/>
          <w:position w:val="0"/>
        </w:rPr>
        <w:t>同比增长</w:t>
      </w:r>
      <w:r>
        <w:rPr>
          <w:rFonts w:ascii="Times New Roman" w:eastAsia="Times New Roman" w:hAnsi="Times New Roman" w:cs="Times New Roman"/>
          <w:color w:val="000000"/>
          <w:spacing w:val="0"/>
          <w:w w:val="100"/>
          <w:position w:val="0"/>
        </w:rPr>
        <w:t>133.96%</w:t>
      </w:r>
      <w:r>
        <w:rPr>
          <w:color w:val="000000"/>
          <w:spacing w:val="0"/>
          <w:w w:val="100"/>
          <w:position w:val="0"/>
        </w:rPr>
        <w:t>，制造费用同比增长</w:t>
      </w:r>
      <w:r>
        <w:rPr>
          <w:rFonts w:ascii="Times New Roman" w:eastAsia="Times New Roman" w:hAnsi="Times New Roman" w:cs="Times New Roman"/>
          <w:color w:val="000000"/>
          <w:spacing w:val="0"/>
          <w:w w:val="100"/>
          <w:position w:val="0"/>
        </w:rPr>
        <w:t xml:space="preserve">172.27%, </w:t>
      </w:r>
      <w:r>
        <w:rPr>
          <w:color w:val="000000"/>
          <w:spacing w:val="0"/>
          <w:w w:val="100"/>
          <w:position w:val="0"/>
        </w:rPr>
        <w:t>主要是</w:t>
      </w:r>
      <w:r>
        <w:rPr>
          <w:rFonts w:ascii="Times New Roman" w:eastAsia="Times New Roman" w:hAnsi="Times New Roman" w:cs="Times New Roman"/>
          <w:color w:val="000000"/>
          <w:spacing w:val="0"/>
          <w:w w:val="100"/>
          <w:position w:val="0"/>
        </w:rPr>
        <w:t>2021</w:t>
      </w:r>
      <w:r>
        <w:rPr>
          <w:color w:val="000000"/>
          <w:spacing w:val="0"/>
          <w:w w:val="100"/>
          <w:position w:val="0"/>
        </w:rPr>
        <w:t>年集成电路下游市场需求增加，公司芯片类产品销售收入同比较大规模增长，主营业 务成本随着销量增加而增加。</w:t>
      </w:r>
    </w:p>
    <w:p>
      <w:pPr>
        <w:pStyle w:val="Style13"/>
        <w:keepNext w:val="0"/>
        <w:keepLines w:val="0"/>
        <w:widowControl w:val="0"/>
        <w:shd w:val="clear" w:color="auto" w:fill="auto"/>
        <w:bidi w:val="0"/>
        <w:spacing w:before="0" w:after="220" w:line="473" w:lineRule="exact"/>
        <w:ind w:left="520" w:right="0" w:firstLine="460"/>
        <w:jc w:val="both"/>
      </w:pPr>
      <w:r>
        <w:rPr>
          <w:color w:val="000000"/>
          <w:spacing w:val="0"/>
          <w:w w:val="100"/>
          <w:position w:val="0"/>
        </w:rPr>
        <w:t>负极材料的直接材料同比增长</w:t>
      </w:r>
      <w:r>
        <w:rPr>
          <w:rFonts w:ascii="Times New Roman" w:eastAsia="Times New Roman" w:hAnsi="Times New Roman" w:cs="Times New Roman"/>
          <w:color w:val="000000"/>
          <w:spacing w:val="0"/>
          <w:w w:val="100"/>
          <w:position w:val="0"/>
        </w:rPr>
        <w:t>203.00%</w:t>
      </w:r>
      <w:r>
        <w:rPr>
          <w:color w:val="000000"/>
          <w:spacing w:val="0"/>
          <w:w w:val="100"/>
          <w:position w:val="0"/>
        </w:rPr>
        <w:t>，直接人工同比增长</w:t>
      </w:r>
      <w:r>
        <w:rPr>
          <w:rFonts w:ascii="Times New Roman" w:eastAsia="Times New Roman" w:hAnsi="Times New Roman" w:cs="Times New Roman"/>
          <w:color w:val="000000"/>
          <w:spacing w:val="0"/>
          <w:w w:val="100"/>
          <w:position w:val="0"/>
        </w:rPr>
        <w:t>131.38%</w:t>
      </w:r>
      <w:r>
        <w:rPr>
          <w:color w:val="000000"/>
          <w:spacing w:val="0"/>
          <w:w w:val="100"/>
          <w:position w:val="0"/>
        </w:rPr>
        <w:t xml:space="preserve">，制造费用同比增长 </w:t>
      </w:r>
      <w:r>
        <w:rPr>
          <w:rFonts w:ascii="Times New Roman" w:eastAsia="Times New Roman" w:hAnsi="Times New Roman" w:cs="Times New Roman"/>
          <w:color w:val="000000"/>
          <w:spacing w:val="0"/>
          <w:w w:val="100"/>
          <w:position w:val="0"/>
        </w:rPr>
        <w:t>140.67%</w:t>
      </w:r>
      <w:r>
        <w:rPr>
          <w:color w:val="000000"/>
          <w:spacing w:val="0"/>
          <w:w w:val="100"/>
          <w:position w:val="0"/>
        </w:rPr>
        <w:t>，主要是</w:t>
      </w:r>
      <w:r>
        <w:rPr>
          <w:rFonts w:ascii="Times New Roman" w:eastAsia="Times New Roman" w:hAnsi="Times New Roman" w:cs="Times New Roman"/>
          <w:color w:val="000000"/>
          <w:spacing w:val="0"/>
          <w:w w:val="100"/>
          <w:position w:val="0"/>
        </w:rPr>
        <w:t>2021</w:t>
      </w:r>
      <w:r>
        <w:rPr>
          <w:color w:val="000000"/>
          <w:spacing w:val="0"/>
          <w:w w:val="100"/>
          <w:position w:val="0"/>
        </w:rPr>
        <w:t>年锂电池产业发展较快，负极材料及加工业务销售收入较大幅增长，主营 业务成本随着销售收入增加而增加。</w:t>
      </w:r>
    </w:p>
    <w:p>
      <w:pPr>
        <w:pStyle w:val="Style37"/>
        <w:keepNext/>
        <w:keepLines/>
        <w:widowControl w:val="0"/>
        <w:shd w:val="clear" w:color="auto" w:fill="auto"/>
        <w:tabs>
          <w:tab w:pos="1037" w:val="left"/>
        </w:tabs>
        <w:bidi w:val="0"/>
        <w:spacing w:before="0" w:after="220" w:line="473" w:lineRule="exact"/>
        <w:ind w:left="0" w:right="0" w:firstLine="52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82"/>
      <w:bookmarkEnd w:id="183"/>
      <w:bookmarkEnd w:id="185"/>
    </w:p>
    <w:p>
      <w:pPr>
        <w:pStyle w:val="Style13"/>
        <w:keepNext w:val="0"/>
        <w:keepLines w:val="0"/>
        <w:widowControl w:val="0"/>
        <w:shd w:val="clear" w:color="auto" w:fill="auto"/>
        <w:bidi w:val="0"/>
        <w:spacing w:before="0" w:after="0" w:line="473" w:lineRule="exact"/>
        <w:ind w:left="0" w:right="0" w:firstLine="52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3"/>
        <w:keepNext w:val="0"/>
        <w:keepLines w:val="0"/>
        <w:widowControl w:val="0"/>
        <w:shd w:val="clear" w:color="auto" w:fill="auto"/>
        <w:bidi w:val="0"/>
        <w:spacing w:before="0" w:after="220" w:line="463" w:lineRule="exact"/>
        <w:ind w:left="520" w:right="0" w:firstLine="460"/>
        <w:jc w:val="both"/>
      </w:pPr>
      <w:r>
        <w:rPr>
          <w:color w:val="000000"/>
          <w:spacing w:val="0"/>
          <w:w w:val="100"/>
          <w:position w:val="0"/>
        </w:rPr>
        <w:t>本年度合并范围比上年度增加</w:t>
      </w:r>
      <w:r>
        <w:rPr>
          <w:rFonts w:ascii="Times New Roman" w:eastAsia="Times New Roman" w:hAnsi="Times New Roman" w:cs="Times New Roman"/>
          <w:color w:val="000000"/>
          <w:spacing w:val="0"/>
          <w:w w:val="100"/>
          <w:position w:val="0"/>
        </w:rPr>
        <w:t>1</w:t>
      </w:r>
      <w:r>
        <w:rPr>
          <w:color w:val="000000"/>
          <w:spacing w:val="0"/>
          <w:w w:val="100"/>
          <w:position w:val="0"/>
        </w:rPr>
        <w:t>户，新注册成立全资子公司广东国民新能源科技有限公司； 减少</w:t>
      </w:r>
      <w:r>
        <w:rPr>
          <w:rFonts w:ascii="Times New Roman" w:eastAsia="Times New Roman" w:hAnsi="Times New Roman" w:cs="Times New Roman"/>
          <w:color w:val="000000"/>
          <w:spacing w:val="0"/>
          <w:w w:val="100"/>
          <w:position w:val="0"/>
        </w:rPr>
        <w:t>3</w:t>
      </w:r>
      <w:r>
        <w:rPr>
          <w:color w:val="000000"/>
          <w:spacing w:val="0"/>
          <w:w w:val="100"/>
          <w:position w:val="0"/>
        </w:rPr>
        <w:t xml:space="preserve">户，分别是江西斯诺石墨新材料有限公司、陕西斯诺新材料科技有限公司完成注销登记， </w:t>
      </w:r>
      <w:r>
        <w:rPr>
          <w:rFonts w:ascii="Times New Roman" w:eastAsia="Times New Roman" w:hAnsi="Times New Roman" w:cs="Times New Roman"/>
          <w:color w:val="000000"/>
          <w:spacing w:val="0"/>
          <w:w w:val="100"/>
          <w:position w:val="0"/>
        </w:rPr>
        <w:t>Nations Holdings Limited</w:t>
      </w:r>
      <w:r>
        <w:rPr>
          <w:color w:val="000000"/>
          <w:spacing w:val="0"/>
          <w:w w:val="100"/>
          <w:position w:val="0"/>
        </w:rPr>
        <w:t>清算完毕、完成注销。</w:t>
      </w:r>
    </w:p>
    <w:p>
      <w:pPr>
        <w:pStyle w:val="Style37"/>
        <w:keepNext/>
        <w:keepLines/>
        <w:widowControl w:val="0"/>
        <w:shd w:val="clear" w:color="auto" w:fill="auto"/>
        <w:tabs>
          <w:tab w:pos="1037" w:val="left"/>
        </w:tabs>
        <w:bidi w:val="0"/>
        <w:spacing w:before="0" w:after="440" w:line="473" w:lineRule="exact"/>
        <w:ind w:left="0" w:right="0" w:firstLine="520"/>
        <w:jc w:val="both"/>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86"/>
      <w:bookmarkEnd w:id="187"/>
      <w:bookmarkEnd w:id="189"/>
    </w:p>
    <w:p>
      <w:pPr>
        <w:pStyle w:val="Style13"/>
        <w:keepNext w:val="0"/>
        <w:keepLines w:val="0"/>
        <w:widowControl w:val="0"/>
        <w:shd w:val="clear" w:color="auto" w:fill="auto"/>
        <w:bidi w:val="0"/>
        <w:spacing w:before="0" w:after="0" w:line="449" w:lineRule="auto"/>
        <w:ind w:left="0" w:right="0" w:firstLine="5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1037" w:val="left"/>
        </w:tabs>
        <w:bidi w:val="0"/>
        <w:spacing w:before="0" w:after="220" w:line="473" w:lineRule="exact"/>
        <w:ind w:left="0" w:right="0" w:firstLine="520"/>
        <w:jc w:val="both"/>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90"/>
      <w:bookmarkEnd w:id="191"/>
      <w:bookmarkEnd w:id="193"/>
    </w:p>
    <w:p>
      <w:pPr>
        <w:pStyle w:val="Style13"/>
        <w:keepNext w:val="0"/>
        <w:keepLines w:val="0"/>
        <w:widowControl w:val="0"/>
        <w:shd w:val="clear" w:color="auto" w:fill="auto"/>
        <w:bidi w:val="0"/>
        <w:spacing w:before="0" w:after="120" w:line="473" w:lineRule="exact"/>
        <w:ind w:left="0" w:right="0" w:firstLine="52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266,260,559.31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前五名客户合计销售金额占年度销售总额比 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前五名客户销售额中关联方销售额占年度销 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公司前</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大客户资料</w:t>
      </w: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79,865,165.67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72,072,511.03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41,927,228.67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37,379,446.21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35,016,207.73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3.44%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266,260,559.31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26.17%</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主要客户其他情况说明</w:t>
      </w:r>
    </w:p>
    <w:p>
      <w:pPr>
        <w:pStyle w:val="Style13"/>
        <w:keepNext w:val="0"/>
        <w:keepLines w:val="0"/>
        <w:widowControl w:val="0"/>
        <w:shd w:val="clear" w:color="auto" w:fill="auto"/>
        <w:bidi w:val="0"/>
        <w:spacing w:before="0" w:after="240" w:line="240" w:lineRule="auto"/>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340,085,513.58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前五名供应商合计采购金额占年度采购总额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前五名供应商采购额中关联方采购额占年度 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39" w:line="1" w:lineRule="exact"/>
      </w:pPr>
    </w:p>
    <w:p>
      <w:pPr>
        <w:pStyle w:val="Style13"/>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168,707,743.80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29.81%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62,029,070.89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10.96%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48,354,506.93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32,805,796.42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28,188,395.54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4.98%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340,085,513.58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60.09%</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主要供应商其他情况说明</w:t>
      </w:r>
    </w:p>
    <w:p>
      <w:pPr>
        <w:pStyle w:val="Style13"/>
        <w:keepNext w:val="0"/>
        <w:keepLines w:val="0"/>
        <w:widowControl w:val="0"/>
        <w:shd w:val="clear" w:color="auto" w:fill="auto"/>
        <w:bidi w:val="0"/>
        <w:spacing w:before="0" w:after="420" w:line="240" w:lineRule="auto"/>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52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、费用</w:t>
      </w:r>
      <w:bookmarkEnd w:id="194"/>
      <w:bookmarkEnd w:id="195"/>
      <w:bookmarkEnd w:id="1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52,630,933.66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31,352,619.82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主要是股权激励费用、职工薪 酬、知识产权费增加。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132,081,555.55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66,662,040.79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主要是股权激励费用、服务费、 职工薪酬增加。</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38,366,467.08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39,076,586.96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227,253,437.87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132,504,869.90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主要是股权激励费用、职工薪 酬、研发材料及委托开发费增 加。</w:t>
            </w:r>
          </w:p>
        </w:tc>
      </w:tr>
    </w:tbl>
    <w:p>
      <w:pPr>
        <w:pStyle w:val="Style30"/>
        <w:keepNext w:val="0"/>
        <w:keepLines w:val="0"/>
        <w:widowControl w:val="0"/>
        <w:shd w:val="clear" w:color="auto" w:fill="auto"/>
        <w:bidi w:val="0"/>
        <w:spacing w:before="0" w:after="0" w:line="240" w:lineRule="auto"/>
        <w:ind w:left="408" w:right="0" w:firstLine="0"/>
        <w:jc w:val="left"/>
        <w:rPr>
          <w:sz w:val="22"/>
          <w:szCs w:val="22"/>
        </w:rPr>
      </w:pPr>
      <w:r>
        <w:rPr>
          <w:rFonts w:ascii="Times New Roman" w:eastAsia="Times New Roman" w:hAnsi="Times New Roman" w:cs="Times New Roman"/>
          <w:b/>
          <w:bCs/>
          <w:color w:val="000000"/>
          <w:spacing w:val="0"/>
          <w:w w:val="100"/>
          <w:position w:val="0"/>
          <w:sz w:val="22"/>
          <w:szCs w:val="22"/>
        </w:rPr>
        <w:t>4</w:t>
      </w:r>
      <w:r>
        <w:rPr>
          <w:b/>
          <w:bCs/>
          <w:color w:val="000000"/>
          <w:spacing w:val="0"/>
          <w:w w:val="100"/>
          <w:position w:val="0"/>
          <w:sz w:val="22"/>
          <w:szCs w:val="22"/>
        </w:rPr>
        <w:t>、研发投入</w:t>
      </w:r>
    </w:p>
    <w:p>
      <w:pPr>
        <w:widowControl w:val="0"/>
        <w:spacing w:after="359" w:line="1" w:lineRule="exact"/>
      </w:pPr>
    </w:p>
    <w:p>
      <w:pPr>
        <w:pStyle w:val="Style30"/>
        <w:keepNext w:val="0"/>
        <w:keepLines w:val="0"/>
        <w:widowControl w:val="0"/>
        <w:shd w:val="clear" w:color="auto" w:fill="auto"/>
        <w:bidi w:val="0"/>
        <w:spacing w:before="0" w:after="0" w:line="240" w:lineRule="auto"/>
        <w:ind w:left="206" w:right="0" w:firstLine="0"/>
        <w:jc w:val="left"/>
        <w:rPr>
          <w:sz w:val="22"/>
          <w:szCs w:val="22"/>
        </w:rPr>
      </w:pPr>
      <w:r>
        <w:rPr>
          <w:color w:val="000000"/>
          <w:spacing w:val="0"/>
          <w:w w:val="100"/>
          <w:position w:val="0"/>
          <w:sz w:val="22"/>
          <w:szCs w:val="22"/>
        </w:rPr>
        <w:t>寸</w:t>
      </w:r>
      <w:r>
        <w:rPr>
          <w:color w:val="000000"/>
          <w:spacing w:val="0"/>
          <w:w w:val="100"/>
          <w:position w:val="0"/>
          <w:sz w:val="22"/>
          <w:szCs w:val="22"/>
        </w:rPr>
        <w:t>适用</w:t>
      </w:r>
      <w:r>
        <w:rPr>
          <w:color w:val="000000"/>
          <w:spacing w:val="0"/>
          <w:w w:val="100"/>
          <w:position w:val="0"/>
          <w:sz w:val="22"/>
          <w:szCs w:val="22"/>
        </w:rPr>
        <w:t>口</w:t>
      </w:r>
      <w:r>
        <w:rPr>
          <w:color w:val="000000"/>
          <w:spacing w:val="0"/>
          <w:w w:val="100"/>
          <w:position w:val="0"/>
          <w:sz w:val="22"/>
          <w:szCs w:val="22"/>
        </w:rPr>
        <w:t>不适用</w:t>
      </w:r>
    </w:p>
    <w:tbl>
      <w:tblPr>
        <w:tblOverlap w:val="never"/>
        <w:jc w:val="center"/>
        <w:tblLayout w:type="fixed"/>
      </w:tblPr>
      <w:tblGrid>
        <w:gridCol w:w="998"/>
        <w:gridCol w:w="1488"/>
        <w:gridCol w:w="960"/>
        <w:gridCol w:w="3374"/>
        <w:gridCol w:w="326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b/>
                <w:bCs/>
                <w:color w:val="000000"/>
                <w:spacing w:val="0"/>
                <w:w w:val="100"/>
                <w:position w:val="0"/>
                <w:sz w:val="20"/>
                <w:szCs w:val="20"/>
              </w:rPr>
              <w:t>主要研发 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预计对公司未来发展的影响</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0"/>
                <w:szCs w:val="20"/>
              </w:rPr>
              <w:t>基于</w:t>
            </w:r>
            <w:r>
              <w:rPr>
                <w:rFonts w:ascii="Times New Roman" w:eastAsia="Times New Roman" w:hAnsi="Times New Roman" w:cs="Times New Roman"/>
                <w:color w:val="000000"/>
                <w:spacing w:val="0"/>
                <w:w w:val="100"/>
                <w:position w:val="0"/>
              </w:rPr>
              <w:t>M4</w:t>
            </w:r>
            <w:r>
              <w:rPr>
                <w:color w:val="000000"/>
                <w:spacing w:val="0"/>
                <w:w w:val="100"/>
                <w:position w:val="0"/>
                <w:sz w:val="20"/>
                <w:szCs w:val="20"/>
              </w:rPr>
              <w:t xml:space="preserve">内核 的低功耗通用 </w:t>
            </w:r>
            <w:r>
              <w:rPr>
                <w:rFonts w:ascii="Times New Roman" w:eastAsia="Times New Roman" w:hAnsi="Times New Roman" w:cs="Times New Roman"/>
                <w:color w:val="000000"/>
                <w:spacing w:val="0"/>
                <w:w w:val="100"/>
                <w:position w:val="0"/>
              </w:rPr>
              <w:t>MCU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4" w:lineRule="exact"/>
              <w:ind w:left="0" w:right="0" w:firstLine="0"/>
              <w:jc w:val="both"/>
              <w:rPr>
                <w:sz w:val="20"/>
                <w:szCs w:val="20"/>
              </w:rPr>
            </w:pPr>
            <w:r>
              <w:rPr>
                <w:color w:val="000000"/>
                <w:spacing w:val="0"/>
                <w:w w:val="100"/>
                <w:position w:val="0"/>
                <w:sz w:val="20"/>
                <w:szCs w:val="20"/>
              </w:rPr>
              <w:t>通用低功耗</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w:t>
            </w:r>
            <w:r>
              <w:rPr>
                <w:color w:val="000000"/>
                <w:spacing w:val="0"/>
                <w:w w:val="100"/>
                <w:position w:val="0"/>
                <w:sz w:val="20"/>
                <w:szCs w:val="20"/>
              </w:rPr>
              <w:t>采用</w:t>
            </w:r>
            <w:r>
              <w:rPr>
                <w:rFonts w:ascii="Times New Roman" w:eastAsia="Times New Roman" w:hAnsi="Times New Roman" w:cs="Times New Roman"/>
                <w:color w:val="000000"/>
                <w:spacing w:val="0"/>
                <w:w w:val="100"/>
                <w:position w:val="0"/>
                <w:sz w:val="22"/>
                <w:szCs w:val="22"/>
              </w:rPr>
              <w:t>32bit ARM Cortex-M4</w:t>
            </w:r>
            <w:r>
              <w:rPr>
                <w:color w:val="000000"/>
                <w:spacing w:val="0"/>
                <w:w w:val="100"/>
                <w:position w:val="0"/>
                <w:sz w:val="20"/>
                <w:szCs w:val="20"/>
              </w:rPr>
              <w:t>内核，主体面向物联网、 能源管理、智能表计、电机控制等 工业、消费、家电、物联网应用场</w:t>
            </w:r>
          </w:p>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低功耗和高性能平台化</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产 品，拓展公司在能源管理、智能表 计、电机控制、家电以及物联网等 行业的应用。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基于</w:t>
            </w:r>
            <w:r>
              <w:rPr>
                <w:rFonts w:ascii="Times New Roman" w:eastAsia="Times New Roman" w:hAnsi="Times New Roman" w:cs="Times New Roman"/>
                <w:color w:val="000000"/>
                <w:spacing w:val="0"/>
                <w:w w:val="100"/>
                <w:position w:val="0"/>
                <w:sz w:val="22"/>
                <w:szCs w:val="22"/>
              </w:rPr>
              <w:t>M0</w:t>
            </w:r>
            <w:r>
              <w:rPr>
                <w:color w:val="000000"/>
                <w:spacing w:val="0"/>
                <w:w w:val="100"/>
                <w:position w:val="0"/>
                <w:sz w:val="20"/>
                <w:szCs w:val="20"/>
              </w:rPr>
              <w:t>内核 通用</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通用</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产品，采用</w:t>
            </w:r>
            <w:r>
              <w:rPr>
                <w:rFonts w:ascii="Times New Roman" w:eastAsia="Times New Roman" w:hAnsi="Times New Roman" w:cs="Times New Roman"/>
                <w:color w:val="000000"/>
                <w:spacing w:val="0"/>
                <w:w w:val="100"/>
                <w:position w:val="0"/>
                <w:sz w:val="22"/>
                <w:szCs w:val="22"/>
              </w:rPr>
              <w:t>32bit ARM Cortex M0</w:t>
            </w:r>
            <w:r>
              <w:rPr>
                <w:color w:val="000000"/>
                <w:spacing w:val="0"/>
                <w:w w:val="100"/>
                <w:position w:val="0"/>
                <w:sz w:val="20"/>
                <w:szCs w:val="20"/>
              </w:rPr>
              <w:t>内核，主体覆盖工业、 家电、消费以及物联网应用场景。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M0</w:t>
            </w:r>
            <w:r>
              <w:rPr>
                <w:color w:val="000000"/>
                <w:spacing w:val="0"/>
                <w:w w:val="100"/>
                <w:position w:val="0"/>
                <w:sz w:val="20"/>
                <w:szCs w:val="20"/>
              </w:rPr>
              <w:t>内核通用</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产品，满足消 费、工业、能源管理、智能家居等 应用场景。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基于</w:t>
            </w:r>
            <w:r>
              <w:rPr>
                <w:rFonts w:ascii="Times New Roman" w:eastAsia="Times New Roman" w:hAnsi="Times New Roman" w:cs="Times New Roman"/>
                <w:color w:val="000000"/>
                <w:spacing w:val="0"/>
                <w:w w:val="100"/>
                <w:position w:val="0"/>
                <w:sz w:val="22"/>
                <w:szCs w:val="22"/>
              </w:rPr>
              <w:t>M4</w:t>
            </w:r>
            <w:r>
              <w:rPr>
                <w:color w:val="000000"/>
                <w:spacing w:val="0"/>
                <w:w w:val="100"/>
                <w:position w:val="0"/>
                <w:sz w:val="20"/>
                <w:szCs w:val="20"/>
              </w:rPr>
              <w:t>内核 功能紧凑型通</w:t>
            </w:r>
          </w:p>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用</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通用</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产品，采用</w:t>
            </w:r>
            <w:r>
              <w:rPr>
                <w:rFonts w:ascii="Times New Roman" w:eastAsia="Times New Roman" w:hAnsi="Times New Roman" w:cs="Times New Roman"/>
                <w:color w:val="000000"/>
                <w:spacing w:val="0"/>
                <w:w w:val="100"/>
                <w:position w:val="0"/>
                <w:sz w:val="22"/>
                <w:szCs w:val="22"/>
              </w:rPr>
              <w:t>32bit ARM Cortex M4</w:t>
            </w:r>
            <w:r>
              <w:rPr>
                <w:color w:val="000000"/>
                <w:spacing w:val="0"/>
                <w:w w:val="100"/>
                <w:position w:val="0"/>
                <w:sz w:val="20"/>
                <w:szCs w:val="20"/>
              </w:rPr>
              <w:t>内核，主力面向物联网、 能源管理、电机控制等工业、消费 应用场景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功能紧凑型</w:t>
            </w:r>
            <w:r>
              <w:rPr>
                <w:rFonts w:ascii="Times New Roman" w:eastAsia="Times New Roman" w:hAnsi="Times New Roman" w:cs="Times New Roman"/>
                <w:color w:val="000000"/>
                <w:spacing w:val="0"/>
                <w:w w:val="100"/>
                <w:position w:val="0"/>
                <w:sz w:val="22"/>
                <w:szCs w:val="22"/>
              </w:rPr>
              <w:t>M4 MCU</w:t>
            </w:r>
            <w:r>
              <w:rPr>
                <w:color w:val="000000"/>
                <w:spacing w:val="0"/>
                <w:w w:val="100"/>
                <w:position w:val="0"/>
                <w:sz w:val="20"/>
                <w:szCs w:val="20"/>
              </w:rPr>
              <w:t>产品，面向 工业控制、能源管理、消费类行业 应用覆盖度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基于</w:t>
            </w:r>
            <w:r>
              <w:rPr>
                <w:rFonts w:ascii="Times New Roman" w:eastAsia="Times New Roman" w:hAnsi="Times New Roman" w:cs="Times New Roman"/>
                <w:color w:val="000000"/>
                <w:spacing w:val="0"/>
                <w:w w:val="100"/>
                <w:position w:val="0"/>
                <w:sz w:val="22"/>
                <w:szCs w:val="22"/>
              </w:rPr>
              <w:t>M0</w:t>
            </w:r>
            <w:r>
              <w:rPr>
                <w:color w:val="000000"/>
                <w:spacing w:val="0"/>
                <w:w w:val="100"/>
                <w:position w:val="0"/>
                <w:sz w:val="20"/>
                <w:szCs w:val="20"/>
              </w:rPr>
              <w:t>内核 的普及型通用</w:t>
            </w:r>
          </w:p>
          <w:p>
            <w:pPr>
              <w:pStyle w:val="Style2"/>
              <w:keepNext w:val="0"/>
              <w:keepLines w:val="0"/>
              <w:widowControl w:val="0"/>
              <w:shd w:val="clear" w:color="auto" w:fill="auto"/>
              <w:bidi w:val="0"/>
              <w:spacing w:before="0" w:after="0" w:line="326"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通用</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产品，采用</w:t>
            </w:r>
            <w:r>
              <w:rPr>
                <w:rFonts w:ascii="Times New Roman" w:eastAsia="Times New Roman" w:hAnsi="Times New Roman" w:cs="Times New Roman"/>
                <w:color w:val="000000"/>
                <w:spacing w:val="0"/>
                <w:w w:val="100"/>
                <w:position w:val="0"/>
                <w:sz w:val="22"/>
                <w:szCs w:val="22"/>
              </w:rPr>
              <w:t>32bit ARM Cortex-M0</w:t>
            </w:r>
            <w:r>
              <w:rPr>
                <w:color w:val="000000"/>
                <w:spacing w:val="0"/>
                <w:w w:val="100"/>
                <w:position w:val="0"/>
                <w:sz w:val="20"/>
                <w:szCs w:val="20"/>
              </w:rPr>
              <w:t>内核，可覆盖基于</w:t>
            </w:r>
            <w:r>
              <w:rPr>
                <w:rFonts w:ascii="Times New Roman" w:eastAsia="Times New Roman" w:hAnsi="Times New Roman" w:cs="Times New Roman"/>
                <w:color w:val="000000"/>
                <w:spacing w:val="0"/>
                <w:w w:val="100"/>
                <w:position w:val="0"/>
                <w:sz w:val="22"/>
                <w:szCs w:val="22"/>
              </w:rPr>
              <w:t>32bit M0</w:t>
            </w:r>
            <w:r>
              <w:rPr>
                <w:color w:val="000000"/>
                <w:spacing w:val="0"/>
                <w:w w:val="100"/>
                <w:position w:val="0"/>
                <w:sz w:val="20"/>
                <w:szCs w:val="20"/>
              </w:rPr>
              <w:t>内核简配、部分</w:t>
            </w:r>
            <w:r>
              <w:rPr>
                <w:rFonts w:ascii="Times New Roman" w:eastAsia="Times New Roman" w:hAnsi="Times New Roman" w:cs="Times New Roman"/>
                <w:color w:val="000000"/>
                <w:spacing w:val="0"/>
                <w:w w:val="100"/>
                <w:position w:val="0"/>
                <w:sz w:val="22"/>
                <w:szCs w:val="22"/>
              </w:rPr>
              <w:t>8bit</w:t>
            </w:r>
            <w:r>
              <w:rPr>
                <w:color w:val="000000"/>
                <w:spacing w:val="0"/>
                <w:w w:val="100"/>
                <w:position w:val="0"/>
                <w:sz w:val="20"/>
                <w:szCs w:val="20"/>
              </w:rPr>
              <w:t>内核的应 用市场，应用于消费类、家电、简 单电机控制、物联网、工业等市场 领域。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普及型</w:t>
            </w:r>
            <w:r>
              <w:rPr>
                <w:rFonts w:ascii="Times New Roman" w:eastAsia="Times New Roman" w:hAnsi="Times New Roman" w:cs="Times New Roman"/>
                <w:color w:val="000000"/>
                <w:spacing w:val="0"/>
                <w:w w:val="100"/>
                <w:position w:val="0"/>
                <w:sz w:val="22"/>
                <w:szCs w:val="22"/>
              </w:rPr>
              <w:t>M0</w:t>
            </w:r>
            <w:r>
              <w:rPr>
                <w:color w:val="000000"/>
                <w:spacing w:val="0"/>
                <w:w w:val="100"/>
                <w:position w:val="0"/>
                <w:sz w:val="20"/>
                <w:szCs w:val="20"/>
              </w:rPr>
              <w:t>内核</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产品，满足 更大量市场市场应用。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基于</w:t>
            </w:r>
            <w:r>
              <w:rPr>
                <w:rFonts w:ascii="Times New Roman" w:eastAsia="Times New Roman" w:hAnsi="Times New Roman" w:cs="Times New Roman"/>
                <w:color w:val="000000"/>
                <w:spacing w:val="0"/>
                <w:w w:val="100"/>
                <w:position w:val="0"/>
                <w:sz w:val="22"/>
                <w:szCs w:val="22"/>
              </w:rPr>
              <w:t>M7</w:t>
            </w:r>
            <w:r>
              <w:rPr>
                <w:color w:val="000000"/>
                <w:spacing w:val="0"/>
                <w:w w:val="100"/>
                <w:position w:val="0"/>
                <w:sz w:val="20"/>
                <w:szCs w:val="20"/>
              </w:rPr>
              <w:t>内核 超高性能通用</w:t>
            </w:r>
          </w:p>
          <w:p>
            <w:pPr>
              <w:pStyle w:val="Style2"/>
              <w:keepNext w:val="0"/>
              <w:keepLines w:val="0"/>
              <w:widowControl w:val="0"/>
              <w:shd w:val="clear" w:color="auto" w:fill="auto"/>
              <w:bidi w:val="0"/>
              <w:spacing w:before="0" w:after="0" w:line="326"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设计阶段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超高性能通用</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，采用</w:t>
            </w:r>
            <w:r>
              <w:rPr>
                <w:rFonts w:ascii="Times New Roman" w:eastAsia="Times New Roman" w:hAnsi="Times New Roman" w:cs="Times New Roman"/>
                <w:color w:val="000000"/>
                <w:spacing w:val="0"/>
                <w:w w:val="100"/>
                <w:position w:val="0"/>
                <w:sz w:val="22"/>
                <w:szCs w:val="22"/>
              </w:rPr>
              <w:t>32bit</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ARM Cortex-M7</w:t>
            </w:r>
            <w:r>
              <w:rPr>
                <w:color w:val="000000"/>
                <w:spacing w:val="0"/>
                <w:w w:val="100"/>
                <w:position w:val="0"/>
                <w:sz w:val="20"/>
                <w:szCs w:val="20"/>
              </w:rPr>
              <w:t>内核，主要面向工 业、消费、人机交互、伺服、数字 电源等应用场景。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公司平台化、系列化</w:t>
            </w:r>
            <w:r>
              <w:rPr>
                <w:rFonts w:ascii="Times New Roman" w:eastAsia="Times New Roman" w:hAnsi="Times New Roman" w:cs="Times New Roman"/>
                <w:color w:val="000000"/>
                <w:spacing w:val="0"/>
                <w:w w:val="100"/>
                <w:position w:val="0"/>
                <w:sz w:val="22"/>
                <w:szCs w:val="22"/>
              </w:rPr>
              <w:t>M7</w:t>
            </w:r>
            <w:r>
              <w:rPr>
                <w:color w:val="000000"/>
                <w:spacing w:val="0"/>
                <w:w w:val="100"/>
                <w:position w:val="0"/>
                <w:sz w:val="20"/>
                <w:szCs w:val="20"/>
              </w:rPr>
              <w:t>内核产 品，支撑对处理能力要求很高的场 景应用。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基于</w:t>
            </w:r>
            <w:r>
              <w:rPr>
                <w:rFonts w:ascii="Times New Roman" w:eastAsia="Times New Roman" w:hAnsi="Times New Roman" w:cs="Times New Roman"/>
                <w:color w:val="000000"/>
                <w:spacing w:val="0"/>
                <w:w w:val="100"/>
                <w:position w:val="0"/>
                <w:sz w:val="22"/>
                <w:szCs w:val="22"/>
              </w:rPr>
              <w:t>M4</w:t>
            </w:r>
            <w:r>
              <w:rPr>
                <w:color w:val="000000"/>
                <w:spacing w:val="0"/>
                <w:w w:val="100"/>
                <w:position w:val="0"/>
                <w:sz w:val="20"/>
                <w:szCs w:val="20"/>
              </w:rPr>
              <w:t>内核 高性能车规</w:t>
            </w:r>
          </w:p>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流片阶段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车规级</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 xml:space="preserve">产品，采用 </w:t>
            </w:r>
            <w:r>
              <w:rPr>
                <w:rFonts w:ascii="Times New Roman" w:eastAsia="Times New Roman" w:hAnsi="Times New Roman" w:cs="Times New Roman"/>
                <w:color w:val="000000"/>
                <w:spacing w:val="0"/>
                <w:w w:val="100"/>
                <w:position w:val="0"/>
                <w:sz w:val="22"/>
                <w:szCs w:val="22"/>
              </w:rPr>
              <w:t xml:space="preserve">32bit ARM Cortex-M4 </w:t>
            </w:r>
            <w:r>
              <w:rPr>
                <w:color w:val="000000"/>
                <w:spacing w:val="0"/>
                <w:w w:val="100"/>
                <w:position w:val="0"/>
                <w:sz w:val="20"/>
                <w:szCs w:val="20"/>
              </w:rPr>
              <w:t>内核，覆盖 汽车电子</w:t>
            </w:r>
            <w:r>
              <w:rPr>
                <w:rFonts w:ascii="Times New Roman" w:eastAsia="Times New Roman" w:hAnsi="Times New Roman" w:cs="Times New Roman"/>
                <w:color w:val="000000"/>
                <w:spacing w:val="0"/>
                <w:w w:val="100"/>
                <w:position w:val="0"/>
                <w:sz w:val="22"/>
                <w:szCs w:val="22"/>
              </w:rPr>
              <w:t>BMS</w:t>
            </w:r>
            <w:r>
              <w:rPr>
                <w:color w:val="000000"/>
                <w:spacing w:val="0"/>
                <w:w w:val="100"/>
                <w:position w:val="0"/>
                <w:sz w:val="20"/>
                <w:szCs w:val="20"/>
              </w:rPr>
              <w:t>、</w:t>
            </w:r>
            <w:r>
              <w:rPr>
                <w:color w:val="000000"/>
                <w:spacing w:val="0"/>
                <w:w w:val="100"/>
                <w:position w:val="0"/>
                <w:sz w:val="20"/>
                <w:szCs w:val="20"/>
              </w:rPr>
              <w:t>车身控制、</w:t>
            </w:r>
            <w:r>
              <w:rPr>
                <w:rFonts w:ascii="Times New Roman" w:eastAsia="Times New Roman" w:hAnsi="Times New Roman" w:cs="Times New Roman"/>
                <w:color w:val="000000"/>
                <w:spacing w:val="0"/>
                <w:w w:val="100"/>
                <w:position w:val="0"/>
                <w:sz w:val="22"/>
                <w:szCs w:val="22"/>
              </w:rPr>
              <w:t>T-Box</w:t>
            </w:r>
            <w:r>
              <w:rPr>
                <w:color w:val="000000"/>
                <w:spacing w:val="0"/>
                <w:w w:val="100"/>
                <w:position w:val="0"/>
                <w:sz w:val="20"/>
                <w:szCs w:val="20"/>
              </w:rPr>
              <w:t xml:space="preserve">、 </w:t>
            </w:r>
            <w:r>
              <w:rPr>
                <w:color w:val="000000"/>
                <w:spacing w:val="0"/>
                <w:w w:val="100"/>
                <w:position w:val="0"/>
                <w:sz w:val="20"/>
                <w:szCs w:val="20"/>
              </w:rPr>
              <w:t>仪表、座舱、娱乐系统等应用场景。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88" w:lineRule="exact"/>
              <w:ind w:left="0" w:right="0" w:firstLine="0"/>
              <w:jc w:val="both"/>
              <w:rPr>
                <w:sz w:val="20"/>
                <w:szCs w:val="20"/>
              </w:rPr>
            </w:pPr>
            <w:r>
              <w:rPr>
                <w:color w:val="000000"/>
                <w:spacing w:val="0"/>
                <w:w w:val="100"/>
                <w:position w:val="0"/>
                <w:sz w:val="20"/>
                <w:szCs w:val="20"/>
              </w:rPr>
              <w:t>高性能车规级</w:t>
            </w:r>
            <w:r>
              <w:rPr>
                <w:rFonts w:ascii="Times New Roman" w:eastAsia="Times New Roman" w:hAnsi="Times New Roman" w:cs="Times New Roman"/>
                <w:color w:val="000000"/>
                <w:spacing w:val="0"/>
                <w:w w:val="100"/>
                <w:position w:val="0"/>
                <w:sz w:val="22"/>
                <w:szCs w:val="22"/>
              </w:rPr>
              <w:t>M4 MCU</w:t>
            </w:r>
            <w:r>
              <w:rPr>
                <w:color w:val="000000"/>
                <w:spacing w:val="0"/>
                <w:w w:val="100"/>
                <w:position w:val="0"/>
                <w:sz w:val="20"/>
                <w:szCs w:val="20"/>
              </w:rPr>
              <w:t>产品，满 足汽车电子领域高可靠性应用场</w:t>
            </w:r>
          </w:p>
          <w:p>
            <w:pPr>
              <w:pStyle w:val="Style2"/>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景。</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32</w:t>
            </w:r>
            <w:r>
              <w:rPr>
                <w:color w:val="000000"/>
                <w:spacing w:val="0"/>
                <w:w w:val="100"/>
                <w:position w:val="0"/>
                <w:sz w:val="20"/>
                <w:szCs w:val="20"/>
              </w:rPr>
              <w:t>位高安全物 联安全认证芯 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验证阶段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面向</w:t>
            </w:r>
            <w:r>
              <w:rPr>
                <w:rFonts w:ascii="Times New Roman" w:eastAsia="Times New Roman" w:hAnsi="Times New Roman" w:cs="Times New Roman"/>
                <w:color w:val="000000"/>
                <w:spacing w:val="0"/>
                <w:w w:val="100"/>
                <w:position w:val="0"/>
                <w:sz w:val="22"/>
                <w:szCs w:val="22"/>
              </w:rPr>
              <w:t>IoT</w:t>
            </w:r>
            <w:r>
              <w:rPr>
                <w:color w:val="000000"/>
                <w:spacing w:val="0"/>
                <w:w w:val="100"/>
                <w:position w:val="0"/>
                <w:sz w:val="20"/>
                <w:szCs w:val="20"/>
              </w:rPr>
              <w:t>安全等新兴安全应用市 场，拓展在物联网安全、智能家居、 安防监控、安全网关、工业互联等 安全应用场景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满足在</w:t>
            </w:r>
            <w:r>
              <w:rPr>
                <w:rFonts w:ascii="Times New Roman" w:eastAsia="Times New Roman" w:hAnsi="Times New Roman" w:cs="Times New Roman"/>
                <w:color w:val="000000"/>
                <w:spacing w:val="0"/>
                <w:w w:val="100"/>
                <w:position w:val="0"/>
                <w:sz w:val="22"/>
                <w:szCs w:val="22"/>
              </w:rPr>
              <w:t>IoT</w:t>
            </w:r>
            <w:r>
              <w:rPr>
                <w:color w:val="000000"/>
                <w:spacing w:val="0"/>
                <w:w w:val="100"/>
                <w:position w:val="0"/>
                <w:sz w:val="20"/>
                <w:szCs w:val="20"/>
              </w:rPr>
              <w:t>物联安全等新兴安全 应用，增强安全产品市场应用覆 盖，综合提升安全产品市场覆盖与 竞争力。</w:t>
            </w:r>
          </w:p>
        </w:tc>
      </w:tr>
    </w:tbl>
    <w:p>
      <w:pPr>
        <w:spacing w:lineRule="exact" w:line="1"/>
        <w:rPr>
          <w:sz w:val="2"/>
          <w:szCs w:val="2"/>
        </w:rPr>
      </w:pPr>
      <w:r>
        <w:br w:type="page"/>
      </w:r>
    </w:p>
    <w:tbl>
      <w:tblPr>
        <w:tblOverlap w:val="never"/>
        <w:jc w:val="center"/>
        <w:tblLayout w:type="fixed"/>
      </w:tblPr>
      <w:tblGrid>
        <w:gridCol w:w="998"/>
        <w:gridCol w:w="1488"/>
        <w:gridCol w:w="960"/>
        <w:gridCol w:w="3374"/>
        <w:gridCol w:w="326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主要研发 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预计对公司未来发展的影响</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32</w:t>
            </w:r>
            <w:r>
              <w:rPr>
                <w:color w:val="000000"/>
                <w:spacing w:val="0"/>
                <w:w w:val="100"/>
                <w:position w:val="0"/>
                <w:sz w:val="20"/>
                <w:szCs w:val="20"/>
              </w:rPr>
              <w:t>位高性能高 安全低功耗金 融安全芯片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32</w:t>
            </w:r>
            <w:r>
              <w:rPr>
                <w:color w:val="000000"/>
                <w:spacing w:val="0"/>
                <w:w w:val="100"/>
                <w:position w:val="0"/>
                <w:sz w:val="20"/>
                <w:szCs w:val="20"/>
              </w:rPr>
              <w:t>位高安全金融安全芯片，可满足 金融安全认证、税控、数字货币、 智能家居安全、生物识别等多种安 全应用需求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对金融安全产品系列升级，增强金 融安全认证、身份认证应用等传统 金融应用领域竞争力，拓展税控、 数字货币以及物联安全高端应用 需求。</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微认证安全芯 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面向微认证领域应用市场，拓展公 司安全应用市场覆盖面。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满足在防伪认证等通用逻辑安全 市场应用，与传统金融安全应用形 成合力，形成高中低全面的安全应 用解决方案，进一步增强公司安全 应用市场的综合竞争力。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满足国际安全</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认证的可信计</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算安全芯片产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通过国际化安全认证，支撑产品全 球化销售资质。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将公司可信计算产品拓展到国际 化市场，同时巩固我司在国内领先 的市场地位。</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307" w:lineRule="exact"/>
              <w:ind w:left="0" w:right="0" w:firstLine="0"/>
              <w:jc w:val="both"/>
              <w:rPr>
                <w:sz w:val="20"/>
                <w:szCs w:val="20"/>
              </w:rPr>
            </w:pPr>
            <w:r>
              <w:rPr>
                <w:color w:val="000000"/>
                <w:spacing w:val="0"/>
                <w:w w:val="100"/>
                <w:position w:val="0"/>
                <w:sz w:val="20"/>
                <w:szCs w:val="20"/>
              </w:rPr>
              <w:t>新一代高性能、 超低功耗蓝牙</w:t>
            </w:r>
          </w:p>
          <w:p>
            <w:pPr>
              <w:pStyle w:val="Style2"/>
              <w:keepNext w:val="0"/>
              <w:keepLines w:val="0"/>
              <w:widowControl w:val="0"/>
              <w:shd w:val="clear" w:color="auto" w:fill="auto"/>
              <w:bidi w:val="0"/>
              <w:spacing w:before="0" w:after="0" w:line="293"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SoC</w:t>
            </w:r>
            <w:r>
              <w:rPr>
                <w:color w:val="000000"/>
                <w:spacing w:val="0"/>
                <w:w w:val="100"/>
                <w:position w:val="0"/>
                <w:sz w:val="20"/>
                <w:szCs w:val="20"/>
              </w:rPr>
              <w:t>芯片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市场推广 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增强公司在无线射频低功耗领域优 势，符合低功耗蓝牙</w:t>
            </w:r>
            <w:r>
              <w:rPr>
                <w:rFonts w:ascii="Times New Roman" w:eastAsia="Times New Roman" w:hAnsi="Times New Roman" w:cs="Times New Roman"/>
                <w:color w:val="000000"/>
                <w:spacing w:val="0"/>
                <w:w w:val="100"/>
                <w:position w:val="0"/>
                <w:sz w:val="22"/>
                <w:szCs w:val="22"/>
              </w:rPr>
              <w:t>5.1</w:t>
            </w:r>
            <w:r>
              <w:rPr>
                <w:color w:val="000000"/>
                <w:spacing w:val="0"/>
                <w:w w:val="100"/>
                <w:position w:val="0"/>
                <w:sz w:val="20"/>
                <w:szCs w:val="20"/>
              </w:rPr>
              <w:t>标准，扩 充蓝牙低功耗产品市场应用领域。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满足在</w:t>
            </w:r>
            <w:r>
              <w:rPr>
                <w:rFonts w:ascii="Times New Roman" w:eastAsia="Times New Roman" w:hAnsi="Times New Roman" w:cs="Times New Roman"/>
                <w:color w:val="000000"/>
                <w:spacing w:val="0"/>
                <w:w w:val="100"/>
                <w:position w:val="0"/>
                <w:sz w:val="22"/>
                <w:szCs w:val="22"/>
              </w:rPr>
              <w:t>IoT</w:t>
            </w:r>
            <w:r>
              <w:rPr>
                <w:color w:val="000000"/>
                <w:spacing w:val="0"/>
                <w:w w:val="100"/>
                <w:position w:val="0"/>
                <w:sz w:val="20"/>
                <w:szCs w:val="20"/>
              </w:rPr>
              <w:t>市场、金融市场、消费 市场、工业等目标市场的应用。</w:t>
            </w:r>
          </w:p>
        </w:tc>
      </w:tr>
    </w:tbl>
    <w:p>
      <w:pPr>
        <w:widowControl w:val="0"/>
        <w:spacing w:after="119" w:line="1" w:lineRule="exact"/>
      </w:pP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公司研发人员情况</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19.35%</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0"/>
                <w:szCs w:val="2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29.91%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 xml:space="preserve">30 ~40 </w:t>
            </w:r>
            <w:r>
              <w:rPr>
                <w:color w:val="000000"/>
                <w:spacing w:val="0"/>
                <w:w w:val="100"/>
                <w:position w:val="0"/>
                <w:sz w:val="20"/>
                <w:szCs w:val="2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15.87%</w:t>
            </w:r>
          </w:p>
        </w:tc>
      </w:tr>
    </w:tbl>
    <w:p>
      <w:pPr>
        <w:widowControl w:val="0"/>
        <w:spacing w:after="119" w:line="1" w:lineRule="exact"/>
      </w:pP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近三年公司研发投入金额及占营业收入的比例</w:t>
      </w:r>
    </w:p>
    <w:tbl>
      <w:tblPr>
        <w:tblOverlap w:val="never"/>
        <w:jc w:val="center"/>
        <w:tblLayout w:type="fixed"/>
      </w:tblPr>
      <w:tblGrid>
        <w:gridCol w:w="2400"/>
        <w:gridCol w:w="2390"/>
        <w:gridCol w:w="2395"/>
        <w:gridCol w:w="2400"/>
      </w:tblGrid>
      <w:tr>
        <w:trPr>
          <w:trHeight w:val="52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年</w:t>
            </w:r>
          </w:p>
        </w:tc>
      </w:tr>
      <w:tr>
        <w:trPr>
          <w:trHeight w:val="5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284,133,127.91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180,300,543.44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158,131,196.53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研发投入占营业收入比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研发支出资本化的金额</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56,879,690.04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47,795,673.54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26,403,014.80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资本化研发支出占研发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16.70%</w:t>
            </w:r>
          </w:p>
        </w:tc>
      </w:tr>
    </w:tbl>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投入的比例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资本化研发支出占当期 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61.53%</w:t>
            </w:r>
          </w:p>
        </w:tc>
      </w:tr>
    </w:tbl>
    <w:p>
      <w:pPr>
        <w:widowControl w:val="0"/>
        <w:spacing w:after="15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公司研发人员构成发生重大变化的原因及影响</w:t>
      </w:r>
    </w:p>
    <w:p>
      <w:pPr>
        <w:pStyle w:val="Style1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0" w:line="478" w:lineRule="exact"/>
        <w:ind w:left="0" w:right="0" w:firstLine="0"/>
        <w:jc w:val="left"/>
      </w:pPr>
      <w:r>
        <w:rPr>
          <w:color w:val="000000"/>
          <w:spacing w:val="0"/>
          <w:w w:val="100"/>
          <w:position w:val="0"/>
        </w:rPr>
        <w:t>研发投入总额占营业收入的比重较上年发生显著变化的原因</w:t>
      </w:r>
    </w:p>
    <w:p>
      <w:pPr>
        <w:pStyle w:val="Style13"/>
        <w:keepNext w:val="0"/>
        <w:keepLines w:val="0"/>
        <w:widowControl w:val="0"/>
        <w:shd w:val="clear" w:color="auto" w:fill="auto"/>
        <w:bidi w:val="0"/>
        <w:spacing w:before="0" w:after="0" w:line="4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100" w:line="478"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年，公司营业收入实现较大规模增长，同比增长</w:t>
      </w:r>
      <w:r>
        <w:rPr>
          <w:rFonts w:ascii="Times New Roman" w:eastAsia="Times New Roman" w:hAnsi="Times New Roman" w:cs="Times New Roman"/>
          <w:color w:val="000000"/>
          <w:spacing w:val="0"/>
          <w:w w:val="100"/>
          <w:position w:val="0"/>
        </w:rPr>
        <w:t>168%</w:t>
      </w:r>
      <w:r>
        <w:rPr>
          <w:color w:val="000000"/>
          <w:spacing w:val="0"/>
          <w:w w:val="100"/>
          <w:position w:val="0"/>
        </w:rPr>
        <w:t>；公司研发投入同比增长</w:t>
      </w:r>
      <w:r>
        <w:rPr>
          <w:rFonts w:ascii="Times New Roman" w:eastAsia="Times New Roman" w:hAnsi="Times New Roman" w:cs="Times New Roman"/>
          <w:color w:val="000000"/>
          <w:spacing w:val="0"/>
          <w:w w:val="100"/>
          <w:position w:val="0"/>
        </w:rPr>
        <w:t>57.59%</w:t>
      </w:r>
      <w:r>
        <w:rPr>
          <w:color w:val="000000"/>
          <w:spacing w:val="0"/>
          <w:w w:val="100"/>
          <w:position w:val="0"/>
        </w:rPr>
        <w:t>。 研发投入增长率低于营业收入增长率导致公司研发投入总额占营业收入的比重较上年发生较大 变化。</w:t>
      </w:r>
    </w:p>
    <w:p>
      <w:pPr>
        <w:pStyle w:val="Style13"/>
        <w:keepNext w:val="0"/>
        <w:keepLines w:val="0"/>
        <w:widowControl w:val="0"/>
        <w:shd w:val="clear" w:color="auto" w:fill="auto"/>
        <w:bidi w:val="0"/>
        <w:spacing w:before="0" w:after="240" w:line="478" w:lineRule="exact"/>
        <w:ind w:left="0" w:right="0" w:firstLine="0"/>
        <w:jc w:val="left"/>
      </w:pPr>
      <w:r>
        <w:rPr>
          <w:color w:val="000000"/>
          <w:spacing w:val="0"/>
          <w:w w:val="100"/>
          <w:position w:val="0"/>
        </w:rPr>
        <w:t>研发投入资本化率大幅变动的原因及其合理性说明</w:t>
      </w:r>
    </w:p>
    <w:p>
      <w:pPr>
        <w:pStyle w:val="Style13"/>
        <w:keepNext w:val="0"/>
        <w:keepLines w:val="0"/>
        <w:widowControl w:val="0"/>
        <w:shd w:val="clear" w:color="auto" w:fill="auto"/>
        <w:bidi w:val="0"/>
        <w:spacing w:before="0" w:after="0" w:line="45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0" w:line="46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号——创业板行业信息披露》中的“集 成电路业务”的披露要求：</w:t>
      </w:r>
    </w:p>
    <w:p>
      <w:pPr>
        <w:pStyle w:val="Style13"/>
        <w:keepNext w:val="0"/>
        <w:keepLines w:val="0"/>
        <w:widowControl w:val="0"/>
        <w:shd w:val="clear" w:color="auto" w:fill="auto"/>
        <w:tabs>
          <w:tab w:pos="1067" w:val="left"/>
        </w:tabs>
        <w:bidi w:val="0"/>
        <w:spacing w:before="0" w:after="0" w:line="478" w:lineRule="exact"/>
        <w:ind w:left="0" w:right="0" w:firstLine="440"/>
        <w:jc w:val="both"/>
      </w:pPr>
      <w:bookmarkStart w:id="198" w:name="bookmark198"/>
      <w:r>
        <w:rPr>
          <w:color w:val="000000"/>
          <w:spacing w:val="0"/>
          <w:w w:val="100"/>
          <w:position w:val="0"/>
        </w:rPr>
        <w:t>（</w:t>
      </w:r>
      <w:bookmarkEnd w:id="198"/>
      <w:r>
        <w:rPr>
          <w:color w:val="000000"/>
          <w:spacing w:val="0"/>
          <w:w w:val="100"/>
          <w:position w:val="0"/>
        </w:rPr>
        <w:t>一）</w:t>
        <w:tab/>
        <w:t>拥有的国内外专利、国内外专利授权情况</w:t>
      </w:r>
    </w:p>
    <w:p>
      <w:pPr>
        <w:pStyle w:val="Style13"/>
        <w:keepNext w:val="0"/>
        <w:keepLines w:val="0"/>
        <w:widowControl w:val="0"/>
        <w:shd w:val="clear" w:color="auto" w:fill="auto"/>
        <w:bidi w:val="0"/>
        <w:spacing w:before="0" w:after="0" w:line="466" w:lineRule="exact"/>
        <w:ind w:left="0" w:right="0" w:firstLine="460"/>
        <w:jc w:val="left"/>
      </w:pPr>
      <w:r>
        <w:rPr>
          <w:color w:val="000000"/>
          <w:spacing w:val="0"/>
          <w:w w:val="100"/>
          <w:position w:val="0"/>
        </w:rPr>
        <w:t>经过多年的持续研发和技术积累，公司在</w:t>
      </w:r>
      <w:r>
        <w:rPr>
          <w:rFonts w:ascii="Times New Roman" w:eastAsia="Times New Roman" w:hAnsi="Times New Roman" w:cs="Times New Roman"/>
          <w:color w:val="000000"/>
          <w:spacing w:val="0"/>
          <w:w w:val="100"/>
          <w:position w:val="0"/>
        </w:rPr>
        <w:t>SoC</w:t>
      </w:r>
      <w:r>
        <w:rPr>
          <w:color w:val="000000"/>
          <w:spacing w:val="0"/>
          <w:w w:val="100"/>
          <w:position w:val="0"/>
        </w:rPr>
        <w:t>芯片设计、安全、射频、低功耗等多方面均积 累了自主研发的核心技术，并拥有多项知识产权。截至</w:t>
      </w:r>
      <w:r>
        <w:rPr>
          <w:rFonts w:ascii="Times New Roman" w:eastAsia="Times New Roman" w:hAnsi="Times New Roman" w:cs="Times New Roman"/>
          <w:color w:val="000000"/>
          <w:spacing w:val="0"/>
          <w:w w:val="100"/>
          <w:position w:val="0"/>
        </w:rPr>
        <w:t>2021</w:t>
      </w:r>
      <w:r>
        <w:rPr>
          <w:color w:val="000000"/>
          <w:spacing w:val="0"/>
          <w:w w:val="100"/>
          <w:position w:val="0"/>
        </w:rPr>
        <w:t>年底，公司知识产权（含专利、商标、 软件著作权、集成电路布图等）累计申请量达</w:t>
      </w:r>
      <w:r>
        <w:rPr>
          <w:rFonts w:ascii="Times New Roman" w:eastAsia="Times New Roman" w:hAnsi="Times New Roman" w:cs="Times New Roman"/>
          <w:color w:val="000000"/>
          <w:spacing w:val="0"/>
          <w:w w:val="100"/>
          <w:position w:val="0"/>
        </w:rPr>
        <w:t>2,443</w:t>
      </w:r>
      <w:r>
        <w:rPr>
          <w:color w:val="000000"/>
          <w:spacing w:val="0"/>
          <w:w w:val="100"/>
          <w:position w:val="0"/>
        </w:rPr>
        <w:t>项，授权量为</w:t>
      </w:r>
      <w:r>
        <w:rPr>
          <w:rFonts w:ascii="Times New Roman" w:eastAsia="Times New Roman" w:hAnsi="Times New Roman" w:cs="Times New Roman"/>
          <w:color w:val="000000"/>
          <w:spacing w:val="0"/>
          <w:w w:val="100"/>
          <w:position w:val="0"/>
        </w:rPr>
        <w:t>1,419</w:t>
      </w:r>
      <w:r>
        <w:rPr>
          <w:color w:val="000000"/>
          <w:spacing w:val="0"/>
          <w:w w:val="100"/>
          <w:position w:val="0"/>
        </w:rPr>
        <w:t>项，其中国内外专利申请 总量达</w:t>
      </w:r>
      <w:r>
        <w:rPr>
          <w:rFonts w:ascii="Times New Roman" w:eastAsia="Times New Roman" w:hAnsi="Times New Roman" w:cs="Times New Roman"/>
          <w:color w:val="000000"/>
          <w:spacing w:val="0"/>
          <w:w w:val="100"/>
          <w:position w:val="0"/>
        </w:rPr>
        <w:t>1,497</w:t>
      </w:r>
      <w:r>
        <w:rPr>
          <w:color w:val="000000"/>
          <w:spacing w:val="0"/>
          <w:w w:val="100"/>
          <w:position w:val="0"/>
        </w:rPr>
        <w:t>项，取得国内外授权专利</w:t>
      </w:r>
      <w:r>
        <w:rPr>
          <w:rFonts w:ascii="Times New Roman" w:eastAsia="Times New Roman" w:hAnsi="Times New Roman" w:cs="Times New Roman"/>
          <w:color w:val="000000"/>
          <w:spacing w:val="0"/>
          <w:w w:val="100"/>
          <w:position w:val="0"/>
        </w:rPr>
        <w:t>913</w:t>
      </w:r>
      <w:r>
        <w:rPr>
          <w:color w:val="000000"/>
          <w:spacing w:val="0"/>
          <w:w w:val="100"/>
          <w:position w:val="0"/>
        </w:rPr>
        <w:t>项，集成电路布图设计登记</w:t>
      </w:r>
      <w:r>
        <w:rPr>
          <w:rFonts w:ascii="Times New Roman" w:eastAsia="Times New Roman" w:hAnsi="Times New Roman" w:cs="Times New Roman"/>
          <w:color w:val="000000"/>
          <w:spacing w:val="0"/>
          <w:w w:val="100"/>
          <w:position w:val="0"/>
        </w:rPr>
        <w:t>46</w:t>
      </w:r>
      <w:r>
        <w:rPr>
          <w:color w:val="000000"/>
          <w:spacing w:val="0"/>
          <w:w w:val="100"/>
          <w:position w:val="0"/>
        </w:rPr>
        <w:t>项，软件著作权</w:t>
      </w:r>
      <w:r>
        <w:rPr>
          <w:rFonts w:ascii="Times New Roman" w:eastAsia="Times New Roman" w:hAnsi="Times New Roman" w:cs="Times New Roman"/>
          <w:color w:val="000000"/>
          <w:spacing w:val="0"/>
          <w:w w:val="100"/>
          <w:position w:val="0"/>
        </w:rPr>
        <w:t>82</w:t>
      </w:r>
      <w:r>
        <w:rPr>
          <w:color w:val="000000"/>
          <w:spacing w:val="0"/>
          <w:w w:val="100"/>
          <w:position w:val="0"/>
        </w:rPr>
        <w:t>项。</w:t>
      </w:r>
    </w:p>
    <w:p>
      <w:pPr>
        <w:pStyle w:val="Style13"/>
        <w:keepNext w:val="0"/>
        <w:keepLines w:val="0"/>
        <w:widowControl w:val="0"/>
        <w:shd w:val="clear" w:color="auto" w:fill="auto"/>
        <w:tabs>
          <w:tab w:pos="1087" w:val="left"/>
        </w:tabs>
        <w:bidi w:val="0"/>
        <w:spacing w:before="0" w:after="0" w:line="485" w:lineRule="exact"/>
        <w:ind w:left="0" w:right="0" w:firstLine="460"/>
        <w:jc w:val="both"/>
      </w:pPr>
      <w:bookmarkStart w:id="199" w:name="bookmark199"/>
      <w:r>
        <w:rPr>
          <w:color w:val="000000"/>
          <w:spacing w:val="0"/>
          <w:w w:val="100"/>
          <w:position w:val="0"/>
        </w:rPr>
        <w:t>（</w:t>
      </w:r>
      <w:bookmarkEnd w:id="199"/>
      <w:r>
        <w:rPr>
          <w:color w:val="000000"/>
          <w:spacing w:val="0"/>
          <w:w w:val="100"/>
          <w:position w:val="0"/>
        </w:rPr>
        <w:t>二）</w:t>
        <w:tab/>
        <w:t>研发投入金额及研发投向</w:t>
      </w:r>
    </w:p>
    <w:p>
      <w:pPr>
        <w:pStyle w:val="Style13"/>
        <w:keepNext w:val="0"/>
        <w:keepLines w:val="0"/>
        <w:widowControl w:val="0"/>
        <w:shd w:val="clear" w:color="auto" w:fill="auto"/>
        <w:bidi w:val="0"/>
        <w:spacing w:before="0" w:after="0" w:line="485" w:lineRule="exact"/>
        <w:ind w:left="0" w:right="0" w:firstLine="460"/>
        <w:jc w:val="both"/>
      </w:pPr>
      <w:r>
        <w:rPr>
          <w:color w:val="000000"/>
          <w:spacing w:val="0"/>
          <w:w w:val="100"/>
          <w:position w:val="0"/>
        </w:rPr>
        <w:t>报告期内，公司研发投入金额为</w:t>
      </w:r>
      <w:r>
        <w:rPr>
          <w:rFonts w:ascii="Times New Roman" w:eastAsia="Times New Roman" w:hAnsi="Times New Roman" w:cs="Times New Roman"/>
          <w:color w:val="000000"/>
          <w:spacing w:val="0"/>
          <w:w w:val="100"/>
          <w:position w:val="0"/>
        </w:rPr>
        <w:t>284,133,127.91</w:t>
      </w:r>
      <w:r>
        <w:rPr>
          <w:color w:val="000000"/>
          <w:spacing w:val="0"/>
          <w:w w:val="100"/>
          <w:position w:val="0"/>
        </w:rPr>
        <w:t>元。报告期内公司的研发投向主要为通用</w:t>
      </w:r>
      <w:r>
        <w:rPr>
          <w:rFonts w:ascii="Times New Roman" w:eastAsia="Times New Roman" w:hAnsi="Times New Roman" w:cs="Times New Roman"/>
          <w:color w:val="000000"/>
          <w:spacing w:val="0"/>
          <w:w w:val="100"/>
          <w:position w:val="0"/>
        </w:rPr>
        <w:t xml:space="preserve">MCU </w:t>
      </w:r>
      <w:r>
        <w:rPr>
          <w:color w:val="000000"/>
          <w:spacing w:val="0"/>
          <w:w w:val="100"/>
          <w:position w:val="0"/>
        </w:rPr>
        <w:t>芯片及下一代安全芯片。</w:t>
      </w:r>
    </w:p>
    <w:p>
      <w:pPr>
        <w:pStyle w:val="Style13"/>
        <w:keepNext w:val="0"/>
        <w:keepLines w:val="0"/>
        <w:widowControl w:val="0"/>
        <w:shd w:val="clear" w:color="auto" w:fill="auto"/>
        <w:tabs>
          <w:tab w:pos="1087" w:val="left"/>
        </w:tabs>
        <w:bidi w:val="0"/>
        <w:spacing w:before="0" w:after="0" w:line="478" w:lineRule="exact"/>
        <w:ind w:left="0" w:right="0" w:firstLine="460"/>
        <w:jc w:val="both"/>
      </w:pPr>
      <w:bookmarkStart w:id="200" w:name="bookmark200"/>
      <w:r>
        <w:rPr>
          <w:color w:val="000000"/>
          <w:spacing w:val="0"/>
          <w:w w:val="100"/>
          <w:position w:val="0"/>
        </w:rPr>
        <w:t>（</w:t>
      </w:r>
      <w:bookmarkEnd w:id="200"/>
      <w:r>
        <w:rPr>
          <w:color w:val="000000"/>
          <w:spacing w:val="0"/>
          <w:w w:val="100"/>
          <w:position w:val="0"/>
        </w:rPr>
        <w:t>三）</w:t>
        <w:tab/>
        <w:t>研发人员基本情况</w:t>
      </w:r>
    </w:p>
    <w:p>
      <w:pPr>
        <w:pStyle w:val="Style13"/>
        <w:keepNext w:val="0"/>
        <w:keepLines w:val="0"/>
        <w:widowControl w:val="0"/>
        <w:shd w:val="clear" w:color="auto" w:fill="auto"/>
        <w:bidi w:val="0"/>
        <w:spacing w:before="0" w:after="160" w:line="478" w:lineRule="exact"/>
        <w:ind w:left="0" w:right="0" w:firstLine="460"/>
        <w:jc w:val="both"/>
      </w:pPr>
      <w:r>
        <w:rPr>
          <w:color w:val="000000"/>
          <w:spacing w:val="0"/>
          <w:w w:val="100"/>
          <w:position w:val="0"/>
        </w:rPr>
        <w:t>截至本报告期末，公司芯片设计领域研发人员</w:t>
      </w:r>
      <w:r>
        <w:rPr>
          <w:rFonts w:ascii="Times New Roman" w:eastAsia="Times New Roman" w:hAnsi="Times New Roman" w:cs="Times New Roman"/>
          <w:color w:val="000000"/>
          <w:spacing w:val="0"/>
          <w:w w:val="100"/>
          <w:position w:val="0"/>
        </w:rPr>
        <w:t>321</w:t>
      </w:r>
      <w:r>
        <w:rPr>
          <w:color w:val="000000"/>
          <w:spacing w:val="0"/>
          <w:w w:val="100"/>
          <w:position w:val="0"/>
        </w:rPr>
        <w:t>人，占公司芯片业务员工总数的</w:t>
      </w:r>
      <w:r>
        <w:rPr>
          <w:rFonts w:ascii="Times New Roman" w:eastAsia="Times New Roman" w:hAnsi="Times New Roman" w:cs="Times New Roman"/>
          <w:color w:val="000000"/>
          <w:spacing w:val="0"/>
          <w:w w:val="100"/>
          <w:position w:val="0"/>
        </w:rPr>
        <w:t>73.96%</w:t>
      </w:r>
      <w:r>
        <w:rPr>
          <w:color w:val="000000"/>
          <w:spacing w:val="0"/>
          <w:w w:val="100"/>
          <w:position w:val="0"/>
        </w:rPr>
        <w:t>， 主要以硕士研究生和本科生构成，本科以上占比为</w:t>
      </w:r>
      <w:r>
        <w:rPr>
          <w:rFonts w:ascii="Times New Roman" w:eastAsia="Times New Roman" w:hAnsi="Times New Roman" w:cs="Times New Roman"/>
          <w:color w:val="000000"/>
          <w:spacing w:val="0"/>
          <w:w w:val="100"/>
          <w:position w:val="0"/>
        </w:rPr>
        <w:t>95.95%</w:t>
      </w:r>
      <w:r>
        <w:rPr>
          <w:color w:val="000000"/>
          <w:spacing w:val="0"/>
          <w:w w:val="100"/>
          <w:position w:val="0"/>
        </w:rPr>
        <w:t>，其中硕士研究生以上占比</w:t>
      </w:r>
      <w:r>
        <w:rPr>
          <w:rFonts w:ascii="Times New Roman" w:eastAsia="Times New Roman" w:hAnsi="Times New Roman" w:cs="Times New Roman"/>
          <w:color w:val="000000"/>
          <w:spacing w:val="0"/>
          <w:w w:val="100"/>
          <w:position w:val="0"/>
        </w:rPr>
        <w:t>33.96%</w:t>
      </w:r>
      <w:r>
        <w:rPr>
          <w:color w:val="000000"/>
          <w:spacing w:val="0"/>
          <w:w w:val="100"/>
          <w:position w:val="0"/>
        </w:rPr>
        <w:t>。截 至本报告期末，公司核心技术人员未有离职情况。</w:t>
      </w:r>
    </w:p>
    <w:p>
      <w:pPr>
        <w:pStyle w:val="Style13"/>
        <w:keepNext w:val="0"/>
        <w:keepLines w:val="0"/>
        <w:widowControl w:val="0"/>
        <w:shd w:val="clear" w:color="auto" w:fill="auto"/>
        <w:bidi w:val="0"/>
        <w:spacing w:before="0" w:after="0" w:line="240" w:lineRule="auto"/>
        <w:ind w:left="0" w:right="0" w:firstLine="460"/>
        <w:jc w:val="both"/>
      </w:pPr>
      <w:r>
        <w:rPr>
          <w:color w:val="000000"/>
          <w:spacing w:val="0"/>
          <w:w w:val="100"/>
          <w:position w:val="0"/>
        </w:rPr>
        <w:t>研发人员工作年限分布情况如下：</w:t>
      </w:r>
    </w:p>
    <w:tbl>
      <w:tblPr>
        <w:tblOverlap w:val="never"/>
        <w:jc w:val="center"/>
        <w:tblLayout w:type="fixed"/>
      </w:tblPr>
      <w:tblGrid>
        <w:gridCol w:w="3542"/>
        <w:gridCol w:w="2270"/>
        <w:gridCol w:w="2986"/>
      </w:tblGrid>
      <w:tr>
        <w:trPr>
          <w:trHeight w:val="53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年限</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人数</w:t>
            </w:r>
          </w:p>
        </w:tc>
        <w:tc>
          <w:tcPr>
            <w:tcBorders>
              <w:top w:val="single" w:sz="4"/>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占比</w:t>
            </w:r>
          </w:p>
        </w:tc>
      </w:tr>
    </w:tbl>
    <w:p>
      <w:pPr>
        <w:spacing w:lineRule="exact" w:line="1"/>
        <w:rPr>
          <w:sz w:val="2"/>
          <w:szCs w:val="2"/>
        </w:rPr>
      </w:pPr>
      <w:r>
        <w:br w:type="page"/>
      </w:r>
    </w:p>
    <w:tbl>
      <w:tblPr>
        <w:tblOverlap w:val="never"/>
        <w:jc w:val="center"/>
        <w:tblLayout w:type="fixed"/>
      </w:tblPr>
      <w:tblGrid>
        <w:gridCol w:w="3542"/>
        <w:gridCol w:w="2270"/>
        <w:gridCol w:w="2986"/>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10.59%</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12.46%</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3-5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 xml:space="preserve">5-10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35.83%</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、现金流</w:t>
      </w:r>
      <w:bookmarkEnd w:id="201"/>
      <w:bookmarkEnd w:id="202"/>
      <w:bookmarkEnd w:id="204"/>
    </w:p>
    <w:p>
      <w:pPr>
        <w:pStyle w:val="Style30"/>
        <w:keepNext w:val="0"/>
        <w:keepLines w:val="0"/>
        <w:widowControl w:val="0"/>
        <w:shd w:val="clear" w:color="auto" w:fill="auto"/>
        <w:bidi w:val="0"/>
        <w:spacing w:before="0" w:after="0" w:line="240" w:lineRule="auto"/>
        <w:ind w:left="8688" w:right="0" w:firstLine="0"/>
        <w:jc w:val="left"/>
      </w:pPr>
      <w:r>
        <w:rPr>
          <w:color w:val="000000"/>
          <w:spacing w:val="0"/>
          <w:w w:val="100"/>
          <w:position w:val="0"/>
        </w:rPr>
        <w:t>单位：元</w:t>
      </w:r>
    </w:p>
    <w:tbl>
      <w:tblPr>
        <w:tblOverlap w:val="never"/>
        <w:jc w:val="center"/>
        <w:tblLayout w:type="fixed"/>
      </w:tblPr>
      <w:tblGrid>
        <w:gridCol w:w="2702"/>
        <w:gridCol w:w="2410"/>
        <w:gridCol w:w="2074"/>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1,092,931,016.53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550,448,624.25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880,441,224.74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525,194,327.16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经营活动产生的现金流量</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212,489,791.79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25,254,297.09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380,668,533.97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245,991,681.08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389,858,117.50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222,433,890.48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投资活动产生的现金流量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-9,189,583.53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23,557,790.60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362,781,368.50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351,776,840.02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447,859,512.75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筹资活动产生的现金流量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11,004,528.48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2,140,487.25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现金及现金等价物净增加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213,192,006.41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50,159,680.27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325.03%</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相关数据同比发生重大变动的主要影响因素说明</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0" w:line="475" w:lineRule="exact"/>
        <w:ind w:left="0" w:right="0" w:firstLine="460"/>
        <w:jc w:val="left"/>
      </w:pPr>
      <w:r>
        <w:rPr>
          <w:color w:val="000000"/>
          <w:spacing w:val="0"/>
          <w:w w:val="100"/>
          <w:position w:val="0"/>
        </w:rPr>
        <w:t>经营活动现金流入小计同比增长</w:t>
      </w:r>
      <w:r>
        <w:rPr>
          <w:rFonts w:ascii="Times New Roman" w:eastAsia="Times New Roman" w:hAnsi="Times New Roman" w:cs="Times New Roman"/>
          <w:color w:val="000000"/>
          <w:spacing w:val="0"/>
          <w:w w:val="100"/>
          <w:position w:val="0"/>
        </w:rPr>
        <w:t>98.55%</w:t>
      </w:r>
      <w:r>
        <w:rPr>
          <w:color w:val="000000"/>
          <w:spacing w:val="0"/>
          <w:w w:val="100"/>
          <w:position w:val="0"/>
        </w:rPr>
        <w:t>，主要是公司</w:t>
      </w:r>
      <w:r>
        <w:rPr>
          <w:rFonts w:ascii="Times New Roman" w:eastAsia="Times New Roman" w:hAnsi="Times New Roman" w:cs="Times New Roman"/>
          <w:color w:val="000000"/>
          <w:spacing w:val="0"/>
          <w:w w:val="100"/>
          <w:position w:val="0"/>
        </w:rPr>
        <w:t>MCU</w:t>
      </w:r>
      <w:r>
        <w:rPr>
          <w:color w:val="000000"/>
          <w:spacing w:val="0"/>
          <w:w w:val="100"/>
          <w:position w:val="0"/>
        </w:rPr>
        <w:t>和负极材料产品销售订单增加，销 售回款和销售订单预收款增加。</w:t>
      </w:r>
    </w:p>
    <w:p>
      <w:pPr>
        <w:pStyle w:val="Style13"/>
        <w:keepNext w:val="0"/>
        <w:keepLines w:val="0"/>
        <w:widowControl w:val="0"/>
        <w:shd w:val="clear" w:color="auto" w:fill="auto"/>
        <w:bidi w:val="0"/>
        <w:spacing w:before="0" w:after="0" w:line="475" w:lineRule="exact"/>
        <w:ind w:left="0" w:right="0" w:firstLine="460"/>
        <w:jc w:val="left"/>
      </w:pPr>
      <w:r>
        <w:rPr>
          <w:color w:val="000000"/>
          <w:spacing w:val="0"/>
          <w:w w:val="100"/>
          <w:position w:val="0"/>
        </w:rPr>
        <w:t>经营活动现金流出小计同比增长</w:t>
      </w:r>
      <w:r>
        <w:rPr>
          <w:rFonts w:ascii="Times New Roman" w:eastAsia="Times New Roman" w:hAnsi="Times New Roman" w:cs="Times New Roman"/>
          <w:color w:val="000000"/>
          <w:spacing w:val="0"/>
          <w:w w:val="100"/>
          <w:position w:val="0"/>
        </w:rPr>
        <w:t>67.64%</w:t>
      </w:r>
      <w:r>
        <w:rPr>
          <w:color w:val="000000"/>
          <w:spacing w:val="0"/>
          <w:w w:val="100"/>
          <w:position w:val="0"/>
        </w:rPr>
        <w:t>，主要是随着公司</w:t>
      </w:r>
      <w:r>
        <w:rPr>
          <w:rFonts w:ascii="Times New Roman" w:eastAsia="Times New Roman" w:hAnsi="Times New Roman" w:cs="Times New Roman"/>
          <w:color w:val="000000"/>
          <w:spacing w:val="0"/>
          <w:w w:val="100"/>
          <w:position w:val="0"/>
        </w:rPr>
        <w:t>MCU</w:t>
      </w:r>
      <w:r>
        <w:rPr>
          <w:color w:val="000000"/>
          <w:spacing w:val="0"/>
          <w:w w:val="100"/>
          <w:position w:val="0"/>
        </w:rPr>
        <w:t>、</w:t>
      </w:r>
      <w:r>
        <w:rPr>
          <w:color w:val="000000"/>
          <w:spacing w:val="0"/>
          <w:w w:val="100"/>
          <w:position w:val="0"/>
        </w:rPr>
        <w:t>负极材料和石墨化加工订单 的增加，为满足销售备货及加工需求，采购付款增加。</w:t>
      </w:r>
    </w:p>
    <w:p>
      <w:pPr>
        <w:pStyle w:val="Style13"/>
        <w:keepNext w:val="0"/>
        <w:keepLines w:val="0"/>
        <w:widowControl w:val="0"/>
        <w:shd w:val="clear" w:color="auto" w:fill="auto"/>
        <w:bidi w:val="0"/>
        <w:spacing w:before="0" w:after="180" w:line="485" w:lineRule="exact"/>
        <w:ind w:left="0" w:right="0" w:firstLine="460"/>
        <w:jc w:val="left"/>
      </w:pPr>
      <w:r>
        <w:rPr>
          <w:color w:val="000000"/>
          <w:spacing w:val="0"/>
          <w:w w:val="100"/>
          <w:position w:val="0"/>
        </w:rPr>
        <w:t>经营活动产生的现金流量净额同比增长</w:t>
      </w:r>
      <w:r>
        <w:rPr>
          <w:rFonts w:ascii="Times New Roman" w:eastAsia="Times New Roman" w:hAnsi="Times New Roman" w:cs="Times New Roman"/>
          <w:color w:val="000000"/>
          <w:spacing w:val="0"/>
          <w:w w:val="100"/>
          <w:position w:val="0"/>
        </w:rPr>
        <w:t>741.40%</w:t>
      </w:r>
      <w:r>
        <w:rPr>
          <w:color w:val="000000"/>
          <w:spacing w:val="0"/>
          <w:w w:val="100"/>
          <w:position w:val="0"/>
        </w:rPr>
        <w:t>，主要是公司</w:t>
      </w:r>
      <w:r>
        <w:rPr>
          <w:rFonts w:ascii="Times New Roman" w:eastAsia="Times New Roman" w:hAnsi="Times New Roman" w:cs="Times New Roman"/>
          <w:color w:val="000000"/>
          <w:spacing w:val="0"/>
          <w:w w:val="100"/>
          <w:position w:val="0"/>
        </w:rPr>
        <w:t>MCU</w:t>
      </w:r>
      <w:r>
        <w:rPr>
          <w:color w:val="000000"/>
          <w:spacing w:val="0"/>
          <w:w w:val="100"/>
          <w:position w:val="0"/>
        </w:rPr>
        <w:t>和负极材料产品订单增加， 销售回款和预收款与采购付款的差额较上年同期增加。</w:t>
      </w:r>
    </w:p>
    <w:p>
      <w:pPr>
        <w:pStyle w:val="Style13"/>
        <w:keepNext w:val="0"/>
        <w:keepLines w:val="0"/>
        <w:widowControl w:val="0"/>
        <w:shd w:val="clear" w:color="auto" w:fill="auto"/>
        <w:bidi w:val="0"/>
        <w:spacing w:before="0" w:after="0" w:line="470" w:lineRule="exact"/>
        <w:ind w:left="0" w:right="0" w:firstLine="820"/>
        <w:jc w:val="both"/>
      </w:pPr>
      <w:r>
        <w:rPr>
          <w:color w:val="000000"/>
          <w:spacing w:val="0"/>
          <w:w w:val="100"/>
          <w:position w:val="0"/>
        </w:rPr>
        <w:t>投资活动现金流入小计同比增长</w:t>
      </w:r>
      <w:r>
        <w:rPr>
          <w:rFonts w:ascii="Times New Roman" w:eastAsia="Times New Roman" w:hAnsi="Times New Roman" w:cs="Times New Roman"/>
          <w:color w:val="000000"/>
          <w:spacing w:val="0"/>
          <w:w w:val="100"/>
          <w:position w:val="0"/>
        </w:rPr>
        <w:t>54.75%</w:t>
      </w:r>
      <w:r>
        <w:rPr>
          <w:color w:val="000000"/>
          <w:spacing w:val="0"/>
          <w:w w:val="100"/>
          <w:position w:val="0"/>
        </w:rPr>
        <w:t>，主要是收到华夏芯股权转让款。</w:t>
      </w:r>
    </w:p>
    <w:p>
      <w:pPr>
        <w:pStyle w:val="Style13"/>
        <w:keepNext w:val="0"/>
        <w:keepLines w:val="0"/>
        <w:widowControl w:val="0"/>
        <w:shd w:val="clear" w:color="auto" w:fill="auto"/>
        <w:bidi w:val="0"/>
        <w:spacing w:before="0" w:after="0" w:line="470" w:lineRule="exact"/>
        <w:ind w:left="0" w:right="0" w:firstLine="820"/>
        <w:jc w:val="both"/>
      </w:pPr>
      <w:r>
        <w:rPr>
          <w:color w:val="000000"/>
          <w:spacing w:val="0"/>
          <w:w w:val="100"/>
          <w:position w:val="0"/>
        </w:rPr>
        <w:t>投资活动现金流出小计同比增长</w:t>
      </w:r>
      <w:r>
        <w:rPr>
          <w:rFonts w:ascii="Times New Roman" w:eastAsia="Times New Roman" w:hAnsi="Times New Roman" w:cs="Times New Roman"/>
          <w:color w:val="000000"/>
          <w:spacing w:val="0"/>
          <w:w w:val="100"/>
          <w:position w:val="0"/>
        </w:rPr>
        <w:t>75.27%</w:t>
      </w:r>
      <w:r>
        <w:rPr>
          <w:color w:val="000000"/>
          <w:spacing w:val="0"/>
          <w:w w:val="100"/>
          <w:position w:val="0"/>
        </w:rPr>
        <w:t>，主要是公司采购设备款增加。</w:t>
      </w:r>
    </w:p>
    <w:p>
      <w:pPr>
        <w:pStyle w:val="Style13"/>
        <w:keepNext w:val="0"/>
        <w:keepLines w:val="0"/>
        <w:widowControl w:val="0"/>
        <w:shd w:val="clear" w:color="auto" w:fill="auto"/>
        <w:bidi w:val="0"/>
        <w:spacing w:before="0" w:after="0" w:line="470" w:lineRule="exact"/>
        <w:ind w:left="0" w:right="0" w:firstLine="820"/>
        <w:jc w:val="both"/>
      </w:pPr>
      <w:r>
        <w:rPr>
          <w:color w:val="000000"/>
          <w:spacing w:val="0"/>
          <w:w w:val="100"/>
          <w:position w:val="0"/>
        </w:rPr>
        <w:t>投资活动产生的现金流量净额同比下降</w:t>
      </w:r>
      <w:r>
        <w:rPr>
          <w:rFonts w:ascii="Times New Roman" w:eastAsia="Times New Roman" w:hAnsi="Times New Roman" w:cs="Times New Roman"/>
          <w:color w:val="000000"/>
          <w:spacing w:val="0"/>
          <w:w w:val="100"/>
          <w:position w:val="0"/>
        </w:rPr>
        <w:t>139.01%</w:t>
      </w:r>
      <w:r>
        <w:rPr>
          <w:color w:val="000000"/>
          <w:spacing w:val="0"/>
          <w:w w:val="100"/>
          <w:position w:val="0"/>
        </w:rPr>
        <w:t>，主要是公司采购设备款增加。</w:t>
      </w:r>
    </w:p>
    <w:p>
      <w:pPr>
        <w:pStyle w:val="Style13"/>
        <w:keepNext w:val="0"/>
        <w:keepLines w:val="0"/>
        <w:widowControl w:val="0"/>
        <w:shd w:val="clear" w:color="auto" w:fill="auto"/>
        <w:bidi w:val="0"/>
        <w:spacing w:before="0" w:after="0" w:line="470" w:lineRule="exact"/>
        <w:ind w:left="0" w:right="0" w:firstLine="820"/>
        <w:jc w:val="both"/>
      </w:pPr>
      <w:r>
        <w:rPr>
          <w:color w:val="000000"/>
          <w:spacing w:val="0"/>
          <w:w w:val="100"/>
          <w:position w:val="0"/>
        </w:rPr>
        <w:t>筹资活动产生的现金流量净额同比增长</w:t>
      </w:r>
      <w:r>
        <w:rPr>
          <w:rFonts w:ascii="Times New Roman" w:eastAsia="Times New Roman" w:hAnsi="Times New Roman" w:cs="Times New Roman"/>
          <w:color w:val="000000"/>
          <w:spacing w:val="0"/>
          <w:w w:val="100"/>
          <w:position w:val="0"/>
        </w:rPr>
        <w:t>414.11%</w:t>
      </w:r>
      <w:r>
        <w:rPr>
          <w:color w:val="000000"/>
          <w:spacing w:val="0"/>
          <w:w w:val="100"/>
          <w:position w:val="0"/>
        </w:rPr>
        <w:t>，主要是收到限制性股票认购款。</w:t>
      </w:r>
    </w:p>
    <w:p>
      <w:pPr>
        <w:pStyle w:val="Style13"/>
        <w:keepNext w:val="0"/>
        <w:keepLines w:val="0"/>
        <w:widowControl w:val="0"/>
        <w:shd w:val="clear" w:color="auto" w:fill="auto"/>
        <w:bidi w:val="0"/>
        <w:spacing w:before="0" w:after="0" w:line="470" w:lineRule="exact"/>
        <w:ind w:left="340" w:right="0" w:firstLine="480"/>
        <w:jc w:val="both"/>
      </w:pPr>
      <w:r>
        <w:rPr>
          <w:color w:val="000000"/>
          <w:spacing w:val="0"/>
          <w:w w:val="100"/>
          <w:position w:val="0"/>
        </w:rPr>
        <w:t>现金及现金等价物净增加额同比增长</w:t>
      </w:r>
      <w:r>
        <w:rPr>
          <w:rFonts w:ascii="Times New Roman" w:eastAsia="Times New Roman" w:hAnsi="Times New Roman" w:cs="Times New Roman"/>
          <w:color w:val="000000"/>
          <w:spacing w:val="0"/>
          <w:w w:val="100"/>
          <w:position w:val="0"/>
        </w:rPr>
        <w:t>325.03%</w:t>
      </w:r>
      <w:r>
        <w:rPr>
          <w:color w:val="000000"/>
          <w:spacing w:val="0"/>
          <w:w w:val="100"/>
          <w:position w:val="0"/>
        </w:rPr>
        <w:t>，主要是：①公司芯片和负极材料订单增加， 销售商品、提供劳务收到的现金与购买商品、接受劳务支付的现金的差额较上年同期增加；②收 到股权激励限制性股票认购款；③收回大额历史欠款；④收到华夏芯股权转让款。</w:t>
      </w:r>
    </w:p>
    <w:p>
      <w:pPr>
        <w:pStyle w:val="Style13"/>
        <w:keepNext w:val="0"/>
        <w:keepLines w:val="0"/>
        <w:widowControl w:val="0"/>
        <w:shd w:val="clear" w:color="auto" w:fill="auto"/>
        <w:bidi w:val="0"/>
        <w:spacing w:before="0" w:after="200" w:line="514" w:lineRule="exact"/>
        <w:ind w:left="340" w:right="0" w:firstLine="2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after="200" w:line="470" w:lineRule="exact"/>
        <w:ind w:left="0" w:right="0" w:firstLine="340"/>
        <w:jc w:val="both"/>
      </w:pPr>
      <w:bookmarkStart w:id="205" w:name="bookmark205"/>
      <w:bookmarkStart w:id="206" w:name="bookmark206"/>
      <w:bookmarkStart w:id="207" w:name="bookmark207"/>
      <w:bookmarkStart w:id="208" w:name="bookmark208"/>
      <w:r>
        <w:rPr>
          <w:color w:val="000000"/>
          <w:spacing w:val="0"/>
          <w:w w:val="100"/>
          <w:position w:val="0"/>
        </w:rPr>
        <w:t>五</w:t>
      </w:r>
      <w:bookmarkEnd w:id="207"/>
      <w:r>
        <w:rPr>
          <w:color w:val="000000"/>
          <w:spacing w:val="0"/>
          <w:w w:val="100"/>
          <w:position w:val="0"/>
        </w:rPr>
        <w:t>、非主营业务情况</w:t>
      </w:r>
      <w:bookmarkEnd w:id="205"/>
      <w:bookmarkEnd w:id="206"/>
      <w:bookmarkEnd w:id="208"/>
    </w:p>
    <w:p>
      <w:pPr>
        <w:pStyle w:val="Style13"/>
        <w:keepNext w:val="0"/>
        <w:keepLines w:val="0"/>
        <w:widowControl w:val="0"/>
        <w:shd w:val="clear" w:color="auto" w:fill="auto"/>
        <w:bidi w:val="0"/>
        <w:spacing w:before="0" w:after="200" w:line="470" w:lineRule="exact"/>
        <w:ind w:left="0" w:right="0" w:firstLine="3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70,584,203.11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华夏芯股权转让收益。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公允价值变动 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77,432,708.47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思齐资本公允价值变 动收益。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6,426,460.59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应收票据、应收账款、 其他应收款计提坏账 及应收账款坏账转回。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-13,443,121.19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主要是计提存货跌价。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4,535,271.93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违约金、保险赔款、业 绩补偿款。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1,245,370.55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赔偿款、非流动资产毁 损报废损失。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340"/>
        <w:jc w:val="both"/>
      </w:pPr>
      <w:bookmarkStart w:id="209" w:name="bookmark209"/>
      <w:bookmarkStart w:id="210" w:name="bookmark210"/>
      <w:bookmarkStart w:id="211" w:name="bookmark211"/>
      <w:bookmarkStart w:id="212" w:name="bookmark212"/>
      <w:r>
        <w:rPr>
          <w:color w:val="000000"/>
          <w:spacing w:val="0"/>
          <w:w w:val="100"/>
          <w:position w:val="0"/>
        </w:rPr>
        <w:t>六</w:t>
      </w:r>
      <w:bookmarkEnd w:id="211"/>
      <w:r>
        <w:rPr>
          <w:color w:val="000000"/>
          <w:spacing w:val="0"/>
          <w:w w:val="100"/>
          <w:position w:val="0"/>
        </w:rPr>
        <w:t>、资产及负债状况分析</w:t>
      </w:r>
      <w:bookmarkEnd w:id="209"/>
      <w:bookmarkEnd w:id="210"/>
      <w:bookmarkEnd w:id="212"/>
    </w:p>
    <w:p>
      <w:pPr>
        <w:pStyle w:val="Style37"/>
        <w:keepNext/>
        <w:keepLines/>
        <w:widowControl w:val="0"/>
        <w:shd w:val="clear" w:color="auto" w:fill="auto"/>
        <w:bidi w:val="0"/>
        <w:spacing w:before="0" w:after="340" w:line="240" w:lineRule="auto"/>
        <w:ind w:left="0" w:right="0" w:firstLine="340"/>
        <w:jc w:val="both"/>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、资产构成重大变动情况</w:t>
      </w:r>
      <w:bookmarkEnd w:id="213"/>
      <w:bookmarkEnd w:id="214"/>
      <w:bookmarkEnd w:id="21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854"/>
        <w:gridCol w:w="1555"/>
        <w:gridCol w:w="754"/>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占总资</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占总资</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533,985,416.09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295,788,279.48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主要是销售回款增加及收到股</w:t>
            </w:r>
          </w:p>
        </w:tc>
      </w:tr>
    </w:tbl>
    <w:p>
      <w:pPr>
        <w:spacing w:lineRule="exact" w:line="1"/>
        <w:rPr>
          <w:sz w:val="2"/>
          <w:szCs w:val="2"/>
        </w:rPr>
      </w:pPr>
      <w:r>
        <w:br w:type="page"/>
      </w:r>
    </w:p>
    <w:tbl>
      <w:tblPr>
        <w:tblOverlap w:val="never"/>
        <w:jc w:val="center"/>
        <w:tblLayout w:type="fixed"/>
      </w:tblPr>
      <w:tblGrid>
        <w:gridCol w:w="1378"/>
        <w:gridCol w:w="1464"/>
        <w:gridCol w:w="854"/>
        <w:gridCol w:w="1555"/>
        <w:gridCol w:w="754"/>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权激励认购款。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交易性金融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140,353,935.06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57,732,195.35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主要是思齐资本公允价值变 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207,571,087.73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202,917,873.97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应收款项融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131,690,674.07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20,780,180.07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公司在日常资金管理中收到的 用于背书或贴现的银行承兑汇 票金额增加。</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320,303,346.26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182,019,017.88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主要是公司</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 xml:space="preserve">产品销售订 单大幅增长，为满足市场需求， </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产品备货相应大幅增长。</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投资性房地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372,948,961.00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379,019,310.00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423,159,536.56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363,036,571.69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主要是内蒙古斯诺石墨化</w:t>
            </w:r>
            <w:r>
              <w:rPr>
                <w:rFonts w:ascii="Times New Roman" w:eastAsia="Times New Roman" w:hAnsi="Times New Roman" w:cs="Times New Roman"/>
                <w:color w:val="000000"/>
                <w:spacing w:val="0"/>
                <w:w w:val="100"/>
                <w:position w:val="0"/>
                <w:sz w:val="22"/>
                <w:szCs w:val="22"/>
              </w:rPr>
              <w:t>B</w:t>
            </w:r>
            <w:r>
              <w:rPr>
                <w:color w:val="000000"/>
                <w:spacing w:val="0"/>
                <w:w w:val="100"/>
                <w:position w:val="0"/>
                <w:sz w:val="20"/>
                <w:szCs w:val="20"/>
              </w:rPr>
              <w:t>车 间转为固定资产。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45,258,895.41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35,223,603.10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58,022,891.24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52,417,638.02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执行新租赁会计准则。</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127,796,050.10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94,754,160.65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部分资本化研发项目实现量 产，其资本化的开发支出转为 无形资产。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90,175,725.00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100,189,138.89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117,258,840.34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28,306,071.80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主要是斯诺实业采用银行承兑 汇票结算方式的采购增加。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139,278,888.74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140,452,013.01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56,571,251.85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8,092,035.13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产品销售订单大幅 增长，预收客户货款增加。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偿还长期借款。</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48,568,640.71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45,806,788.45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执行新租赁会计准则。</w:t>
            </w:r>
          </w:p>
        </w:tc>
      </w:tr>
    </w:tbl>
    <w:p>
      <w:pPr>
        <w:widowControl w:val="0"/>
        <w:spacing w:after="159" w:line="1" w:lineRule="exact"/>
      </w:pPr>
    </w:p>
    <w:p>
      <w:pPr>
        <w:pStyle w:val="Style13"/>
        <w:keepNext w:val="0"/>
        <w:keepLines w:val="0"/>
        <w:widowControl w:val="0"/>
        <w:shd w:val="clear" w:color="auto" w:fill="auto"/>
        <w:bidi w:val="0"/>
        <w:spacing w:before="0" w:after="240" w:line="240" w:lineRule="auto"/>
        <w:ind w:left="0" w:right="0" w:firstLine="340"/>
        <w:jc w:val="left"/>
      </w:pPr>
      <w:r>
        <w:rPr>
          <w:color w:val="000000"/>
          <w:spacing w:val="0"/>
          <w:w w:val="100"/>
          <w:position w:val="0"/>
        </w:rPr>
        <w:t>境外资产占比较高</w:t>
      </w:r>
    </w:p>
    <w:p>
      <w:pPr>
        <w:pStyle w:val="Style13"/>
        <w:keepNext w:val="0"/>
        <w:keepLines w:val="0"/>
        <w:widowControl w:val="0"/>
        <w:shd w:val="clear" w:color="auto" w:fill="auto"/>
        <w:bidi w:val="0"/>
        <w:spacing w:before="0" w:after="420" w:line="240" w:lineRule="auto"/>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after="420" w:line="240" w:lineRule="auto"/>
        <w:ind w:left="0" w:right="0" w:firstLine="34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、以公允价值计量的资产和负债</w:t>
      </w:r>
      <w:bookmarkEnd w:id="217"/>
      <w:bookmarkEnd w:id="218"/>
      <w:bookmarkEnd w:id="220"/>
    </w:p>
    <w:p>
      <w:pPr>
        <w:pStyle w:val="Style13"/>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16"/>
        <w:gridCol w:w="1277"/>
        <w:gridCol w:w="1133"/>
        <w:gridCol w:w="566"/>
        <w:gridCol w:w="566"/>
        <w:gridCol w:w="427"/>
        <w:gridCol w:w="1416"/>
        <w:gridCol w:w="1430"/>
      </w:tblGrid>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本期公允价</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值变动损益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计入权益 的累计公 允价值变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本期</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计提 的减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本期</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购买</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20"/>
                <w:szCs w:val="20"/>
              </w:rPr>
            </w:pPr>
            <w:r>
              <w:rPr>
                <w:color w:val="000000"/>
                <w:spacing w:val="0"/>
                <w:w w:val="100"/>
                <w:position w:val="0"/>
                <w:sz w:val="20"/>
                <w:szCs w:val="20"/>
              </w:rPr>
              <w:t>本 期 出 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其他变动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bl>
    <w:p>
      <w:pPr>
        <w:spacing w:lineRule="exact" w:line="1"/>
        <w:rPr>
          <w:sz w:val="2"/>
          <w:szCs w:val="2"/>
        </w:rPr>
      </w:pPr>
      <w:r>
        <w:br w:type="page"/>
      </w:r>
    </w:p>
    <w:tbl>
      <w:tblPr>
        <w:tblOverlap w:val="never"/>
        <w:jc w:val="center"/>
        <w:tblLayout w:type="fixed"/>
      </w:tblPr>
      <w:tblGrid>
        <w:gridCol w:w="2136"/>
        <w:gridCol w:w="1416"/>
        <w:gridCol w:w="1277"/>
        <w:gridCol w:w="1133"/>
        <w:gridCol w:w="566"/>
        <w:gridCol w:w="566"/>
        <w:gridCol w:w="427"/>
        <w:gridCol w:w="1416"/>
        <w:gridCol w:w="143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值</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金</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1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交易性金融资产（不 含衍生金融资产）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57,732,195.35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83,551,416.25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-929,676.54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140,353,935.06</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20,780,180.07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110,910,494.00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131,690,674.07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69,402,345.88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158,023.17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69,560,369.05</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147,914,721.30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83,551,416.25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-771,653.37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110,910,494.00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341,604,978.18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379,019,310.00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-6,070,349.00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372,948,961.00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526,934,031.30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77,481,067.25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-771,653.37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110,910,494.00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714,553,939.18</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报告期内公司主要资产计量属性是否发生重大变化</w:t>
      </w:r>
    </w:p>
    <w:p>
      <w:pPr>
        <w:pStyle w:val="Style13"/>
        <w:keepNext w:val="0"/>
        <w:keepLines w:val="0"/>
        <w:widowControl w:val="0"/>
        <w:shd w:val="clear" w:color="auto" w:fill="auto"/>
        <w:bidi w:val="0"/>
        <w:spacing w:before="0" w:after="40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7"/>
        <w:keepNext/>
        <w:keepLines/>
        <w:widowControl w:val="0"/>
        <w:shd w:val="clear" w:color="auto" w:fill="auto"/>
        <w:bidi w:val="0"/>
        <w:spacing w:before="0" w:after="340" w:line="240" w:lineRule="auto"/>
        <w:ind w:left="0" w:right="0" w:firstLine="56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3</w:t>
      </w:r>
      <w:bookmarkEnd w:id="223"/>
      <w:r>
        <w:rPr>
          <w:color w:val="000000"/>
          <w:spacing w:val="0"/>
          <w:w w:val="100"/>
          <w:position w:val="0"/>
        </w:rPr>
        <w:t>、截至报告期末的资产权利受限情况</w:t>
      </w:r>
      <w:bookmarkEnd w:id="221"/>
      <w:bookmarkEnd w:id="222"/>
      <w:bookmarkEnd w:id="224"/>
    </w:p>
    <w:p>
      <w:pPr>
        <w:pStyle w:val="Style30"/>
        <w:keepNext w:val="0"/>
        <w:keepLines w:val="0"/>
        <w:widowControl w:val="0"/>
        <w:shd w:val="clear" w:color="auto" w:fill="auto"/>
        <w:bidi w:val="0"/>
        <w:spacing w:before="0" w:after="0" w:line="240" w:lineRule="auto"/>
        <w:ind w:left="8126" w:right="0" w:firstLine="0"/>
        <w:jc w:val="left"/>
      </w:pPr>
      <w:r>
        <w:rPr>
          <w:color w:val="000000"/>
          <w:spacing w:val="0"/>
          <w:w w:val="100"/>
          <w:position w:val="0"/>
        </w:rPr>
        <w:t>单位：元</w:t>
      </w:r>
    </w:p>
    <w:tbl>
      <w:tblPr>
        <w:tblOverlap w:val="never"/>
        <w:jc w:val="center"/>
        <w:tblLayout w:type="fixed"/>
      </w:tblPr>
      <w:tblGrid>
        <w:gridCol w:w="3331"/>
        <w:gridCol w:w="2597"/>
        <w:gridCol w:w="3192"/>
      </w:tblGrid>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62,021,115.84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票据保证金及借款保证金</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78,077,924.58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票据质押</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372,948,961.00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借款抵押</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235,422,457.26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借款抵押</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38,921,544.45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借款抵押</w:t>
            </w:r>
          </w:p>
        </w:tc>
      </w:tr>
      <w:tr>
        <w:trPr>
          <w:trHeight w:val="4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787,392,003.13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13"/>
        <w:keepNext w:val="0"/>
        <w:keepLines w:val="0"/>
        <w:widowControl w:val="0"/>
        <w:shd w:val="clear" w:color="auto" w:fill="auto"/>
        <w:bidi w:val="0"/>
        <w:spacing w:before="0" w:after="300" w:line="480" w:lineRule="exact"/>
        <w:ind w:left="560" w:right="0" w:firstLine="0"/>
        <w:jc w:val="left"/>
      </w:pPr>
      <w:r>
        <w:rPr>
          <w:color w:val="000000"/>
          <w:spacing w:val="0"/>
          <w:w w:val="100"/>
          <w:position w:val="0"/>
        </w:rPr>
        <w:t>截至报告期末，除上述情形外公司主要资产不存在其他被查封、扣押、冻结或者被抵押、质押的 情形。</w:t>
      </w:r>
      <w:r>
        <w:br w:type="page"/>
      </w:r>
    </w:p>
    <w:p>
      <w:pPr>
        <w:pStyle w:val="Style33"/>
        <w:keepNext/>
        <w:keepLines/>
        <w:widowControl w:val="0"/>
        <w:shd w:val="clear" w:color="auto" w:fill="auto"/>
        <w:bidi w:val="0"/>
        <w:spacing w:before="0" w:after="320" w:line="240" w:lineRule="auto"/>
        <w:ind w:left="0" w:right="0" w:firstLine="560"/>
        <w:jc w:val="both"/>
      </w:pPr>
      <w:bookmarkStart w:id="225" w:name="bookmark225"/>
      <w:bookmarkStart w:id="226" w:name="bookmark226"/>
      <w:bookmarkStart w:id="227" w:name="bookmark227"/>
      <w:bookmarkStart w:id="228" w:name="bookmark228"/>
      <w:r>
        <w:rPr>
          <w:color w:val="000000"/>
          <w:spacing w:val="0"/>
          <w:w w:val="100"/>
          <w:position w:val="0"/>
        </w:rPr>
        <w:t>七</w:t>
      </w:r>
      <w:bookmarkEnd w:id="227"/>
      <w:r>
        <w:rPr>
          <w:color w:val="000000"/>
          <w:spacing w:val="0"/>
          <w:w w:val="100"/>
          <w:position w:val="0"/>
        </w:rPr>
        <w:t>、投资状况分析</w:t>
      </w:r>
      <w:bookmarkEnd w:id="225"/>
      <w:bookmarkEnd w:id="226"/>
      <w:bookmarkEnd w:id="228"/>
    </w:p>
    <w:p>
      <w:pPr>
        <w:pStyle w:val="Style37"/>
        <w:keepNext/>
        <w:keepLines/>
        <w:widowControl w:val="0"/>
        <w:shd w:val="clear" w:color="auto" w:fill="auto"/>
        <w:bidi w:val="0"/>
        <w:spacing w:before="0" w:after="400" w:line="240" w:lineRule="auto"/>
        <w:ind w:left="0" w:right="0" w:firstLine="560"/>
        <w:jc w:val="both"/>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、总体情况</w:t>
      </w:r>
      <w:bookmarkEnd w:id="229"/>
      <w:bookmarkEnd w:id="230"/>
      <w:bookmarkEnd w:id="232"/>
    </w:p>
    <w:p>
      <w:pPr>
        <w:pStyle w:val="Style13"/>
        <w:keepNext w:val="0"/>
        <w:keepLines w:val="0"/>
        <w:widowControl w:val="0"/>
        <w:shd w:val="clear" w:color="auto" w:fill="auto"/>
        <w:bidi w:val="0"/>
        <w:spacing w:before="0" w:after="120" w:line="240" w:lineRule="auto"/>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tbl>
      <w:tblPr>
        <w:tblOverlap w:val="never"/>
        <w:jc w:val="center"/>
        <w:tblLayout w:type="fixed"/>
      </w:tblPr>
      <w:tblGrid>
        <w:gridCol w:w="3336"/>
        <w:gridCol w:w="3192"/>
        <w:gridCol w:w="3269"/>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变动幅度</w:t>
            </w:r>
          </w:p>
        </w:tc>
      </w:tr>
      <w:tr>
        <w:trPr>
          <w:trHeight w:val="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7"/>
        <w:keepNext/>
        <w:keepLines/>
        <w:widowControl w:val="0"/>
        <w:shd w:val="clear" w:color="auto" w:fill="auto"/>
        <w:tabs>
          <w:tab w:pos="952" w:val="left"/>
        </w:tabs>
        <w:bidi w:val="0"/>
        <w:spacing w:before="0" w:after="400" w:line="240" w:lineRule="auto"/>
        <w:ind w:left="0" w:right="0" w:firstLine="560"/>
        <w:jc w:val="both"/>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报告期内获取的重大的股权投资情况</w:t>
      </w:r>
      <w:bookmarkEnd w:id="233"/>
      <w:bookmarkEnd w:id="234"/>
      <w:bookmarkEnd w:id="236"/>
    </w:p>
    <w:p>
      <w:pPr>
        <w:pStyle w:val="Style13"/>
        <w:keepNext w:val="0"/>
        <w:keepLines w:val="0"/>
        <w:widowControl w:val="0"/>
        <w:shd w:val="clear" w:color="auto" w:fill="auto"/>
        <w:bidi w:val="0"/>
        <w:spacing w:before="0" w:after="400" w:line="240" w:lineRule="auto"/>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952" w:val="left"/>
        </w:tabs>
        <w:bidi w:val="0"/>
        <w:spacing w:before="0" w:after="400" w:line="240" w:lineRule="auto"/>
        <w:ind w:left="0" w:right="0" w:firstLine="560"/>
        <w:jc w:val="both"/>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3</w:t>
      </w:r>
      <w:bookmarkEnd w:id="239"/>
      <w:r>
        <w:rPr>
          <w:color w:val="000000"/>
          <w:spacing w:val="0"/>
          <w:w w:val="100"/>
          <w:position w:val="0"/>
        </w:rPr>
        <w:t>、</w:t>
        <w:tab/>
        <w:t>报告期内正在进行的重大的非股权投资情况</w:t>
      </w:r>
      <w:bookmarkEnd w:id="237"/>
      <w:bookmarkEnd w:id="238"/>
      <w:bookmarkEnd w:id="240"/>
    </w:p>
    <w:p>
      <w:pPr>
        <w:pStyle w:val="Style13"/>
        <w:keepNext w:val="0"/>
        <w:keepLines w:val="0"/>
        <w:widowControl w:val="0"/>
        <w:shd w:val="clear" w:color="auto" w:fill="auto"/>
        <w:bidi w:val="0"/>
        <w:spacing w:before="0" w:after="400" w:line="240" w:lineRule="auto"/>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after="400" w:line="240" w:lineRule="auto"/>
        <w:ind w:left="0" w:right="0" w:firstLine="560"/>
        <w:jc w:val="both"/>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4</w:t>
      </w:r>
      <w:bookmarkEnd w:id="243"/>
      <w:r>
        <w:rPr>
          <w:color w:val="000000"/>
          <w:spacing w:val="0"/>
          <w:w w:val="100"/>
          <w:position w:val="0"/>
        </w:rPr>
        <w:t>、以公允价值计量的金融资产</w:t>
      </w:r>
      <w:bookmarkEnd w:id="241"/>
      <w:bookmarkEnd w:id="242"/>
      <w:bookmarkEnd w:id="244"/>
    </w:p>
    <w:p>
      <w:pPr>
        <w:pStyle w:val="Style13"/>
        <w:keepNext w:val="0"/>
        <w:keepLines w:val="0"/>
        <w:widowControl w:val="0"/>
        <w:shd w:val="clear" w:color="auto" w:fill="auto"/>
        <w:bidi w:val="0"/>
        <w:spacing w:before="0" w:after="18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9355" w:right="0" w:firstLine="0"/>
        <w:jc w:val="left"/>
      </w:pPr>
      <w:r>
        <w:rPr>
          <w:color w:val="000000"/>
          <w:spacing w:val="0"/>
          <w:w w:val="100"/>
          <w:position w:val="0"/>
        </w:rPr>
        <w:t>单位：元</w:t>
      </w:r>
    </w:p>
    <w:tbl>
      <w:tblPr>
        <w:tblOverlap w:val="never"/>
        <w:jc w:val="center"/>
        <w:tblLayout w:type="fixed"/>
      </w:tblPr>
      <w:tblGrid>
        <w:gridCol w:w="1277"/>
        <w:gridCol w:w="1560"/>
        <w:gridCol w:w="1421"/>
        <w:gridCol w:w="1133"/>
        <w:gridCol w:w="710"/>
        <w:gridCol w:w="706"/>
        <w:gridCol w:w="566"/>
        <w:gridCol w:w="1560"/>
        <w:gridCol w:w="1560"/>
        <w:gridCol w:w="61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计入权益 的累计公 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报告 期内 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报告 期内 售出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累计</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投资</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来源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应收款项融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20,780,180.07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110,910,494.00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131,690,674.07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交易性金融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57,732,195.35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83,551,416.25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-929,676.54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140,353,935.06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其他权益工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69,402,345.88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158,023.17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69,560,369.05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147,914,721.30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83,551,416.25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-771,653.37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110,910,494.00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341,604,978.18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547" w:right="0" w:firstLine="0"/>
        <w:jc w:val="left"/>
        <w:rPr>
          <w:sz w:val="22"/>
          <w:szCs w:val="22"/>
        </w:rPr>
      </w:pPr>
      <w:r>
        <w:rPr>
          <w:rFonts w:ascii="Times New Roman" w:eastAsia="Times New Roman" w:hAnsi="Times New Roman" w:cs="Times New Roman"/>
          <w:b/>
          <w:bCs/>
          <w:color w:val="000000"/>
          <w:spacing w:val="0"/>
          <w:w w:val="100"/>
          <w:position w:val="0"/>
          <w:sz w:val="22"/>
          <w:szCs w:val="22"/>
        </w:rPr>
        <w:t>5</w:t>
      </w:r>
      <w:r>
        <w:rPr>
          <w:b/>
          <w:bCs/>
          <w:color w:val="000000"/>
          <w:spacing w:val="0"/>
          <w:w w:val="100"/>
          <w:position w:val="0"/>
          <w:sz w:val="22"/>
          <w:szCs w:val="22"/>
        </w:rPr>
        <w:t>、募集资金使用情况</w:t>
      </w:r>
    </w:p>
    <w:p>
      <w:pPr>
        <w:widowControl w:val="0"/>
        <w:spacing w:after="399" w:line="1" w:lineRule="exact"/>
      </w:pPr>
    </w:p>
    <w:p>
      <w:pPr>
        <w:pStyle w:val="Style13"/>
        <w:keepNext w:val="0"/>
        <w:keepLines w:val="0"/>
        <w:widowControl w:val="0"/>
        <w:shd w:val="clear" w:color="auto" w:fill="auto"/>
        <w:bidi w:val="0"/>
        <w:spacing w:before="0" w:after="4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firstLine="560"/>
        <w:jc w:val="both"/>
        <w:rPr>
          <w:sz w:val="20"/>
          <w:szCs w:val="20"/>
        </w:rPr>
      </w:pPr>
      <w:r>
        <w:rPr>
          <w:b/>
          <w:bCs/>
          <w:color w:val="000000"/>
          <w:spacing w:val="0"/>
          <w:w w:val="100"/>
          <w:position w:val="0"/>
          <w:sz w:val="20"/>
          <w:szCs w:val="20"/>
        </w:rPr>
        <w:t>募集资金总体使用情况</w:t>
      </w:r>
    </w:p>
    <w:p>
      <w:pPr>
        <w:pStyle w:val="Style13"/>
        <w:keepNext w:val="0"/>
        <w:keepLines w:val="0"/>
        <w:widowControl w:val="0"/>
        <w:shd w:val="clear" w:color="auto" w:fill="auto"/>
        <w:bidi w:val="0"/>
        <w:spacing w:before="0" w:after="40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0"/>
        <w:keepNext w:val="0"/>
        <w:keepLines w:val="0"/>
        <w:widowControl w:val="0"/>
        <w:shd w:val="clear" w:color="auto" w:fill="auto"/>
        <w:bidi w:val="0"/>
        <w:spacing w:before="0" w:after="0" w:line="240" w:lineRule="auto"/>
        <w:ind w:left="8477" w:right="0" w:firstLine="0"/>
        <w:jc w:val="left"/>
      </w:pPr>
      <w:r>
        <w:rPr>
          <w:color w:val="000000"/>
          <w:spacing w:val="0"/>
          <w:w w:val="100"/>
          <w:position w:val="0"/>
        </w:rPr>
        <w:t>单位：万元</w:t>
      </w:r>
    </w:p>
    <w:tbl>
      <w:tblPr>
        <w:tblOverlap w:val="never"/>
        <w:jc w:val="center"/>
        <w:tblLayout w:type="fixed"/>
      </w:tblPr>
      <w:tblGrid>
        <w:gridCol w:w="859"/>
        <w:gridCol w:w="710"/>
        <w:gridCol w:w="1133"/>
        <w:gridCol w:w="869"/>
        <w:gridCol w:w="1114"/>
        <w:gridCol w:w="869"/>
        <w:gridCol w:w="1027"/>
        <w:gridCol w:w="869"/>
        <w:gridCol w:w="869"/>
        <w:gridCol w:w="869"/>
        <w:gridCol w:w="87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募集</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本期已</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使用募</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集资金</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已累计使</w:t>
            </w:r>
          </w:p>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累计变更</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用途的募</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集资金总</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累计变</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更用途</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的募集</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资金总</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尚未使</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用募集</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资金总</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闲置两 年以上 募集资 金金额</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 xml:space="preserve">2010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首次</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公开</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发行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230,401.97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2,353.53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267,360.41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31,243.09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存放募</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集资金</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专户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230,401.97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267,360.41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募集资金总体使用情况说明</w:t>
            </w:r>
          </w:p>
        </w:tc>
      </w:tr>
      <w:tr>
        <w:trPr>
          <w:trHeight w:val="1009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912" w:val="left"/>
              </w:tabs>
              <w:bidi w:val="0"/>
              <w:spacing w:before="0" w:after="0" w:line="471" w:lineRule="exact"/>
              <w:ind w:left="0" w:right="0" w:firstLine="360"/>
              <w:jc w:val="both"/>
              <w:rPr>
                <w:sz w:val="20"/>
                <w:szCs w:val="20"/>
              </w:rPr>
            </w:pPr>
            <w:r>
              <w:rPr>
                <w:color w:val="000000"/>
                <w:spacing w:val="0"/>
                <w:w w:val="100"/>
                <w:position w:val="0"/>
                <w:sz w:val="20"/>
                <w:szCs w:val="20"/>
              </w:rPr>
              <w:t>（一）</w:t>
              <w:tab/>
              <w:t>实际募集资金金额和资金到账时间</w:t>
            </w:r>
          </w:p>
          <w:p>
            <w:pPr>
              <w:pStyle w:val="Style2"/>
              <w:keepNext w:val="0"/>
              <w:keepLines w:val="0"/>
              <w:widowControl w:val="0"/>
              <w:shd w:val="clear" w:color="auto" w:fill="auto"/>
              <w:bidi w:val="0"/>
              <w:spacing w:before="0" w:after="0" w:line="471" w:lineRule="exact"/>
              <w:ind w:left="0" w:right="0" w:firstLine="360"/>
              <w:jc w:val="both"/>
              <w:rPr>
                <w:sz w:val="20"/>
                <w:szCs w:val="20"/>
              </w:rPr>
            </w:pPr>
            <w:r>
              <w:rPr>
                <w:color w:val="000000"/>
                <w:spacing w:val="0"/>
                <w:w w:val="100"/>
                <w:position w:val="0"/>
                <w:sz w:val="20"/>
                <w:szCs w:val="20"/>
              </w:rPr>
              <w:t>经中国证券监督管理委员会证监许可</w:t>
            </w:r>
            <w:r>
              <w:rPr>
                <w:rFonts w:ascii="Times New Roman" w:eastAsia="Times New Roman" w:hAnsi="Times New Roman" w:cs="Times New Roman"/>
                <w:color w:val="000000"/>
                <w:spacing w:val="0"/>
                <w:w w:val="100"/>
                <w:position w:val="0"/>
                <w:sz w:val="22"/>
                <w:szCs w:val="22"/>
              </w:rPr>
              <w:t>［2010］432</w:t>
            </w:r>
            <w:r>
              <w:rPr>
                <w:color w:val="000000"/>
                <w:spacing w:val="0"/>
                <w:w w:val="100"/>
                <w:position w:val="0"/>
                <w:sz w:val="20"/>
                <w:szCs w:val="20"/>
              </w:rPr>
              <w:t>号核准，国民技术股份有限公司委托主承销商安信证券 股份有限公司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以下简称“安信证券”</w:t>
            </w:r>
            <w:r>
              <w:rPr>
                <w:color w:val="000000"/>
                <w:spacing w:val="0"/>
                <w:w w:val="100"/>
                <w:position w:val="0"/>
                <w:sz w:val="22"/>
                <w:szCs w:val="22"/>
              </w:rPr>
              <w:t>）</w:t>
            </w:r>
            <w:r>
              <w:rPr>
                <w:color w:val="000000"/>
                <w:spacing w:val="0"/>
                <w:w w:val="100"/>
                <w:position w:val="0"/>
                <w:sz w:val="20"/>
                <w:szCs w:val="20"/>
              </w:rPr>
              <w:t>首次公开发行人民币普通股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2"/>
                <w:szCs w:val="22"/>
              </w:rPr>
              <w:t>2,720</w:t>
            </w:r>
            <w:r>
              <w:rPr>
                <w:color w:val="000000"/>
                <w:spacing w:val="0"/>
                <w:w w:val="100"/>
                <w:position w:val="0"/>
                <w:sz w:val="20"/>
                <w:szCs w:val="20"/>
              </w:rPr>
              <w:t>万股（每股面值</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元）， 发行价格为每股</w:t>
            </w:r>
            <w:r>
              <w:rPr>
                <w:rFonts w:ascii="Times New Roman" w:eastAsia="Times New Roman" w:hAnsi="Times New Roman" w:cs="Times New Roman"/>
                <w:color w:val="000000"/>
                <w:spacing w:val="0"/>
                <w:w w:val="100"/>
                <w:position w:val="0"/>
                <w:sz w:val="22"/>
                <w:szCs w:val="22"/>
              </w:rPr>
              <w:t>87.50</w:t>
            </w:r>
            <w:r>
              <w:rPr>
                <w:color w:val="000000"/>
                <w:spacing w:val="0"/>
                <w:w w:val="100"/>
                <w:position w:val="0"/>
                <w:sz w:val="20"/>
                <w:szCs w:val="20"/>
              </w:rPr>
              <w:t>元，共募集资金人民币</w:t>
            </w:r>
            <w:r>
              <w:rPr>
                <w:rFonts w:ascii="Times New Roman" w:eastAsia="Times New Roman" w:hAnsi="Times New Roman" w:cs="Times New Roman"/>
                <w:color w:val="000000"/>
                <w:spacing w:val="0"/>
                <w:w w:val="100"/>
                <w:position w:val="0"/>
                <w:sz w:val="22"/>
                <w:szCs w:val="22"/>
              </w:rPr>
              <w:t>238,000</w:t>
            </w:r>
            <w:r>
              <w:rPr>
                <w:color w:val="000000"/>
                <w:spacing w:val="0"/>
                <w:w w:val="100"/>
                <w:position w:val="0"/>
                <w:sz w:val="20"/>
                <w:szCs w:val="20"/>
              </w:rPr>
              <w:t>万元。扣除承销和保荐费用</w:t>
            </w:r>
            <w:r>
              <w:rPr>
                <w:rFonts w:ascii="Times New Roman" w:eastAsia="Times New Roman" w:hAnsi="Times New Roman" w:cs="Times New Roman"/>
                <w:color w:val="000000"/>
                <w:spacing w:val="0"/>
                <w:w w:val="100"/>
                <w:position w:val="0"/>
                <w:sz w:val="22"/>
                <w:szCs w:val="22"/>
              </w:rPr>
              <w:t>7,140</w:t>
            </w:r>
            <w:r>
              <w:rPr>
                <w:color w:val="000000"/>
                <w:spacing w:val="0"/>
                <w:w w:val="100"/>
                <w:position w:val="0"/>
                <w:sz w:val="20"/>
                <w:szCs w:val="20"/>
              </w:rPr>
              <w:t>万元后的募集资 金人民币</w:t>
            </w:r>
            <w:r>
              <w:rPr>
                <w:rFonts w:ascii="Times New Roman" w:eastAsia="Times New Roman" w:hAnsi="Times New Roman" w:cs="Times New Roman"/>
                <w:color w:val="000000"/>
                <w:spacing w:val="0"/>
                <w:w w:val="100"/>
                <w:position w:val="0"/>
                <w:sz w:val="22"/>
                <w:szCs w:val="22"/>
              </w:rPr>
              <w:t>230,860</w:t>
            </w:r>
            <w:r>
              <w:rPr>
                <w:color w:val="000000"/>
                <w:spacing w:val="0"/>
                <w:w w:val="100"/>
                <w:position w:val="0"/>
                <w:sz w:val="20"/>
                <w:szCs w:val="20"/>
              </w:rPr>
              <w:t>万元，由主承销商安信证券于</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0"/>
                <w:szCs w:val="20"/>
              </w:rPr>
              <w:t>日汇入本公司账户。另减除律师费、审计 费、法定信息披露及路演推介等其他发行费用</w:t>
            </w:r>
            <w:r>
              <w:rPr>
                <w:rFonts w:ascii="Times New Roman" w:eastAsia="Times New Roman" w:hAnsi="Times New Roman" w:cs="Times New Roman"/>
                <w:color w:val="000000"/>
                <w:spacing w:val="0"/>
                <w:w w:val="100"/>
                <w:position w:val="0"/>
                <w:sz w:val="22"/>
                <w:szCs w:val="22"/>
              </w:rPr>
              <w:t>835.41</w:t>
            </w:r>
            <w:r>
              <w:rPr>
                <w:color w:val="000000"/>
                <w:spacing w:val="0"/>
                <w:w w:val="100"/>
                <w:position w:val="0"/>
                <w:sz w:val="20"/>
                <w:szCs w:val="20"/>
              </w:rPr>
              <w:t xml:space="preserve">万元，公司本次实际募集资金净额为人民币 </w:t>
            </w:r>
            <w:r>
              <w:rPr>
                <w:rFonts w:ascii="Times New Roman" w:eastAsia="Times New Roman" w:hAnsi="Times New Roman" w:cs="Times New Roman"/>
                <w:color w:val="000000"/>
                <w:spacing w:val="0"/>
                <w:w w:val="100"/>
                <w:position w:val="0"/>
                <w:sz w:val="22"/>
                <w:szCs w:val="22"/>
              </w:rPr>
              <w:t>230,024.59</w:t>
            </w:r>
            <w:r>
              <w:rPr>
                <w:color w:val="000000"/>
                <w:spacing w:val="0"/>
                <w:w w:val="100"/>
                <w:position w:val="0"/>
                <w:sz w:val="20"/>
                <w:szCs w:val="20"/>
              </w:rPr>
              <w:t>万元，经利安达会计师事务所有限责任公司验证，已由其出具利安达验字</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2"/>
                <w:szCs w:val="22"/>
              </w:rPr>
              <w:t>1026</w:t>
            </w:r>
            <w:r>
              <w:rPr>
                <w:color w:val="000000"/>
                <w:spacing w:val="0"/>
                <w:w w:val="100"/>
                <w:position w:val="0"/>
                <w:sz w:val="20"/>
                <w:szCs w:val="20"/>
              </w:rPr>
              <w:t>号《验 资报告》。</w:t>
            </w:r>
          </w:p>
          <w:p>
            <w:pPr>
              <w:pStyle w:val="Style2"/>
              <w:keepNext w:val="0"/>
              <w:keepLines w:val="0"/>
              <w:widowControl w:val="0"/>
              <w:shd w:val="clear" w:color="auto" w:fill="auto"/>
              <w:bidi w:val="0"/>
              <w:spacing w:before="0" w:after="0" w:line="471" w:lineRule="exact"/>
              <w:ind w:left="0" w:right="0" w:firstLine="360"/>
              <w:jc w:val="both"/>
              <w:rPr>
                <w:sz w:val="20"/>
                <w:szCs w:val="20"/>
              </w:rPr>
            </w:pPr>
            <w:r>
              <w:rPr>
                <w:color w:val="000000"/>
                <w:spacing w:val="0"/>
                <w:w w:val="100"/>
                <w:position w:val="0"/>
                <w:sz w:val="20"/>
                <w:szCs w:val="20"/>
              </w:rPr>
              <w:t>根据财政部</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0"/>
                <w:szCs w:val="20"/>
              </w:rPr>
              <w:t>日发布的《财政部关于执行会计准则的上市公司和非上市企业做好</w:t>
            </w:r>
            <w:r>
              <w:rPr>
                <w:rFonts w:ascii="Times New Roman" w:eastAsia="Times New Roman" w:hAnsi="Times New Roman" w:cs="Times New Roman"/>
                <w:color w:val="000000"/>
                <w:spacing w:val="0"/>
                <w:w w:val="100"/>
                <w:position w:val="0"/>
                <w:sz w:val="22"/>
                <w:szCs w:val="22"/>
              </w:rPr>
              <w:t xml:space="preserve">2010 </w:t>
            </w:r>
            <w:r>
              <w:rPr>
                <w:color w:val="000000"/>
                <w:spacing w:val="0"/>
                <w:w w:val="100"/>
                <w:position w:val="0"/>
                <w:sz w:val="20"/>
                <w:szCs w:val="20"/>
              </w:rPr>
              <w:t>年年报工作的通知》（财会</w:t>
            </w:r>
            <w:r>
              <w:rPr>
                <w:rFonts w:ascii="Times New Roman" w:eastAsia="Times New Roman" w:hAnsi="Times New Roman" w:cs="Times New Roman"/>
                <w:color w:val="000000"/>
                <w:spacing w:val="0"/>
                <w:w w:val="100"/>
                <w:position w:val="0"/>
                <w:sz w:val="22"/>
                <w:szCs w:val="22"/>
              </w:rPr>
              <w:t>［2010］25</w:t>
            </w:r>
            <w:r>
              <w:rPr>
                <w:color w:val="000000"/>
                <w:spacing w:val="0"/>
                <w:w w:val="100"/>
                <w:position w:val="0"/>
                <w:sz w:val="20"/>
                <w:szCs w:val="20"/>
              </w:rPr>
              <w:t>号）第七条要求“发行权益性证券过程中发生的广告费、路演费、上 市酒会费等费用，应当计入当期损益”、第九条要求“涉及第四个问题、第六个问题和第七个问题的， 应当自</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日起施行”。公司已根据财会</w:t>
            </w:r>
            <w:r>
              <w:rPr>
                <w:rFonts w:ascii="Times New Roman" w:eastAsia="Times New Roman" w:hAnsi="Times New Roman" w:cs="Times New Roman"/>
                <w:color w:val="000000"/>
                <w:spacing w:val="0"/>
                <w:w w:val="100"/>
                <w:position w:val="0"/>
                <w:sz w:val="22"/>
                <w:szCs w:val="22"/>
              </w:rPr>
              <w:t>［2010］25</w:t>
            </w:r>
            <w:r>
              <w:rPr>
                <w:color w:val="000000"/>
                <w:spacing w:val="0"/>
                <w:w w:val="100"/>
                <w:position w:val="0"/>
                <w:sz w:val="20"/>
                <w:szCs w:val="20"/>
              </w:rPr>
              <w:t xml:space="preserve">号文件的要求进行账务调整，调增资本公积 </w:t>
            </w:r>
            <w:r>
              <w:rPr>
                <w:rFonts w:ascii="Times New Roman" w:eastAsia="Times New Roman" w:hAnsi="Times New Roman" w:cs="Times New Roman"/>
                <w:color w:val="000000"/>
                <w:spacing w:val="0"/>
                <w:w w:val="100"/>
                <w:position w:val="0"/>
                <w:sz w:val="22"/>
                <w:szCs w:val="22"/>
              </w:rPr>
              <w:t>377.38</w:t>
            </w:r>
            <w:r>
              <w:rPr>
                <w:color w:val="000000"/>
                <w:spacing w:val="0"/>
                <w:w w:val="100"/>
                <w:position w:val="0"/>
                <w:sz w:val="20"/>
                <w:szCs w:val="20"/>
              </w:rPr>
              <w:t>万元，调增管理费用</w:t>
            </w:r>
            <w:r>
              <w:rPr>
                <w:rFonts w:ascii="Times New Roman" w:eastAsia="Times New Roman" w:hAnsi="Times New Roman" w:cs="Times New Roman"/>
                <w:color w:val="000000"/>
                <w:spacing w:val="0"/>
                <w:w w:val="100"/>
                <w:position w:val="0"/>
                <w:sz w:val="22"/>
                <w:szCs w:val="22"/>
              </w:rPr>
              <w:t>377.38</w:t>
            </w:r>
            <w:r>
              <w:rPr>
                <w:color w:val="000000"/>
                <w:spacing w:val="0"/>
                <w:w w:val="100"/>
                <w:position w:val="0"/>
                <w:sz w:val="20"/>
                <w:szCs w:val="20"/>
              </w:rPr>
              <w:t>万元。公司已于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0"/>
                <w:szCs w:val="20"/>
              </w:rPr>
              <w:t>日由流动资金中拨出</w:t>
            </w:r>
            <w:r>
              <w:rPr>
                <w:rFonts w:ascii="Times New Roman" w:eastAsia="Times New Roman" w:hAnsi="Times New Roman" w:cs="Times New Roman"/>
                <w:color w:val="000000"/>
                <w:spacing w:val="0"/>
                <w:w w:val="100"/>
                <w:position w:val="0"/>
                <w:sz w:val="22"/>
                <w:szCs w:val="22"/>
              </w:rPr>
              <w:t>377.38</w:t>
            </w:r>
            <w:r>
              <w:rPr>
                <w:color w:val="000000"/>
                <w:spacing w:val="0"/>
                <w:w w:val="100"/>
                <w:position w:val="0"/>
                <w:sz w:val="20"/>
                <w:szCs w:val="20"/>
              </w:rPr>
              <w:t>万补入募 集资金专户。</w:t>
            </w:r>
          </w:p>
          <w:p>
            <w:pPr>
              <w:pStyle w:val="Style2"/>
              <w:keepNext w:val="0"/>
              <w:keepLines w:val="0"/>
              <w:widowControl w:val="0"/>
              <w:shd w:val="clear" w:color="auto" w:fill="auto"/>
              <w:tabs>
                <w:tab w:pos="907" w:val="left"/>
              </w:tabs>
              <w:bidi w:val="0"/>
              <w:spacing w:before="0" w:after="0" w:line="471" w:lineRule="exact"/>
              <w:ind w:left="0" w:right="0" w:firstLine="360"/>
              <w:jc w:val="both"/>
              <w:rPr>
                <w:sz w:val="20"/>
                <w:szCs w:val="20"/>
              </w:rPr>
            </w:pPr>
            <w:r>
              <w:rPr>
                <w:color w:val="000000"/>
                <w:spacing w:val="0"/>
                <w:w w:val="100"/>
                <w:position w:val="0"/>
                <w:sz w:val="20"/>
                <w:szCs w:val="20"/>
              </w:rPr>
              <w:t>（二）</w:t>
              <w:tab/>
              <w:t>募集资金已使用金额和当前余额</w:t>
            </w:r>
          </w:p>
          <w:p>
            <w:pPr>
              <w:pStyle w:val="Style2"/>
              <w:keepNext w:val="0"/>
              <w:keepLines w:val="0"/>
              <w:widowControl w:val="0"/>
              <w:shd w:val="clear" w:color="auto" w:fill="auto"/>
              <w:bidi w:val="0"/>
              <w:spacing w:before="0" w:after="0" w:line="471" w:lineRule="exact"/>
              <w:ind w:left="0" w:right="0" w:firstLine="36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）设立国民投资进行产业投资</w:t>
            </w:r>
          </w:p>
          <w:p>
            <w:pPr>
              <w:pStyle w:val="Style2"/>
              <w:keepNext w:val="0"/>
              <w:keepLines w:val="0"/>
              <w:widowControl w:val="0"/>
              <w:shd w:val="clear" w:color="auto" w:fill="auto"/>
              <w:bidi w:val="0"/>
              <w:spacing w:before="0" w:after="0" w:line="467" w:lineRule="exact"/>
              <w:ind w:left="0" w:right="0" w:firstLine="360"/>
              <w:jc w:val="both"/>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rPr>
              <w:t>13</w:t>
            </w:r>
            <w:r>
              <w:rPr>
                <w:color w:val="000000"/>
                <w:spacing w:val="0"/>
                <w:w w:val="100"/>
                <w:position w:val="0"/>
                <w:sz w:val="20"/>
                <w:szCs w:val="20"/>
              </w:rPr>
              <w:t>日召开第三届董事会第五次会议，审议通过了《关于公司拟使用部分超募资金投 资设立全资子公司的议案》，同意公司使用超募资金人民币</w:t>
            </w:r>
            <w:r>
              <w:rPr>
                <w:rFonts w:ascii="Times New Roman" w:eastAsia="Times New Roman" w:hAnsi="Times New Roman" w:cs="Times New Roman"/>
                <w:color w:val="000000"/>
                <w:spacing w:val="0"/>
                <w:w w:val="100"/>
                <w:position w:val="0"/>
              </w:rPr>
              <w:t>5</w:t>
            </w:r>
            <w:r>
              <w:rPr>
                <w:color w:val="000000"/>
                <w:spacing w:val="0"/>
                <w:w w:val="100"/>
                <w:position w:val="0"/>
                <w:sz w:val="20"/>
                <w:szCs w:val="20"/>
              </w:rPr>
              <w:t>亿元，投资设立全资子公司深圳前海国民 投资管理有限公司（以下简称“国民投资”），作为公司的投资控股平台进行产业布局。经公司</w:t>
            </w:r>
            <w:r>
              <w:rPr>
                <w:rFonts w:ascii="Times New Roman" w:eastAsia="Times New Roman" w:hAnsi="Times New Roman" w:cs="Times New Roman"/>
                <w:color w:val="000000"/>
                <w:spacing w:val="0"/>
                <w:w w:val="100"/>
                <w:position w:val="0"/>
              </w:rPr>
              <w:t>2019</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rPr>
              <w:t>9</w:t>
            </w:r>
            <w:r>
              <w:rPr>
                <w:color w:val="000000"/>
                <w:spacing w:val="0"/>
                <w:w w:val="100"/>
                <w:position w:val="0"/>
                <w:sz w:val="20"/>
                <w:szCs w:val="20"/>
              </w:rPr>
              <w:t xml:space="preserve">日召开的第四届董事会第十三次会议审议通过，同意公司减少对国民投资产业布局的投入金额 </w:t>
            </w:r>
            <w:r>
              <w:rPr>
                <w:rFonts w:ascii="Times New Roman" w:eastAsia="Times New Roman" w:hAnsi="Times New Roman" w:cs="Times New Roman"/>
                <w:color w:val="000000"/>
                <w:spacing w:val="0"/>
                <w:w w:val="100"/>
                <w:position w:val="0"/>
              </w:rPr>
              <w:t>29,594.36</w:t>
            </w:r>
            <w:r>
              <w:rPr>
                <w:color w:val="000000"/>
                <w:spacing w:val="0"/>
                <w:w w:val="100"/>
                <w:position w:val="0"/>
                <w:sz w:val="20"/>
                <w:szCs w:val="20"/>
              </w:rPr>
              <w:t>万元，相应国民投资减资</w:t>
            </w:r>
            <w:r>
              <w:rPr>
                <w:rFonts w:ascii="Times New Roman" w:eastAsia="Times New Roman" w:hAnsi="Times New Roman" w:cs="Times New Roman"/>
                <w:color w:val="000000"/>
                <w:spacing w:val="0"/>
                <w:w w:val="100"/>
                <w:position w:val="0"/>
              </w:rPr>
              <w:t>29,594.36</w:t>
            </w:r>
            <w:r>
              <w:rPr>
                <w:color w:val="000000"/>
                <w:spacing w:val="0"/>
                <w:w w:val="100"/>
                <w:position w:val="0"/>
                <w:sz w:val="20"/>
                <w:szCs w:val="20"/>
              </w:rPr>
              <w:t>万元。报告期内，国民投资支付斯诺实业股权收购款</w:t>
            </w:r>
            <w:r>
              <w:rPr>
                <w:rFonts w:ascii="Times New Roman" w:eastAsia="Times New Roman" w:hAnsi="Times New Roman" w:cs="Times New Roman"/>
                <w:color w:val="000000"/>
                <w:spacing w:val="0"/>
                <w:w w:val="100"/>
                <w:position w:val="0"/>
              </w:rPr>
              <w:t>1,785.00</w:t>
            </w:r>
          </w:p>
        </w:tc>
      </w:tr>
    </w:tbl>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485" w:lineRule="exact"/>
        <w:ind w:left="700" w:right="0" w:firstLine="20"/>
        <w:jc w:val="both"/>
        <w:rPr>
          <w:sz w:val="20"/>
          <w:szCs w:val="20"/>
        </w:rPr>
      </w:pPr>
      <w:r>
        <w:rPr>
          <w:color w:val="000000"/>
          <w:spacing w:val="0"/>
          <w:w w:val="100"/>
          <w:position w:val="0"/>
          <w:sz w:val="20"/>
          <w:szCs w:val="20"/>
        </w:rPr>
        <w:t>万元，截至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日国民投资累计支付斯诺实业股权收购款及增资华夏芯投资款合计</w:t>
      </w:r>
      <w:r>
        <w:rPr>
          <w:rFonts w:ascii="Times New Roman" w:eastAsia="Times New Roman" w:hAnsi="Times New Roman" w:cs="Times New Roman"/>
          <w:color w:val="000000"/>
          <w:spacing w:val="0"/>
          <w:w w:val="100"/>
          <w:position w:val="0"/>
          <w:sz w:val="22"/>
          <w:szCs w:val="22"/>
        </w:rPr>
        <w:t xml:space="preserve">25,182.70 </w:t>
      </w:r>
      <w:r>
        <w:rPr>
          <w:color w:val="000000"/>
          <w:spacing w:val="0"/>
          <w:w w:val="100"/>
          <w:position w:val="0"/>
          <w:sz w:val="20"/>
          <w:szCs w:val="20"/>
        </w:rPr>
        <w:t>万元。</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62" w:val="left"/>
        </w:tabs>
        <w:bidi w:val="0"/>
        <w:spacing w:before="0" w:after="40" w:line="485" w:lineRule="exact"/>
        <w:ind w:left="1060" w:right="0" w:firstLine="0"/>
        <w:jc w:val="left"/>
        <w:rPr>
          <w:sz w:val="20"/>
          <w:szCs w:val="20"/>
        </w:rPr>
      </w:pPr>
      <w:bookmarkStart w:id="245" w:name="bookmark245"/>
      <w:r>
        <w:rPr>
          <w:color w:val="000000"/>
          <w:spacing w:val="0"/>
          <w:w w:val="100"/>
          <w:position w:val="0"/>
          <w:sz w:val="20"/>
          <w:szCs w:val="20"/>
        </w:rPr>
        <w:t>（</w:t>
      </w:r>
      <w:bookmarkEnd w:id="245"/>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使用超募资金投资研发和办公大楼建设</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466" w:lineRule="exact"/>
        <w:ind w:left="700" w:right="0" w:firstLine="360"/>
        <w:jc w:val="both"/>
        <w:rPr>
          <w:sz w:val="20"/>
          <w:szCs w:val="20"/>
        </w:rPr>
      </w:pPr>
      <w:r>
        <w:rPr>
          <w:color w:val="000000"/>
          <w:spacing w:val="0"/>
          <w:w w:val="100"/>
          <w:position w:val="0"/>
          <w:sz w:val="20"/>
          <w:szCs w:val="20"/>
        </w:rPr>
        <w:t>经公司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0"/>
          <w:szCs w:val="20"/>
        </w:rPr>
        <w:t>日第三届董事会第十次会议审议通过，公司使用超募资金</w:t>
      </w:r>
      <w:r>
        <w:rPr>
          <w:rFonts w:ascii="Times New Roman" w:eastAsia="Times New Roman" w:hAnsi="Times New Roman" w:cs="Times New Roman"/>
          <w:color w:val="000000"/>
          <w:spacing w:val="0"/>
          <w:w w:val="100"/>
          <w:position w:val="0"/>
          <w:sz w:val="22"/>
          <w:szCs w:val="22"/>
        </w:rPr>
        <w:t>46,000</w:t>
      </w:r>
      <w:r>
        <w:rPr>
          <w:color w:val="000000"/>
          <w:spacing w:val="0"/>
          <w:w w:val="100"/>
          <w:position w:val="0"/>
          <w:sz w:val="20"/>
          <w:szCs w:val="20"/>
        </w:rPr>
        <w:t>万元投资研发 和办公大楼建设项目，报告期内，支付项目质保金等尾款</w:t>
      </w:r>
      <w:r>
        <w:rPr>
          <w:rFonts w:ascii="Times New Roman" w:eastAsia="Times New Roman" w:hAnsi="Times New Roman" w:cs="Times New Roman"/>
          <w:color w:val="000000"/>
          <w:spacing w:val="0"/>
          <w:w w:val="100"/>
          <w:position w:val="0"/>
          <w:sz w:val="22"/>
          <w:szCs w:val="22"/>
        </w:rPr>
        <w:t>568.53</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 xml:space="preserve">日累计已支付 </w:t>
      </w:r>
      <w:r>
        <w:rPr>
          <w:rFonts w:ascii="Times New Roman" w:eastAsia="Times New Roman" w:hAnsi="Times New Roman" w:cs="Times New Roman"/>
          <w:color w:val="000000"/>
          <w:spacing w:val="0"/>
          <w:w w:val="100"/>
          <w:position w:val="0"/>
          <w:sz w:val="22"/>
          <w:szCs w:val="22"/>
        </w:rPr>
        <w:t xml:space="preserve">45,909.10 </w:t>
      </w:r>
      <w:r>
        <w:rPr>
          <w:color w:val="000000"/>
          <w:spacing w:val="0"/>
          <w:w w:val="100"/>
          <w:position w:val="0"/>
          <w:sz w:val="20"/>
          <w:szCs w:val="20"/>
        </w:rPr>
        <w:t>万元。</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62" w:val="left"/>
        </w:tabs>
        <w:bidi w:val="0"/>
        <w:spacing w:before="0" w:after="40" w:line="470" w:lineRule="exact"/>
        <w:ind w:left="1060" w:right="0" w:firstLine="0"/>
        <w:jc w:val="left"/>
        <w:rPr>
          <w:sz w:val="20"/>
          <w:szCs w:val="20"/>
        </w:rPr>
      </w:pPr>
      <w:bookmarkStart w:id="246" w:name="bookmark246"/>
      <w:r>
        <w:rPr>
          <w:color w:val="000000"/>
          <w:spacing w:val="0"/>
          <w:w w:val="100"/>
          <w:position w:val="0"/>
          <w:sz w:val="20"/>
          <w:szCs w:val="20"/>
        </w:rPr>
        <w:t>（</w:t>
      </w:r>
      <w:bookmarkEnd w:id="246"/>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w:t>
        <w:tab/>
        <w:t>节余资金使用情况</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470" w:lineRule="exact"/>
        <w:ind w:left="700" w:right="0" w:firstLine="360"/>
        <w:jc w:val="both"/>
        <w:rPr>
          <w:sz w:val="20"/>
          <w:szCs w:val="20"/>
        </w:rPr>
      </w:pPr>
      <w:r>
        <w:rPr>
          <w:color w:val="000000"/>
          <w:spacing w:val="0"/>
          <w:w w:val="100"/>
          <w:position w:val="0"/>
          <w:sz w:val="20"/>
          <w:szCs w:val="20"/>
        </w:rPr>
        <w:t>经公司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0"/>
          <w:szCs w:val="20"/>
        </w:rPr>
        <w:t>日召开的第五届董事会第七次会议及第五届监事会第五次会议审议通过，基于 公司募集资金投资项目“可信计算研究项目”已建设完毕，同意公司将其专用账户的实际剩余募集资金 约</w:t>
      </w:r>
      <w:r>
        <w:rPr>
          <w:rFonts w:ascii="Times New Roman" w:eastAsia="Times New Roman" w:hAnsi="Times New Roman" w:cs="Times New Roman"/>
          <w:color w:val="000000"/>
          <w:spacing w:val="0"/>
          <w:w w:val="100"/>
          <w:position w:val="0"/>
          <w:sz w:val="22"/>
          <w:szCs w:val="22"/>
        </w:rPr>
        <w:t>256.15</w:t>
      </w:r>
      <w:r>
        <w:rPr>
          <w:color w:val="000000"/>
          <w:spacing w:val="0"/>
          <w:w w:val="100"/>
          <w:position w:val="0"/>
          <w:sz w:val="20"/>
          <w:szCs w:val="20"/>
        </w:rPr>
        <w:t>万元（含利息收入），用于公司非募投项目研发平台的运行。</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466" w:lineRule="exact"/>
        <w:ind w:left="700" w:right="0" w:firstLine="480"/>
        <w:jc w:val="left"/>
        <w:rPr>
          <w:sz w:val="20"/>
          <w:szCs w:val="20"/>
        </w:rPr>
      </w:pPr>
      <w:r>
        <w:rPr>
          <w:color w:val="000000"/>
          <w:spacing w:val="0"/>
          <w:w w:val="100"/>
          <w:position w:val="0"/>
          <w:sz w:val="20"/>
          <w:szCs w:val="20"/>
        </w:rPr>
        <w:t>报告期内，基于公司募集资金投资项目均已建设完毕，其节余未指定用途募集资金</w:t>
      </w:r>
      <w:r>
        <w:rPr>
          <w:rFonts w:ascii="Times New Roman" w:eastAsia="Times New Roman" w:hAnsi="Times New Roman" w:cs="Times New Roman"/>
          <w:color w:val="000000"/>
          <w:spacing w:val="0"/>
          <w:w w:val="100"/>
          <w:position w:val="0"/>
          <w:sz w:val="22"/>
          <w:szCs w:val="22"/>
        </w:rPr>
        <w:t>354.88</w:t>
      </w:r>
      <w:r>
        <w:rPr>
          <w:color w:val="000000"/>
          <w:spacing w:val="0"/>
          <w:w w:val="100"/>
          <w:position w:val="0"/>
          <w:sz w:val="20"/>
          <w:szCs w:val="20"/>
        </w:rPr>
        <w:t>万元（含 利息收入），报告期内均用于公司非募投项目研发平台的运行。</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470" w:lineRule="exact"/>
        <w:ind w:left="1180"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日，募集资金余额为</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0"/>
          <w:szCs w:val="20"/>
        </w:rPr>
        <w:t>元。</w:t>
      </w:r>
    </w:p>
    <w:p>
      <w:pPr>
        <w:pStyle w:val="Style13"/>
        <w:keepNext w:val="0"/>
        <w:keepLines w:val="0"/>
        <w:widowControl w:val="0"/>
        <w:shd w:val="clear" w:color="auto" w:fill="auto"/>
        <w:bidi w:val="0"/>
        <w:spacing w:before="0" w:after="240" w:line="470" w:lineRule="exact"/>
        <w:ind w:left="0" w:right="0" w:firstLine="700"/>
        <w:jc w:val="both"/>
        <w:rPr>
          <w:sz w:val="20"/>
          <w:szCs w:val="20"/>
        </w:rPr>
      </w:pPr>
      <w:r>
        <w:rPr>
          <w:b/>
          <w:bCs/>
          <w:color w:val="000000"/>
          <w:spacing w:val="0"/>
          <w:w w:val="100"/>
          <w:position w:val="0"/>
          <w:sz w:val="20"/>
          <w:szCs w:val="20"/>
        </w:rPr>
        <w:t>募集资金承诺项目情况</w:t>
      </w:r>
    </w:p>
    <w:p>
      <w:pPr>
        <w:pStyle w:val="Style13"/>
        <w:keepNext w:val="0"/>
        <w:keepLines w:val="0"/>
        <w:widowControl w:val="0"/>
        <w:shd w:val="clear" w:color="auto" w:fill="auto"/>
        <w:bidi w:val="0"/>
        <w:spacing w:before="0" w:after="160" w:line="470" w:lineRule="exact"/>
        <w:ind w:left="0" w:right="0" w:firstLine="7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9182" w:right="0" w:firstLine="0"/>
        <w:jc w:val="left"/>
      </w:pPr>
      <w:r>
        <w:rPr>
          <w:color w:val="000000"/>
          <w:spacing w:val="0"/>
          <w:w w:val="100"/>
          <w:position w:val="0"/>
        </w:rPr>
        <w:t>单位：万元</w:t>
      </w:r>
    </w:p>
    <w:tbl>
      <w:tblPr>
        <w:tblOverlap w:val="never"/>
        <w:jc w:val="center"/>
        <w:tblLayout w:type="fixed"/>
      </w:tblPr>
      <w:tblGrid>
        <w:gridCol w:w="1421"/>
        <w:gridCol w:w="730"/>
        <w:gridCol w:w="974"/>
        <w:gridCol w:w="994"/>
        <w:gridCol w:w="883"/>
        <w:gridCol w:w="955"/>
        <w:gridCol w:w="902"/>
        <w:gridCol w:w="725"/>
        <w:gridCol w:w="893"/>
        <w:gridCol w:w="898"/>
        <w:gridCol w:w="730"/>
        <w:gridCol w:w="9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承诺投资项目</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和超募资金投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是否已</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变更项</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部分变</w:t>
            </w:r>
          </w:p>
          <w:p>
            <w:pPr>
              <w:pStyle w:val="Style2"/>
              <w:keepNext w:val="0"/>
              <w:keepLines w:val="0"/>
              <w:widowControl w:val="0"/>
              <w:shd w:val="clear" w:color="auto" w:fill="auto"/>
              <w:bidi w:val="0"/>
              <w:spacing w:before="0" w:after="80" w:line="240" w:lineRule="auto"/>
              <w:ind w:left="0" w:right="0" w:firstLine="220"/>
              <w:jc w:val="left"/>
              <w:rPr>
                <w:sz w:val="20"/>
                <w:szCs w:val="20"/>
              </w:rPr>
            </w:pPr>
            <w:r>
              <w:rPr>
                <w:color w:val="000000"/>
                <w:spacing w:val="0"/>
                <w:w w:val="100"/>
                <w:position w:val="0"/>
                <w:sz w:val="20"/>
                <w:szCs w:val="20"/>
              </w:rPr>
              <w:t>更</w:t>
            </w: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募集资金</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调整后投</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资总额</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本报告</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期投入</w:t>
            </w:r>
          </w:p>
          <w:p>
            <w:pPr>
              <w:pStyle w:val="Style2"/>
              <w:keepNext w:val="0"/>
              <w:keepLines w:val="0"/>
              <w:widowControl w:val="0"/>
              <w:shd w:val="clear" w:color="auto" w:fill="auto"/>
              <w:bidi w:val="0"/>
              <w:spacing w:before="0" w:after="60" w:line="240" w:lineRule="auto"/>
              <w:ind w:left="0" w:right="0" w:firstLine="22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截至期末 累计投入 金额</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截至期末</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投资进度</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⑶=</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本报告</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期实现</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4" w:lineRule="exact"/>
              <w:ind w:left="0" w:right="0" w:firstLine="0"/>
              <w:jc w:val="left"/>
              <w:rPr>
                <w:sz w:val="20"/>
                <w:szCs w:val="20"/>
              </w:rPr>
            </w:pPr>
            <w:r>
              <w:rPr>
                <w:color w:val="000000"/>
                <w:spacing w:val="0"/>
                <w:w w:val="100"/>
                <w:position w:val="0"/>
                <w:sz w:val="20"/>
                <w:szCs w:val="20"/>
              </w:rPr>
              <w:t>截止报告 期末累计 实现的效</w:t>
            </w:r>
          </w:p>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是否达</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到预计</w:t>
            </w:r>
          </w:p>
          <w:p>
            <w:pPr>
              <w:pStyle w:val="Style2"/>
              <w:keepNext w:val="0"/>
              <w:keepLines w:val="0"/>
              <w:widowControl w:val="0"/>
              <w:shd w:val="clear" w:color="auto" w:fill="auto"/>
              <w:bidi w:val="0"/>
              <w:spacing w:before="0" w:after="80" w:line="240" w:lineRule="auto"/>
              <w:ind w:left="0" w:right="140" w:firstLine="0"/>
              <w:jc w:val="right"/>
              <w:rPr>
                <w:sz w:val="20"/>
                <w:szCs w:val="20"/>
              </w:rPr>
            </w:pPr>
            <w:r>
              <w:rPr>
                <w:color w:val="000000"/>
                <w:spacing w:val="0"/>
                <w:w w:val="100"/>
                <w:position w:val="0"/>
                <w:sz w:val="20"/>
                <w:szCs w:val="20"/>
              </w:rPr>
              <w:t>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项目可行</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性是否发</w:t>
            </w:r>
          </w:p>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生重大变 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承诺投资项目</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位高速）</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USBKEY</w:t>
            </w:r>
            <w:r>
              <w:rPr>
                <w:color w:val="000000"/>
                <w:spacing w:val="0"/>
                <w:w w:val="100"/>
                <w:position w:val="0"/>
                <w:sz w:val="20"/>
                <w:szCs w:val="20"/>
              </w:rPr>
              <w:t>安全</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主控芯片及解 决方案技术改 造项目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8,036.00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8,036.00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8,284.34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2,795.03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32,465.29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位高速） 安全存储芯片 及解决方案技 术改造项目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10,170.00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9,064.60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9,064.60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基于射频技术</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的安全移动支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15,346.00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15,346.00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15,496.77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7,695.19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421"/>
        <w:gridCol w:w="730"/>
        <w:gridCol w:w="974"/>
        <w:gridCol w:w="994"/>
        <w:gridCol w:w="883"/>
        <w:gridCol w:w="955"/>
        <w:gridCol w:w="902"/>
        <w:gridCol w:w="725"/>
        <w:gridCol w:w="893"/>
        <w:gridCol w:w="898"/>
        <w:gridCol w:w="730"/>
        <w:gridCol w:w="97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付芯片及解决</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方案的研发和</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承诺投资项目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33,552.00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32,446.60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32,845.71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40,160.48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超募资金投向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可信计算研究 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3,372.30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3,372.30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3,402.81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2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并购支出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设立国民投</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资，进行产业</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20,405.64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25,182.70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123.41%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2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研发及办公大 楼建设项目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568.53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45,909.10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20"/>
              <w:jc w:val="both"/>
              <w:rPr>
                <w:sz w:val="20"/>
                <w:szCs w:val="20"/>
              </w:rPr>
            </w:pPr>
            <w:r>
              <w:rPr>
                <w:color w:val="000000"/>
                <w:spacing w:val="0"/>
                <w:w w:val="100"/>
                <w:position w:val="0"/>
                <w:sz w:val="20"/>
                <w:szCs w:val="2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增资国民科 技，收购斯诺 实业股权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20"/>
              <w:jc w:val="both"/>
              <w:rPr>
                <w:sz w:val="20"/>
                <w:szCs w:val="20"/>
              </w:rPr>
            </w:pPr>
            <w:r>
              <w:rPr>
                <w:color w:val="000000"/>
                <w:spacing w:val="0"/>
                <w:w w:val="100"/>
                <w:position w:val="0"/>
                <w:sz w:val="20"/>
                <w:szCs w:val="2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增资国民投 资，参股华夏 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7,277.00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7,277.00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7,277.00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2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归还银行贷款</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补充流动资金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114,594.36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114,594.36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114,594.36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超募资金投向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257,743.66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228,149.30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2,353.53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232,865.97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291,295.66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260,595.90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265,711.68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40,160.48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20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未达到计划进 度或预计收益 的情况和原因</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（分具体项 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22" w:val="left"/>
              </w:tabs>
              <w:bidi w:val="0"/>
              <w:spacing w:before="0" w:after="4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安全存储项目：安全存储项目在项目实施过程中重点转向和移动支付结合的应用市场，公司移动支付 产品技术及相关产品由于受到金融行业移动支付标准的影响，产品的市场推广受到影响。</w:t>
            </w:r>
          </w:p>
          <w:p>
            <w:pPr>
              <w:pStyle w:val="Style2"/>
              <w:keepNext w:val="0"/>
              <w:keepLines w:val="0"/>
              <w:widowControl w:val="0"/>
              <w:shd w:val="clear" w:color="auto" w:fill="auto"/>
              <w:tabs>
                <w:tab w:pos="322" w:val="left"/>
              </w:tabs>
              <w:bidi w:val="0"/>
              <w:spacing w:before="0" w:after="0" w:line="31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移动支付项目：随着国家对</w:t>
            </w:r>
            <w:r>
              <w:rPr>
                <w:rFonts w:ascii="Times New Roman" w:eastAsia="Times New Roman" w:hAnsi="Times New Roman" w:cs="Times New Roman"/>
                <w:color w:val="000000"/>
                <w:spacing w:val="0"/>
                <w:w w:val="100"/>
                <w:position w:val="0"/>
                <w:sz w:val="20"/>
                <w:szCs w:val="20"/>
              </w:rPr>
              <w:t>RCC</w:t>
            </w:r>
            <w:r>
              <w:rPr>
                <w:color w:val="000000"/>
                <w:spacing w:val="0"/>
                <w:w w:val="100"/>
                <w:position w:val="0"/>
                <w:sz w:val="20"/>
                <w:szCs w:val="20"/>
              </w:rPr>
              <w:t>技术的认可，</w:t>
            </w:r>
            <w:r>
              <w:rPr>
                <w:rFonts w:ascii="Times New Roman" w:eastAsia="Times New Roman" w:hAnsi="Times New Roman" w:cs="Times New Roman"/>
                <w:color w:val="000000"/>
                <w:spacing w:val="0"/>
                <w:w w:val="100"/>
                <w:position w:val="0"/>
                <w:sz w:val="20"/>
                <w:szCs w:val="20"/>
              </w:rPr>
              <w:t>RCC</w:t>
            </w:r>
            <w:r>
              <w:rPr>
                <w:color w:val="000000"/>
                <w:spacing w:val="0"/>
                <w:w w:val="100"/>
                <w:position w:val="0"/>
                <w:sz w:val="20"/>
                <w:szCs w:val="20"/>
              </w:rPr>
              <w:t>技术商用环境的建设逐步得到有效推动，长期看 对</w:t>
            </w:r>
            <w:r>
              <w:rPr>
                <w:rFonts w:ascii="Times New Roman" w:eastAsia="Times New Roman" w:hAnsi="Times New Roman" w:cs="Times New Roman"/>
                <w:color w:val="000000"/>
                <w:spacing w:val="0"/>
                <w:w w:val="100"/>
                <w:position w:val="0"/>
                <w:sz w:val="20"/>
                <w:szCs w:val="20"/>
              </w:rPr>
              <w:t>RCC</w:t>
            </w:r>
            <w:r>
              <w:rPr>
                <w:color w:val="000000"/>
                <w:spacing w:val="0"/>
                <w:w w:val="100"/>
                <w:position w:val="0"/>
                <w:sz w:val="20"/>
                <w:szCs w:val="20"/>
              </w:rPr>
              <w:t>业务发展有积极作用。但受</w:t>
            </w:r>
            <w:r>
              <w:rPr>
                <w:rFonts w:ascii="Times New Roman" w:eastAsia="Times New Roman" w:hAnsi="Times New Roman" w:cs="Times New Roman"/>
                <w:color w:val="000000"/>
                <w:spacing w:val="0"/>
                <w:w w:val="100"/>
                <w:position w:val="0"/>
                <w:sz w:val="20"/>
                <w:szCs w:val="20"/>
              </w:rPr>
              <w:t>RCC</w:t>
            </w:r>
            <w:r>
              <w:rPr>
                <w:color w:val="000000"/>
                <w:spacing w:val="0"/>
                <w:w w:val="100"/>
                <w:position w:val="0"/>
                <w:sz w:val="20"/>
                <w:szCs w:val="20"/>
              </w:rPr>
              <w:t>长期不是金融行业移动支付标准以及诸多其他新兴移动支付技术 应用的影响，</w:t>
            </w:r>
            <w:r>
              <w:rPr>
                <w:rFonts w:ascii="Times New Roman" w:eastAsia="Times New Roman" w:hAnsi="Times New Roman" w:cs="Times New Roman"/>
                <w:color w:val="000000"/>
                <w:spacing w:val="0"/>
                <w:w w:val="100"/>
                <w:position w:val="0"/>
                <w:sz w:val="20"/>
                <w:szCs w:val="20"/>
              </w:rPr>
              <w:t>RCC</w:t>
            </w:r>
            <w:r>
              <w:rPr>
                <w:color w:val="000000"/>
                <w:spacing w:val="0"/>
                <w:w w:val="100"/>
                <w:position w:val="0"/>
                <w:sz w:val="20"/>
                <w:szCs w:val="20"/>
              </w:rPr>
              <w:t>技术的产业基础及市场环境建设尚需不断完善，</w:t>
            </w:r>
            <w:r>
              <w:rPr>
                <w:rFonts w:ascii="Times New Roman" w:eastAsia="Times New Roman" w:hAnsi="Times New Roman" w:cs="Times New Roman"/>
                <w:color w:val="000000"/>
                <w:spacing w:val="0"/>
                <w:w w:val="100"/>
                <w:position w:val="0"/>
                <w:sz w:val="20"/>
                <w:szCs w:val="20"/>
              </w:rPr>
              <w:t>RCC</w:t>
            </w:r>
            <w:r>
              <w:rPr>
                <w:color w:val="000000"/>
                <w:spacing w:val="0"/>
                <w:w w:val="100"/>
                <w:position w:val="0"/>
                <w:sz w:val="20"/>
                <w:szCs w:val="20"/>
              </w:rPr>
              <w:t>移动支付技术逐步进入主流市场 面临很大挑战。</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项目可行性发</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生重大变化的 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超募资金的金 额、用途及使 用进展情况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适用</w:t>
            </w:r>
          </w:p>
        </w:tc>
      </w:tr>
      <w:tr>
        <w:trPr>
          <w:trHeight w:val="725"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国民技术本次发行超额募集资金净额</w:t>
            </w:r>
            <w:r>
              <w:rPr>
                <w:rFonts w:ascii="Times New Roman" w:eastAsia="Times New Roman" w:hAnsi="Times New Roman" w:cs="Times New Roman"/>
                <w:color w:val="000000"/>
                <w:spacing w:val="0"/>
                <w:w w:val="100"/>
                <w:position w:val="0"/>
                <w:sz w:val="20"/>
                <w:szCs w:val="20"/>
              </w:rPr>
              <w:t>196,849.97</w:t>
            </w:r>
            <w:r>
              <w:rPr>
                <w:color w:val="000000"/>
                <w:spacing w:val="0"/>
                <w:w w:val="100"/>
                <w:position w:val="0"/>
                <w:sz w:val="20"/>
                <w:szCs w:val="20"/>
              </w:rPr>
              <w:t>万元，超募资金使用情况如下：</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、经公司第一届董事会第十四次会议审议通过，公司于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日从募集资金专项账户中转出超</w:t>
            </w:r>
          </w:p>
        </w:tc>
      </w:tr>
    </w:tbl>
    <w:p>
      <w:pPr>
        <w:spacing w:lineRule="exact" w:line="1"/>
        <w:rPr>
          <w:sz w:val="2"/>
          <w:szCs w:val="2"/>
        </w:rPr>
      </w:pPr>
      <w:r>
        <w:br w:type="page"/>
      </w:r>
    </w:p>
    <w:tbl>
      <w:tblPr>
        <w:tblOverlap w:val="never"/>
        <w:jc w:val="center"/>
        <w:tblLayout w:type="fixed"/>
      </w:tblPr>
      <w:tblGrid>
        <w:gridCol w:w="1421"/>
        <w:gridCol w:w="9653"/>
      </w:tblGrid>
      <w:tr>
        <w:trPr>
          <w:trHeight w:val="98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募资金</w:t>
            </w:r>
            <w:r>
              <w:rPr>
                <w:rFonts w:ascii="Times New Roman" w:eastAsia="Times New Roman" w:hAnsi="Times New Roman" w:cs="Times New Roman"/>
                <w:color w:val="000000"/>
                <w:spacing w:val="0"/>
                <w:w w:val="100"/>
                <w:position w:val="0"/>
                <w:sz w:val="20"/>
                <w:szCs w:val="20"/>
              </w:rPr>
              <w:t>35,000</w:t>
            </w:r>
            <w:r>
              <w:rPr>
                <w:color w:val="000000"/>
                <w:spacing w:val="0"/>
                <w:w w:val="100"/>
                <w:position w:val="0"/>
                <w:sz w:val="20"/>
                <w:szCs w:val="20"/>
              </w:rPr>
              <w:t>万元，永久补充流动资金；</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经公司第一届董事会第二十二次审议通过，公司拟使用超募资金</w:t>
            </w:r>
            <w:r>
              <w:rPr>
                <w:rFonts w:ascii="Times New Roman" w:eastAsia="Times New Roman" w:hAnsi="Times New Roman" w:cs="Times New Roman"/>
                <w:color w:val="000000"/>
                <w:spacing w:val="0"/>
                <w:w w:val="100"/>
                <w:position w:val="0"/>
                <w:sz w:val="20"/>
                <w:szCs w:val="20"/>
              </w:rPr>
              <w:t>3,372.30</w:t>
            </w:r>
            <w:r>
              <w:rPr>
                <w:color w:val="000000"/>
                <w:spacing w:val="0"/>
                <w:w w:val="100"/>
                <w:position w:val="0"/>
                <w:sz w:val="20"/>
                <w:szCs w:val="20"/>
              </w:rPr>
              <w:t>万元投资可信计算技术研究 项目；截止至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日，已累计投入</w:t>
            </w:r>
            <w:r>
              <w:rPr>
                <w:rFonts w:ascii="Times New Roman" w:eastAsia="Times New Roman" w:hAnsi="Times New Roman" w:cs="Times New Roman"/>
                <w:color w:val="000000"/>
                <w:spacing w:val="0"/>
                <w:w w:val="100"/>
                <w:position w:val="0"/>
                <w:sz w:val="20"/>
                <w:szCs w:val="20"/>
              </w:rPr>
              <w:t>3,402.81</w:t>
            </w:r>
            <w:r>
              <w:rPr>
                <w:color w:val="000000"/>
                <w:spacing w:val="0"/>
                <w:w w:val="100"/>
                <w:position w:val="0"/>
                <w:sz w:val="20"/>
                <w:szCs w:val="20"/>
              </w:rPr>
              <w:t>万元；</w:t>
            </w:r>
          </w:p>
          <w:p>
            <w:pPr>
              <w:pStyle w:val="Style2"/>
              <w:keepNext w:val="0"/>
              <w:keepLines w:val="0"/>
              <w:widowControl w:val="0"/>
              <w:shd w:val="clear" w:color="auto" w:fill="auto"/>
              <w:tabs>
                <w:tab w:pos="322" w:val="left"/>
              </w:tabs>
              <w:bidi w:val="0"/>
              <w:spacing w:before="0" w:after="0" w:line="32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经公司第二届董事会第二次（临时）会议通过，公司于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月使用超募资金</w:t>
            </w:r>
            <w:r>
              <w:rPr>
                <w:rFonts w:ascii="Times New Roman" w:eastAsia="Times New Roman" w:hAnsi="Times New Roman" w:cs="Times New Roman"/>
                <w:color w:val="000000"/>
                <w:spacing w:val="0"/>
                <w:w w:val="100"/>
                <w:position w:val="0"/>
                <w:sz w:val="20"/>
                <w:szCs w:val="20"/>
              </w:rPr>
              <w:t>16,500</w:t>
            </w:r>
            <w:r>
              <w:rPr>
                <w:color w:val="000000"/>
                <w:spacing w:val="0"/>
                <w:w w:val="100"/>
                <w:position w:val="0"/>
                <w:sz w:val="20"/>
                <w:szCs w:val="20"/>
              </w:rPr>
              <w:t>万元，用于 收购深圳市安捷信联科技有限公司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w:t>
            </w:r>
          </w:p>
          <w:p>
            <w:pPr>
              <w:pStyle w:val="Style2"/>
              <w:keepNext w:val="0"/>
              <w:keepLines w:val="0"/>
              <w:widowControl w:val="0"/>
              <w:shd w:val="clear" w:color="auto" w:fill="auto"/>
              <w:tabs>
                <w:tab w:pos="283" w:val="left"/>
              </w:tabs>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经公司第二届董事会第二十六次会议审议通过，公司于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日和</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日从募集资 金专项账户中转出超募资金共计</w:t>
            </w:r>
            <w:r>
              <w:rPr>
                <w:rFonts w:ascii="Times New Roman" w:eastAsia="Times New Roman" w:hAnsi="Times New Roman" w:cs="Times New Roman"/>
                <w:color w:val="000000"/>
                <w:spacing w:val="0"/>
                <w:w w:val="100"/>
                <w:position w:val="0"/>
                <w:sz w:val="20"/>
                <w:szCs w:val="20"/>
              </w:rPr>
              <w:t>50,000.00</w:t>
            </w:r>
            <w:r>
              <w:rPr>
                <w:color w:val="000000"/>
                <w:spacing w:val="0"/>
                <w:w w:val="100"/>
                <w:position w:val="0"/>
                <w:sz w:val="20"/>
                <w:szCs w:val="20"/>
              </w:rPr>
              <w:t>万元，永久补充流动资金；</w:t>
            </w:r>
          </w:p>
          <w:p>
            <w:pPr>
              <w:pStyle w:val="Style2"/>
              <w:keepNext w:val="0"/>
              <w:keepLines w:val="0"/>
              <w:widowControl w:val="0"/>
              <w:shd w:val="clear" w:color="auto" w:fill="auto"/>
              <w:bidi w:val="0"/>
              <w:spacing w:before="0" w:after="0" w:line="30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经公司第三届董事会第五次会议审议通过，公司使用超募资金</w:t>
            </w:r>
            <w:r>
              <w:rPr>
                <w:rFonts w:ascii="Times New Roman" w:eastAsia="Times New Roman" w:hAnsi="Times New Roman" w:cs="Times New Roman"/>
                <w:color w:val="000000"/>
                <w:spacing w:val="0"/>
                <w:w w:val="100"/>
                <w:position w:val="0"/>
                <w:sz w:val="20"/>
                <w:szCs w:val="20"/>
              </w:rPr>
              <w:t>50,000</w:t>
            </w:r>
            <w:r>
              <w:rPr>
                <w:color w:val="000000"/>
                <w:spacing w:val="0"/>
                <w:w w:val="100"/>
                <w:position w:val="0"/>
                <w:sz w:val="20"/>
                <w:szCs w:val="20"/>
              </w:rPr>
              <w:t>万元投资设立全资子公司国民投 资，公司已足额认缴</w:t>
            </w:r>
            <w:r>
              <w:rPr>
                <w:rFonts w:ascii="Times New Roman" w:eastAsia="Times New Roman" w:hAnsi="Times New Roman" w:cs="Times New Roman"/>
                <w:color w:val="000000"/>
                <w:spacing w:val="0"/>
                <w:w w:val="100"/>
                <w:position w:val="0"/>
                <w:sz w:val="20"/>
                <w:szCs w:val="20"/>
              </w:rPr>
              <w:t>50,000.00</w:t>
            </w:r>
            <w:r>
              <w:rPr>
                <w:color w:val="000000"/>
                <w:spacing w:val="0"/>
                <w:w w:val="100"/>
                <w:position w:val="0"/>
                <w:sz w:val="20"/>
                <w:szCs w:val="20"/>
              </w:rPr>
              <w:t>万元注册资本，存放于募集资金专项账户；</w:t>
            </w:r>
          </w:p>
          <w:p>
            <w:pPr>
              <w:pStyle w:val="Style2"/>
              <w:keepNext w:val="0"/>
              <w:keepLines w:val="0"/>
              <w:widowControl w:val="0"/>
              <w:shd w:val="clear" w:color="auto" w:fill="auto"/>
              <w:bidi w:val="0"/>
              <w:spacing w:before="0" w:after="0" w:line="30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经公司第三届董事会第十次会议审议通过，公司使用超募资金</w:t>
            </w:r>
            <w:r>
              <w:rPr>
                <w:rFonts w:ascii="Times New Roman" w:eastAsia="Times New Roman" w:hAnsi="Times New Roman" w:cs="Times New Roman"/>
                <w:color w:val="000000"/>
                <w:spacing w:val="0"/>
                <w:w w:val="100"/>
                <w:position w:val="0"/>
                <w:sz w:val="20"/>
                <w:szCs w:val="20"/>
              </w:rPr>
              <w:t>46,000</w:t>
            </w:r>
            <w:r>
              <w:rPr>
                <w:color w:val="000000"/>
                <w:spacing w:val="0"/>
                <w:w w:val="100"/>
                <w:position w:val="0"/>
                <w:sz w:val="20"/>
                <w:szCs w:val="20"/>
              </w:rPr>
              <w:t>万元投资研发和办公大楼建设项 目，截止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日已支付</w:t>
            </w:r>
            <w:r>
              <w:rPr>
                <w:rFonts w:ascii="Times New Roman" w:eastAsia="Times New Roman" w:hAnsi="Times New Roman" w:cs="Times New Roman"/>
                <w:color w:val="000000"/>
                <w:spacing w:val="0"/>
                <w:w w:val="100"/>
                <w:position w:val="0"/>
                <w:sz w:val="20"/>
                <w:szCs w:val="20"/>
              </w:rPr>
              <w:t>45,909.10</w:t>
            </w:r>
            <w:r>
              <w:rPr>
                <w:color w:val="000000"/>
                <w:spacing w:val="0"/>
                <w:w w:val="100"/>
                <w:position w:val="0"/>
                <w:sz w:val="20"/>
                <w:szCs w:val="20"/>
              </w:rPr>
              <w:t>万元；</w:t>
            </w:r>
          </w:p>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经公司第三届董事会第二十三次会议审议通过，同意国民投资使用超募资金</w:t>
            </w:r>
            <w:r>
              <w:rPr>
                <w:rFonts w:ascii="Times New Roman" w:eastAsia="Times New Roman" w:hAnsi="Times New Roman" w:cs="Times New Roman"/>
                <w:color w:val="000000"/>
                <w:spacing w:val="0"/>
                <w:w w:val="100"/>
                <w:position w:val="0"/>
                <w:sz w:val="20"/>
                <w:szCs w:val="20"/>
              </w:rPr>
              <w:t>35,000.00</w:t>
            </w:r>
            <w:r>
              <w:rPr>
                <w:color w:val="000000"/>
                <w:spacing w:val="0"/>
                <w:w w:val="100"/>
                <w:position w:val="0"/>
                <w:sz w:val="20"/>
                <w:szCs w:val="20"/>
              </w:rPr>
              <w:t>万元设立合资公 司，占股比例为</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，公司从账户中转出</w:t>
            </w:r>
            <w:r>
              <w:rPr>
                <w:rFonts w:ascii="Times New Roman" w:eastAsia="Times New Roman" w:hAnsi="Times New Roman" w:cs="Times New Roman"/>
                <w:color w:val="000000"/>
                <w:spacing w:val="0"/>
                <w:w w:val="100"/>
                <w:position w:val="0"/>
                <w:sz w:val="20"/>
                <w:szCs w:val="20"/>
              </w:rPr>
              <w:t>12,000.00</w:t>
            </w:r>
            <w:r>
              <w:rPr>
                <w:color w:val="000000"/>
                <w:spacing w:val="0"/>
                <w:w w:val="100"/>
                <w:position w:val="0"/>
                <w:sz w:val="20"/>
                <w:szCs w:val="20"/>
              </w:rPr>
              <w:t>万元，用于支付首期部分投资款。经公司第三届董事 会第二十八次会议审议通过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，同意国民投资对成都国民天成半导体产业发展有限公司的出资额减少至 </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万元（股权比例</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）；经公司第四届董事会第七次会议审议通过，同意国民投资撤销对成都国民天 成半导体产业发展有限公司投资</w:t>
            </w:r>
            <w:r>
              <w:rPr>
                <w:color w:val="000000"/>
                <w:spacing w:val="0"/>
                <w:w w:val="100"/>
                <w:position w:val="0"/>
                <w:sz w:val="20"/>
                <w:szCs w:val="20"/>
              </w:rPr>
              <w:t>，</w:t>
            </w:r>
            <w:r>
              <w:rPr>
                <w:color w:val="000000"/>
                <w:spacing w:val="0"/>
                <w:w w:val="100"/>
                <w:position w:val="0"/>
                <w:sz w:val="20"/>
                <w:szCs w:val="20"/>
              </w:rPr>
              <w:t>原投资款已收回。</w:t>
            </w:r>
          </w:p>
          <w:p>
            <w:pPr>
              <w:pStyle w:val="Style2"/>
              <w:keepNext w:val="0"/>
              <w:keepLines w:val="0"/>
              <w:widowControl w:val="0"/>
              <w:shd w:val="clear" w:color="auto" w:fill="auto"/>
              <w:tabs>
                <w:tab w:pos="322" w:val="left"/>
              </w:tabs>
              <w:bidi w:val="0"/>
              <w:spacing w:before="0" w:after="0" w:line="31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经公司第三届董事会第二十七次会议审议通过，同意国民投资参与收购深圳市斯诺实业发展股份有限 公司合计</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的股权，股权收购款为合计人民币</w:t>
            </w:r>
            <w:r>
              <w:rPr>
                <w:rFonts w:ascii="Times New Roman" w:eastAsia="Times New Roman" w:hAnsi="Times New Roman" w:cs="Times New Roman"/>
                <w:color w:val="000000"/>
                <w:spacing w:val="0"/>
                <w:w w:val="100"/>
                <w:position w:val="0"/>
                <w:sz w:val="20"/>
                <w:szCs w:val="20"/>
              </w:rPr>
              <w:t>41,692.3077</w:t>
            </w:r>
            <w:r>
              <w:rPr>
                <w:color w:val="000000"/>
                <w:spacing w:val="0"/>
                <w:w w:val="100"/>
                <w:position w:val="0"/>
                <w:sz w:val="20"/>
                <w:szCs w:val="20"/>
              </w:rPr>
              <w:t xml:space="preserve">万元。经公司第四届董事会第十三次会议及 </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年第一次股东大会审议通过，同意调整股权收购价款为</w:t>
            </w:r>
            <w:r>
              <w:rPr>
                <w:rFonts w:ascii="Times New Roman" w:eastAsia="Times New Roman" w:hAnsi="Times New Roman" w:cs="Times New Roman"/>
                <w:color w:val="000000"/>
                <w:spacing w:val="0"/>
                <w:w w:val="100"/>
                <w:position w:val="0"/>
                <w:sz w:val="20"/>
                <w:szCs w:val="20"/>
              </w:rPr>
              <w:t>19,259.3983</w:t>
            </w:r>
            <w:r>
              <w:rPr>
                <w:color w:val="000000"/>
                <w:spacing w:val="0"/>
                <w:w w:val="100"/>
                <w:position w:val="0"/>
                <w:sz w:val="20"/>
                <w:szCs w:val="20"/>
              </w:rPr>
              <w:t>万元，截止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 已支付完毕。</w:t>
            </w:r>
          </w:p>
          <w:p>
            <w:pPr>
              <w:pStyle w:val="Style2"/>
              <w:keepNext w:val="0"/>
              <w:keepLines w:val="0"/>
              <w:widowControl w:val="0"/>
              <w:shd w:val="clear" w:color="auto" w:fill="auto"/>
              <w:tabs>
                <w:tab w:pos="322" w:val="left"/>
              </w:tabs>
              <w:bidi w:val="0"/>
              <w:spacing w:before="0" w:after="0" w:line="31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tab/>
              <w:t>经公司第三届董事会第二十七次会议审议通过，同意公司使用超额募集资金中的</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亿元向全资子公司 深圳市国民电子商务有限公司增资，用于收购深圳市斯诺实业发展有限公司的部分股权。报告期内，国民 科技已支付斯诺实业股权收购款</w:t>
            </w:r>
            <w:r>
              <w:rPr>
                <w:rFonts w:ascii="Times New Roman" w:eastAsia="Times New Roman" w:hAnsi="Times New Roman" w:cs="Times New Roman"/>
                <w:color w:val="000000"/>
                <w:spacing w:val="0"/>
                <w:w w:val="100"/>
                <w:position w:val="0"/>
                <w:sz w:val="20"/>
                <w:szCs w:val="20"/>
              </w:rPr>
              <w:t>20,000</w:t>
            </w:r>
            <w:r>
              <w:rPr>
                <w:color w:val="000000"/>
                <w:spacing w:val="0"/>
                <w:w w:val="100"/>
                <w:position w:val="0"/>
                <w:sz w:val="20"/>
                <w:szCs w:val="20"/>
              </w:rPr>
              <w:t>万元。</w:t>
            </w:r>
          </w:p>
          <w:p>
            <w:pPr>
              <w:pStyle w:val="Style2"/>
              <w:keepNext w:val="0"/>
              <w:keepLines w:val="0"/>
              <w:widowControl w:val="0"/>
              <w:shd w:val="clear" w:color="auto" w:fill="auto"/>
              <w:tabs>
                <w:tab w:pos="403" w:val="left"/>
              </w:tabs>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tab/>
              <w:t>经公司第四届董事会第二次会议审议通过，同意公司使用剩余未设定用途的超募资金约</w:t>
            </w:r>
            <w:r>
              <w:rPr>
                <w:rFonts w:ascii="Times New Roman" w:eastAsia="Times New Roman" w:hAnsi="Times New Roman" w:cs="Times New Roman"/>
                <w:color w:val="000000"/>
                <w:spacing w:val="0"/>
                <w:w w:val="100"/>
                <w:position w:val="0"/>
                <w:sz w:val="20"/>
                <w:szCs w:val="20"/>
              </w:rPr>
              <w:t>7,277</w:t>
            </w:r>
            <w:r>
              <w:rPr>
                <w:color w:val="000000"/>
                <w:spacing w:val="0"/>
                <w:w w:val="100"/>
                <w:position w:val="0"/>
                <w:sz w:val="20"/>
                <w:szCs w:val="20"/>
              </w:rPr>
              <w:t>万元增 资国民投资，国民投资使用合计</w:t>
            </w:r>
            <w:r>
              <w:rPr>
                <w:rFonts w:ascii="Times New Roman" w:eastAsia="Times New Roman" w:hAnsi="Times New Roman" w:cs="Times New Roman"/>
                <w:color w:val="000000"/>
                <w:spacing w:val="0"/>
                <w:w w:val="100"/>
                <w:position w:val="0"/>
                <w:sz w:val="20"/>
                <w:szCs w:val="20"/>
              </w:rPr>
              <w:t>14,000</w:t>
            </w:r>
            <w:r>
              <w:rPr>
                <w:color w:val="000000"/>
                <w:spacing w:val="0"/>
                <w:w w:val="100"/>
                <w:position w:val="0"/>
                <w:sz w:val="20"/>
                <w:szCs w:val="20"/>
              </w:rPr>
              <w:t>万元资金增资参股华夏芯（北京）通用处理器技术有限公司，占 华夏芯增资后的股权比例</w:t>
            </w:r>
            <w:r>
              <w:rPr>
                <w:rFonts w:ascii="Times New Roman" w:eastAsia="Times New Roman" w:hAnsi="Times New Roman" w:cs="Times New Roman"/>
                <w:color w:val="000000"/>
                <w:spacing w:val="0"/>
                <w:w w:val="100"/>
                <w:position w:val="0"/>
                <w:sz w:val="20"/>
                <w:szCs w:val="20"/>
              </w:rPr>
              <w:t>21.37%</w:t>
            </w:r>
            <w:r>
              <w:rPr>
                <w:color w:val="000000"/>
                <w:spacing w:val="0"/>
                <w:w w:val="100"/>
                <w:position w:val="0"/>
                <w:sz w:val="20"/>
                <w:szCs w:val="20"/>
              </w:rPr>
              <w:t>。报告期内，国民投资已支全部股权投资款。</w:t>
            </w:r>
          </w:p>
          <w:p>
            <w:pPr>
              <w:pStyle w:val="Style2"/>
              <w:keepNext w:val="0"/>
              <w:keepLines w:val="0"/>
              <w:widowControl w:val="0"/>
              <w:shd w:val="clear" w:color="auto" w:fill="auto"/>
              <w:tabs>
                <w:tab w:pos="350" w:val="left"/>
              </w:tabs>
              <w:bidi w:val="0"/>
              <w:spacing w:before="0" w:after="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tab/>
              <w:t>经公司第四届董事会第十三次会议审议通过，同意公司减少对国民投资产业布局的投入金额</w:t>
            </w:r>
            <w:r>
              <w:rPr>
                <w:rFonts w:ascii="Times New Roman" w:eastAsia="Times New Roman" w:hAnsi="Times New Roman" w:cs="Times New Roman"/>
                <w:color w:val="000000"/>
                <w:spacing w:val="0"/>
                <w:w w:val="100"/>
                <w:position w:val="0"/>
                <w:sz w:val="20"/>
                <w:szCs w:val="20"/>
              </w:rPr>
              <w:t xml:space="preserve">29,594.36 </w:t>
            </w:r>
            <w:r>
              <w:rPr>
                <w:color w:val="000000"/>
                <w:spacing w:val="0"/>
                <w:w w:val="100"/>
                <w:position w:val="0"/>
                <w:sz w:val="20"/>
                <w:szCs w:val="20"/>
              </w:rPr>
              <w:t>万元，相应国民投资减资</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万元，作为公司永久性流动资金的补充。</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剩余超募资金（包含利息收入）</w:t>
            </w:r>
            <w:r>
              <w:rPr>
                <w:rFonts w:ascii="Times New Roman" w:eastAsia="Times New Roman" w:hAnsi="Times New Roman" w:cs="Times New Roman"/>
                <w:color w:val="000000"/>
                <w:spacing w:val="0"/>
                <w:w w:val="100"/>
                <w:position w:val="0"/>
                <w:sz w:val="20"/>
                <w:szCs w:val="20"/>
              </w:rPr>
              <w:t>611.03</w:t>
            </w:r>
            <w:r>
              <w:rPr>
                <w:color w:val="000000"/>
                <w:spacing w:val="0"/>
                <w:w w:val="100"/>
                <w:position w:val="0"/>
                <w:sz w:val="20"/>
                <w:szCs w:val="20"/>
              </w:rPr>
              <w:t>万元用于公司非募投项目研发平台的运行，截至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日，余额为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募集资金投资 项目实施地点 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募集资金投资 项目实施方式 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以前年度发生</w:t>
            </w:r>
          </w:p>
        </w:tc>
      </w:tr>
      <w:tr>
        <w:trPr>
          <w:trHeight w:val="224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、经公司第三届董事会第十六次会议和</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年年度股东大会审议通过《关于部分募集资金投资项目变更 实施方式、调整投资总额并将剩余募集资金用于公司研发平台运行项目的议案》，公司募集资金投资项目 “（</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位高速）安全存储芯片及解决方案技术改造项目”中，原规划在深圳市高新技术产业园区内或者 其他</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企业较为集中的地段购置办公场所实施根据项目实施进展情况并结合公司实际发展情况，同意将 办公场地房屋购置方式变更为房屋租赁方式，在上述实施方式变更的基础上，根据公司实际发展现状以及 本项目实施的实际情况，将投资总额由原来的</w:t>
            </w:r>
            <w:r>
              <w:rPr>
                <w:rFonts w:ascii="Times New Roman" w:eastAsia="Times New Roman" w:hAnsi="Times New Roman" w:cs="Times New Roman"/>
                <w:color w:val="000000"/>
                <w:spacing w:val="0"/>
                <w:w w:val="100"/>
                <w:position w:val="0"/>
                <w:sz w:val="20"/>
                <w:szCs w:val="20"/>
              </w:rPr>
              <w:t>10,170.00</w:t>
            </w:r>
            <w:r>
              <w:rPr>
                <w:color w:val="000000"/>
                <w:spacing w:val="0"/>
                <w:w w:val="100"/>
                <w:position w:val="0"/>
                <w:sz w:val="20"/>
                <w:szCs w:val="20"/>
              </w:rPr>
              <w:t>万元调整为</w:t>
            </w:r>
            <w:r>
              <w:rPr>
                <w:rFonts w:ascii="Times New Roman" w:eastAsia="Times New Roman" w:hAnsi="Times New Roman" w:cs="Times New Roman"/>
                <w:color w:val="000000"/>
                <w:spacing w:val="0"/>
                <w:w w:val="100"/>
                <w:position w:val="0"/>
                <w:sz w:val="20"/>
                <w:szCs w:val="20"/>
              </w:rPr>
              <w:t>9,064.60</w:t>
            </w:r>
            <w:r>
              <w:rPr>
                <w:color w:val="000000"/>
                <w:spacing w:val="0"/>
                <w:w w:val="100"/>
                <w:position w:val="0"/>
                <w:sz w:val="20"/>
                <w:szCs w:val="20"/>
              </w:rPr>
              <w:t>万元。同时根据募投项目账 户的实际剩余情况，将剩余募集资金约</w:t>
            </w:r>
            <w:r>
              <w:rPr>
                <w:rFonts w:ascii="Times New Roman" w:eastAsia="Times New Roman" w:hAnsi="Times New Roman" w:cs="Times New Roman"/>
                <w:color w:val="000000"/>
                <w:spacing w:val="0"/>
                <w:w w:val="100"/>
                <w:position w:val="0"/>
                <w:sz w:val="20"/>
                <w:szCs w:val="20"/>
              </w:rPr>
              <w:t>1,648.73</w:t>
            </w:r>
            <w:r>
              <w:rPr>
                <w:color w:val="000000"/>
                <w:spacing w:val="0"/>
                <w:w w:val="100"/>
                <w:position w:val="0"/>
                <w:sz w:val="20"/>
                <w:szCs w:val="20"/>
              </w:rPr>
              <w:t>万元（含利息收入，以最终银行结算金额为准）用于公司</w:t>
            </w:r>
          </w:p>
        </w:tc>
      </w:tr>
    </w:tbl>
    <w:p>
      <w:pPr>
        <w:spacing w:lineRule="exact" w:line="1"/>
        <w:rPr>
          <w:sz w:val="2"/>
          <w:szCs w:val="2"/>
        </w:rPr>
      </w:pPr>
      <w:r>
        <w:br w:type="page"/>
      </w:r>
    </w:p>
    <w:tbl>
      <w:tblPr>
        <w:tblOverlap w:val="never"/>
        <w:jc w:val="center"/>
        <w:tblLayout w:type="fixed"/>
      </w:tblPr>
      <w:tblGrid>
        <w:gridCol w:w="1421"/>
        <w:gridCol w:w="9653"/>
      </w:tblGrid>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rPr>
                <w:sz w:val="20"/>
                <w:szCs w:val="20"/>
              </w:rPr>
            </w:pPr>
            <w:r>
              <w:rPr>
                <w:color w:val="000000"/>
                <w:spacing w:val="0"/>
                <w:w w:val="100"/>
                <w:position w:val="0"/>
                <w:sz w:val="20"/>
                <w:szCs w:val="20"/>
              </w:rPr>
              <w:t>研发平台运行项目。</w:t>
            </w:r>
          </w:p>
          <w:p>
            <w:pPr>
              <w:pStyle w:val="Style2"/>
              <w:keepNext w:val="0"/>
              <w:keepLines w:val="0"/>
              <w:widowControl w:val="0"/>
              <w:shd w:val="clear" w:color="auto" w:fill="auto"/>
              <w:bidi w:val="0"/>
              <w:spacing w:before="0" w:after="0" w:line="31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、经公司第四届董事会第十三次会议及</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年第一次股东大会审议通过，同意调整国民投资收购斯诺股 权对价款，调整后国民投资未设定用途的超募资金</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 xml:space="preserve">万元，减少对国民投资产业布局的投入金额 </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万元，相应国民投资减资</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万元，退回超募资金将永久补充公司流动资金。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募集资金投资 项目先期投入 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适用</w:t>
            </w:r>
          </w:p>
        </w:tc>
      </w:tr>
      <w:tr>
        <w:trPr>
          <w:trHeight w:val="262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17" w:val="left"/>
              </w:tabs>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截至</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日募集资金到账前，公司以自筹资金预先投入募集资金投资项目</w:t>
            </w:r>
            <w:r>
              <w:rPr>
                <w:rFonts w:ascii="Times New Roman" w:eastAsia="Times New Roman" w:hAnsi="Times New Roman" w:cs="Times New Roman"/>
                <w:color w:val="000000"/>
                <w:spacing w:val="0"/>
                <w:w w:val="100"/>
                <w:position w:val="0"/>
                <w:sz w:val="20"/>
                <w:szCs w:val="20"/>
              </w:rPr>
              <w:t>3,833.11</w:t>
            </w:r>
            <w:r>
              <w:rPr>
                <w:color w:val="000000"/>
                <w:spacing w:val="0"/>
                <w:w w:val="100"/>
                <w:position w:val="0"/>
                <w:sz w:val="20"/>
                <w:szCs w:val="20"/>
              </w:rPr>
              <w:t>万元， 经利安达会计师事务所有限责任公司出具《关于国民技术股份有限公司以自筹资金预先投入募投项目的专 项审核报告》(利安达专字</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1453</w:t>
            </w:r>
            <w:r>
              <w:rPr>
                <w:color w:val="000000"/>
                <w:spacing w:val="0"/>
                <w:w w:val="100"/>
                <w:position w:val="0"/>
                <w:sz w:val="20"/>
                <w:szCs w:val="20"/>
              </w:rPr>
              <w:t>号)确认，置换资金已从募集资金专户转出。</w:t>
            </w:r>
          </w:p>
          <w:p>
            <w:pPr>
              <w:pStyle w:val="Style2"/>
              <w:keepNext w:val="0"/>
              <w:keepLines w:val="0"/>
              <w:widowControl w:val="0"/>
              <w:shd w:val="clear" w:color="auto" w:fill="auto"/>
              <w:tabs>
                <w:tab w:pos="259" w:val="left"/>
              </w:tabs>
              <w:bidi w:val="0"/>
              <w:spacing w:before="0" w:after="0" w:line="31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日，公司以自筹资金预先投入研发及办公大楼建设项目的实际投资金额为</w:t>
            </w:r>
            <w:r>
              <w:rPr>
                <w:rFonts w:ascii="Times New Roman" w:eastAsia="Times New Roman" w:hAnsi="Times New Roman" w:cs="Times New Roman"/>
                <w:color w:val="000000"/>
                <w:spacing w:val="0"/>
                <w:w w:val="100"/>
                <w:position w:val="0"/>
                <w:sz w:val="20"/>
                <w:szCs w:val="20"/>
              </w:rPr>
              <w:t xml:space="preserve">9,288.56 </w:t>
            </w:r>
            <w:r>
              <w:rPr>
                <w:color w:val="000000"/>
                <w:spacing w:val="0"/>
                <w:w w:val="100"/>
                <w:position w:val="0"/>
                <w:sz w:val="20"/>
                <w:szCs w:val="20"/>
              </w:rPr>
              <w:t>万元。大信会计师事务所(特殊普通合伙)出具了《关于国民技术股份有限公司以自筹资金预先投入超募 资金投资项目的情况的审核报告》(大信专审字</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22-00015</w:t>
            </w:r>
            <w:r>
              <w:rPr>
                <w:color w:val="000000"/>
                <w:spacing w:val="0"/>
                <w:w w:val="100"/>
                <w:position w:val="0"/>
                <w:sz w:val="20"/>
                <w:szCs w:val="20"/>
              </w:rPr>
              <w:t>号)。经第三届董事会第十一次会议审议 通过并经安信证券审核同意，公司使用超募资金</w:t>
            </w:r>
            <w:r>
              <w:rPr>
                <w:rFonts w:ascii="Times New Roman" w:eastAsia="Times New Roman" w:hAnsi="Times New Roman" w:cs="Times New Roman"/>
                <w:color w:val="000000"/>
                <w:spacing w:val="0"/>
                <w:w w:val="100"/>
                <w:position w:val="0"/>
                <w:sz w:val="20"/>
                <w:szCs w:val="20"/>
              </w:rPr>
              <w:t>9,288.56</w:t>
            </w:r>
            <w:r>
              <w:rPr>
                <w:color w:val="000000"/>
                <w:spacing w:val="0"/>
                <w:w w:val="100"/>
                <w:position w:val="0"/>
                <w:sz w:val="20"/>
                <w:szCs w:val="20"/>
              </w:rPr>
              <w:t>万元置换上述先期投入的自筹资金。置换资金已 从募集资金专户转出。</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用闲置募集资</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金暂时补充流</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项目实施出现</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募集资金结余</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适用</w:t>
            </w:r>
          </w:p>
        </w:tc>
      </w:tr>
      <w:tr>
        <w:trPr>
          <w:trHeight w:val="179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经公司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日召开的第五届董事会第七次会议及第五届监事会第五次会议审议通过，基于公司 募集资金投资项目“可信计算研究项目”已建设完毕，同意公司将其专用账户的实际剩余募集资金约</w:t>
            </w:r>
            <w:r>
              <w:rPr>
                <w:rFonts w:ascii="Times New Roman" w:eastAsia="Times New Roman" w:hAnsi="Times New Roman" w:cs="Times New Roman"/>
                <w:color w:val="000000"/>
                <w:spacing w:val="0"/>
                <w:w w:val="100"/>
                <w:position w:val="0"/>
                <w:sz w:val="20"/>
                <w:szCs w:val="20"/>
              </w:rPr>
              <w:t xml:space="preserve">256.15 </w:t>
            </w:r>
            <w:r>
              <w:rPr>
                <w:color w:val="000000"/>
                <w:spacing w:val="0"/>
                <w:w w:val="100"/>
                <w:position w:val="0"/>
                <w:sz w:val="20"/>
                <w:szCs w:val="20"/>
              </w:rPr>
              <w:t>万元(含利息收入)，用于公司非募投项目研发平台的运行。</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基于公司募集资金投资项目均已建设完毕，其节余未指定用途募集资金</w:t>
            </w:r>
            <w:r>
              <w:rPr>
                <w:rFonts w:ascii="Times New Roman" w:eastAsia="Times New Roman" w:hAnsi="Times New Roman" w:cs="Times New Roman"/>
                <w:color w:val="000000"/>
                <w:spacing w:val="0"/>
                <w:w w:val="100"/>
                <w:position w:val="0"/>
                <w:sz w:val="20"/>
                <w:szCs w:val="20"/>
              </w:rPr>
              <w:t>354.88</w:t>
            </w:r>
            <w:r>
              <w:rPr>
                <w:color w:val="000000"/>
                <w:spacing w:val="0"/>
                <w:w w:val="100"/>
                <w:position w:val="0"/>
                <w:sz w:val="20"/>
                <w:szCs w:val="20"/>
              </w:rPr>
              <w:t>万元(含利息收入)，报告 期内均用于公司非募投项目研发平台的运行。</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尚未使用的募</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集资金用途及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日，本公司募集资金账户余额为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募集资金使用 及披露中存在 的问题或其他</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bl>
    <w:p>
      <w:pPr>
        <w:pStyle w:val="Style30"/>
        <w:keepNext w:val="0"/>
        <w:keepLines w:val="0"/>
        <w:widowControl w:val="0"/>
        <w:shd w:val="clear" w:color="auto" w:fill="auto"/>
        <w:bidi w:val="0"/>
        <w:spacing w:before="0" w:after="0" w:line="240" w:lineRule="auto"/>
        <w:ind w:left="691" w:right="0" w:firstLine="0"/>
        <w:jc w:val="left"/>
      </w:pPr>
      <w:r>
        <w:rPr>
          <w:b/>
          <w:bCs/>
          <w:color w:val="000000"/>
          <w:spacing w:val="0"/>
          <w:w w:val="100"/>
          <w:position w:val="0"/>
        </w:rPr>
        <w:t>募集资金变更项目情况</w:t>
      </w:r>
    </w:p>
    <w:p>
      <w:pPr>
        <w:widowControl w:val="0"/>
        <w:spacing w:after="419" w:line="1" w:lineRule="exact"/>
      </w:pPr>
    </w:p>
    <w:p>
      <w:pPr>
        <w:pStyle w:val="Style13"/>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477" w:right="0" w:firstLine="0"/>
        <w:jc w:val="lef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变更后的 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对应的原</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sz w:val="20"/>
                <w:szCs w:val="20"/>
              </w:rPr>
              <w:t>变更后项 目拟投入 募集资金 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本报告期 实际投入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both"/>
              <w:rPr>
                <w:sz w:val="20"/>
                <w:szCs w:val="20"/>
              </w:rPr>
            </w:pPr>
            <w:r>
              <w:rPr>
                <w:color w:val="000000"/>
                <w:spacing w:val="0"/>
                <w:w w:val="100"/>
                <w:position w:val="0"/>
                <w:sz w:val="20"/>
                <w:szCs w:val="20"/>
              </w:rPr>
              <w:t>截至期末 实际累计 投入金额</w:t>
            </w:r>
          </w:p>
          <w:p>
            <w:pPr>
              <w:pStyle w:val="Style2"/>
              <w:keepNext w:val="0"/>
              <w:keepLines w:val="0"/>
              <w:widowControl w:val="0"/>
              <w:shd w:val="clear" w:color="auto" w:fill="auto"/>
              <w:bidi w:val="0"/>
              <w:spacing w:before="0" w:after="0" w:line="298"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pPr>
            <w:r>
              <w:rPr>
                <w:color w:val="000000"/>
                <w:spacing w:val="0"/>
                <w:w w:val="100"/>
                <w:position w:val="0"/>
                <w:sz w:val="20"/>
                <w:szCs w:val="20"/>
              </w:rPr>
              <w:t xml:space="preserve">截至期末 投资进度 </w:t>
            </w:r>
            <w:r>
              <w:rPr>
                <w:rFonts w:ascii="Times New Roman" w:eastAsia="Times New Roman" w:hAnsi="Times New Roman" w:cs="Times New Roman"/>
                <w:color w:val="000000"/>
                <w:spacing w:val="0"/>
                <w:w w:val="100"/>
                <w:position w:val="0"/>
              </w:rPr>
              <w:t>(3)=(2)/(1 )</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项目达到</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预定可使</w:t>
            </w:r>
          </w:p>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用状态日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本报告期</w:t>
            </w:r>
          </w:p>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是否达到</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变更后的 项目可行 性是否发 生重大变 化</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32</w:t>
            </w:r>
            <w:r>
              <w:rPr>
                <w:color w:val="000000"/>
                <w:spacing w:val="0"/>
                <w:w w:val="100"/>
                <w:position w:val="0"/>
                <w:sz w:val="20"/>
                <w:szCs w:val="20"/>
              </w:rPr>
              <w:t>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高速）安 全存储芯 片及解决 方案技术 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国民投资 减资资金 永久补充 国民技术 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投资设立 国民投资 作为公司 的投资控 股平台进 行产业布 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29,594.36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29,594.36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31,243.09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31,243.09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一</w:t>
            </w:r>
          </w:p>
        </w:tc>
      </w:tr>
      <w:tr>
        <w:trPr>
          <w:trHeight w:val="512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0"/>
                <w:szCs w:val="20"/>
              </w:rPr>
              <w:t>变更原因、决策程序及信息披 露情况说明</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36" w:val="left"/>
              </w:tabs>
              <w:bidi w:val="0"/>
              <w:spacing w:before="0" w:after="40" w:line="313"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tab/>
              <w:t>经公司第三届董事会第十六次会议和</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年年度股东大会审议通 过《关于部分募集资金投资项目变更实施方式、调整投资总额并将剩 余募集资金用于公司研发平台运行项目的议案》，公司募集资金投资 项目“（</w:t>
            </w:r>
            <w:r>
              <w:rPr>
                <w:rFonts w:ascii="Times New Roman" w:eastAsia="Times New Roman" w:hAnsi="Times New Roman" w:cs="Times New Roman"/>
                <w:color w:val="000000"/>
                <w:spacing w:val="0"/>
                <w:w w:val="100"/>
                <w:position w:val="0"/>
                <w:sz w:val="22"/>
                <w:szCs w:val="22"/>
              </w:rPr>
              <w:t>32</w:t>
            </w:r>
            <w:r>
              <w:rPr>
                <w:color w:val="000000"/>
                <w:spacing w:val="0"/>
                <w:w w:val="100"/>
                <w:position w:val="0"/>
                <w:sz w:val="20"/>
                <w:szCs w:val="20"/>
              </w:rPr>
              <w:t>位高速）安全存储芯片及解决方案技术改造项目”中，原 规划在深圳市高新技术产业园区内或者其他</w:t>
            </w:r>
            <w:r>
              <w:rPr>
                <w:rFonts w:ascii="Times New Roman" w:eastAsia="Times New Roman" w:hAnsi="Times New Roman" w:cs="Times New Roman"/>
                <w:color w:val="000000"/>
                <w:spacing w:val="0"/>
                <w:w w:val="100"/>
                <w:position w:val="0"/>
                <w:sz w:val="22"/>
                <w:szCs w:val="22"/>
              </w:rPr>
              <w:t>IT</w:t>
            </w:r>
            <w:r>
              <w:rPr>
                <w:color w:val="000000"/>
                <w:spacing w:val="0"/>
                <w:w w:val="100"/>
                <w:position w:val="0"/>
                <w:sz w:val="20"/>
                <w:szCs w:val="20"/>
              </w:rPr>
              <w:t>企业较为集中的地段 购置办公场所实施根据项目实施进展情况并结合公司实际发展情况， 同意将办公场地房屋购置方式变更为房屋租赁方式，在上述实施方式 变更的基础上，根据公司实际发展现状以及本项目实施的实际情况， 将投资总额由原来的</w:t>
            </w:r>
            <w:r>
              <w:rPr>
                <w:rFonts w:ascii="Times New Roman" w:eastAsia="Times New Roman" w:hAnsi="Times New Roman" w:cs="Times New Roman"/>
                <w:color w:val="000000"/>
                <w:spacing w:val="0"/>
                <w:w w:val="100"/>
                <w:position w:val="0"/>
                <w:sz w:val="22"/>
                <w:szCs w:val="22"/>
              </w:rPr>
              <w:t>10,170.00</w:t>
            </w:r>
            <w:r>
              <w:rPr>
                <w:color w:val="000000"/>
                <w:spacing w:val="0"/>
                <w:w w:val="100"/>
                <w:position w:val="0"/>
                <w:sz w:val="20"/>
                <w:szCs w:val="20"/>
              </w:rPr>
              <w:t>万元调整为</w:t>
            </w:r>
            <w:r>
              <w:rPr>
                <w:rFonts w:ascii="Times New Roman" w:eastAsia="Times New Roman" w:hAnsi="Times New Roman" w:cs="Times New Roman"/>
                <w:color w:val="000000"/>
                <w:spacing w:val="0"/>
                <w:w w:val="100"/>
                <w:position w:val="0"/>
                <w:sz w:val="22"/>
                <w:szCs w:val="22"/>
              </w:rPr>
              <w:t>9,064.60</w:t>
            </w:r>
            <w:r>
              <w:rPr>
                <w:color w:val="000000"/>
                <w:spacing w:val="0"/>
                <w:w w:val="100"/>
                <w:position w:val="0"/>
                <w:sz w:val="20"/>
                <w:szCs w:val="20"/>
              </w:rPr>
              <w:t>万元。同时根据募 投项目账户的实际剩余情况，将剩余募集资金约</w:t>
            </w:r>
            <w:r>
              <w:rPr>
                <w:rFonts w:ascii="Times New Roman" w:eastAsia="Times New Roman" w:hAnsi="Times New Roman" w:cs="Times New Roman"/>
                <w:color w:val="000000"/>
                <w:spacing w:val="0"/>
                <w:w w:val="100"/>
                <w:position w:val="0"/>
                <w:sz w:val="22"/>
                <w:szCs w:val="22"/>
              </w:rPr>
              <w:t>1,648.73</w:t>
            </w:r>
            <w:r>
              <w:rPr>
                <w:color w:val="000000"/>
                <w:spacing w:val="0"/>
                <w:w w:val="100"/>
                <w:position w:val="0"/>
                <w:sz w:val="20"/>
                <w:szCs w:val="20"/>
              </w:rPr>
              <w:t>万元（含利 息收入，以最终银行结算金额为准）用于公司研发平台运行项目。</w:t>
            </w:r>
          </w:p>
          <w:p>
            <w:pPr>
              <w:pStyle w:val="Style2"/>
              <w:keepNext w:val="0"/>
              <w:keepLines w:val="0"/>
              <w:widowControl w:val="0"/>
              <w:shd w:val="clear" w:color="auto" w:fill="auto"/>
              <w:tabs>
                <w:tab w:pos="336" w:val="left"/>
              </w:tabs>
              <w:bidi w:val="0"/>
              <w:spacing w:before="0" w:after="0" w:line="316"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经公司第四届董事会第十三次会议及</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年第一次股东大会审议 通过，同意调整国民投资收购斯诺股权对价款，调整后国民投资未设 定用途的超募资金</w:t>
            </w:r>
            <w:r>
              <w:rPr>
                <w:rFonts w:ascii="Times New Roman" w:eastAsia="Times New Roman" w:hAnsi="Times New Roman" w:cs="Times New Roman"/>
                <w:color w:val="000000"/>
                <w:spacing w:val="0"/>
                <w:w w:val="100"/>
                <w:position w:val="0"/>
                <w:sz w:val="22"/>
                <w:szCs w:val="22"/>
              </w:rPr>
              <w:t>29,594.36</w:t>
            </w:r>
            <w:r>
              <w:rPr>
                <w:color w:val="000000"/>
                <w:spacing w:val="0"/>
                <w:w w:val="100"/>
                <w:position w:val="0"/>
                <w:sz w:val="20"/>
                <w:szCs w:val="20"/>
              </w:rPr>
              <w:t>万元，减少对国民投资产业布局的投入金 额</w:t>
            </w:r>
            <w:r>
              <w:rPr>
                <w:rFonts w:ascii="Times New Roman" w:eastAsia="Times New Roman" w:hAnsi="Times New Roman" w:cs="Times New Roman"/>
                <w:color w:val="000000"/>
                <w:spacing w:val="0"/>
                <w:w w:val="100"/>
                <w:position w:val="0"/>
                <w:sz w:val="22"/>
                <w:szCs w:val="22"/>
              </w:rPr>
              <w:t>29,594.36</w:t>
            </w:r>
            <w:r>
              <w:rPr>
                <w:color w:val="000000"/>
                <w:spacing w:val="0"/>
                <w:w w:val="100"/>
                <w:position w:val="0"/>
                <w:sz w:val="20"/>
                <w:szCs w:val="20"/>
              </w:rPr>
              <w:t>万元，相应国民投资减资</w:t>
            </w:r>
            <w:r>
              <w:rPr>
                <w:rFonts w:ascii="Times New Roman" w:eastAsia="Times New Roman" w:hAnsi="Times New Roman" w:cs="Times New Roman"/>
                <w:color w:val="000000"/>
                <w:spacing w:val="0"/>
                <w:w w:val="100"/>
                <w:position w:val="0"/>
                <w:sz w:val="22"/>
                <w:szCs w:val="22"/>
              </w:rPr>
              <w:t>29,594.36</w:t>
            </w:r>
            <w:r>
              <w:rPr>
                <w:color w:val="000000"/>
                <w:spacing w:val="0"/>
                <w:w w:val="100"/>
                <w:position w:val="0"/>
                <w:sz w:val="20"/>
                <w:szCs w:val="20"/>
              </w:rPr>
              <w:t>万元，退回超募资金 将永久补充公司流动资金。</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0"/>
                <w:szCs w:val="20"/>
              </w:rPr>
              <w:t>未达到计划进度或预计收益 的情况和原因</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变更后的项目可行性发生重 大变化的情况说明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bl>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公司报告期不存在募集资金变更项目情况。</w:t>
      </w:r>
    </w:p>
    <w:p>
      <w:pPr>
        <w:widowControl w:val="0"/>
        <w:spacing w:after="399" w:line="1" w:lineRule="exact"/>
      </w:pPr>
    </w:p>
    <w:p>
      <w:pPr>
        <w:pStyle w:val="Style33"/>
        <w:keepNext/>
        <w:keepLines/>
        <w:widowControl w:val="0"/>
        <w:shd w:val="clear" w:color="auto" w:fill="auto"/>
        <w:bidi w:val="0"/>
        <w:spacing w:before="0" w:line="240" w:lineRule="auto"/>
        <w:ind w:left="0" w:right="0" w:firstLine="700"/>
        <w:jc w:val="both"/>
      </w:pPr>
      <w:bookmarkStart w:id="247" w:name="bookmark247"/>
      <w:bookmarkStart w:id="248" w:name="bookmark248"/>
      <w:bookmarkStart w:id="249" w:name="bookmark249"/>
      <w:bookmarkStart w:id="250" w:name="bookmark250"/>
      <w:r>
        <w:rPr>
          <w:color w:val="000000"/>
          <w:spacing w:val="0"/>
          <w:w w:val="100"/>
          <w:position w:val="0"/>
        </w:rPr>
        <w:t>八</w:t>
      </w:r>
      <w:bookmarkEnd w:id="249"/>
      <w:r>
        <w:rPr>
          <w:color w:val="000000"/>
          <w:spacing w:val="0"/>
          <w:w w:val="100"/>
          <w:position w:val="0"/>
        </w:rPr>
        <w:t>、重大资产和股权出售</w:t>
      </w:r>
      <w:bookmarkEnd w:id="247"/>
      <w:bookmarkEnd w:id="248"/>
      <w:bookmarkEnd w:id="250"/>
    </w:p>
    <w:p>
      <w:pPr>
        <w:pStyle w:val="Style37"/>
        <w:keepNext/>
        <w:keepLines/>
        <w:widowControl w:val="0"/>
        <w:shd w:val="clear" w:color="auto" w:fill="auto"/>
        <w:bidi w:val="0"/>
        <w:spacing w:before="0" w:after="400" w:line="240" w:lineRule="auto"/>
        <w:ind w:left="0" w:right="0" w:firstLine="700"/>
        <w:jc w:val="both"/>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、出售重大资产情况</w:t>
      </w:r>
      <w:bookmarkEnd w:id="251"/>
      <w:bookmarkEnd w:id="252"/>
      <w:bookmarkEnd w:id="254"/>
    </w:p>
    <w:p>
      <w:pPr>
        <w:pStyle w:val="Style13"/>
        <w:keepNext w:val="0"/>
        <w:keepLines w:val="0"/>
        <w:widowControl w:val="0"/>
        <w:shd w:val="clear" w:color="auto" w:fill="auto"/>
        <w:bidi w:val="0"/>
        <w:spacing w:before="0" w:after="24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公司报告期未出售重大资产。</w:t>
      </w:r>
      <w:r>
        <w:br w:type="page"/>
      </w:r>
    </w:p>
    <w:p>
      <w:pPr>
        <w:pStyle w:val="Style37"/>
        <w:keepNext/>
        <w:keepLines/>
        <w:widowControl w:val="0"/>
        <w:shd w:val="clear" w:color="auto" w:fill="auto"/>
        <w:bidi w:val="0"/>
        <w:spacing w:before="0" w:after="400" w:line="240" w:lineRule="auto"/>
        <w:ind w:left="0" w:right="0" w:firstLine="68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2</w:t>
      </w:r>
      <w:bookmarkEnd w:id="257"/>
      <w:r>
        <w:rPr>
          <w:color w:val="000000"/>
          <w:spacing w:val="0"/>
          <w:w w:val="100"/>
          <w:position w:val="0"/>
        </w:rPr>
        <w:t>、出售重大股权情况</w:t>
      </w:r>
      <w:bookmarkEnd w:id="255"/>
      <w:bookmarkEnd w:id="256"/>
      <w:bookmarkEnd w:id="258"/>
    </w:p>
    <w:p>
      <w:pPr>
        <w:pStyle w:val="Style30"/>
        <w:keepNext w:val="0"/>
        <w:keepLines w:val="0"/>
        <w:widowControl w:val="0"/>
        <w:shd w:val="clear" w:color="auto" w:fill="auto"/>
        <w:bidi w:val="0"/>
        <w:spacing w:before="0" w:after="0" w:line="240" w:lineRule="auto"/>
        <w:ind w:left="672" w:right="0" w:firstLine="0"/>
        <w:jc w:val="left"/>
        <w:rPr>
          <w:sz w:val="22"/>
          <w:szCs w:val="22"/>
        </w:rPr>
      </w:pPr>
      <w:r>
        <w:rPr>
          <w:color w:val="000000"/>
          <w:spacing w:val="0"/>
          <w:w w:val="100"/>
          <w:position w:val="0"/>
          <w:sz w:val="22"/>
          <w:szCs w:val="22"/>
        </w:rPr>
        <w:t>寸</w:t>
      </w:r>
      <w:r>
        <w:rPr>
          <w:color w:val="000000"/>
          <w:spacing w:val="0"/>
          <w:w w:val="100"/>
          <w:position w:val="0"/>
          <w:sz w:val="22"/>
          <w:szCs w:val="22"/>
        </w:rPr>
        <w:t>适用</w:t>
      </w:r>
      <w:r>
        <w:rPr>
          <w:color w:val="000000"/>
          <w:spacing w:val="0"/>
          <w:w w:val="100"/>
          <w:position w:val="0"/>
          <w:sz w:val="22"/>
          <w:szCs w:val="22"/>
        </w:rPr>
        <w:t>口</w:t>
      </w:r>
      <w:r>
        <w:rPr>
          <w:color w:val="000000"/>
          <w:spacing w:val="0"/>
          <w:w w:val="100"/>
          <w:position w:val="0"/>
          <w:sz w:val="22"/>
          <w:szCs w:val="22"/>
        </w:rPr>
        <w:t>不适用</w:t>
      </w:r>
    </w:p>
    <w:tbl>
      <w:tblPr>
        <w:tblOverlap w:val="never"/>
        <w:jc w:val="center"/>
        <w:tblLayout w:type="fixed"/>
      </w:tblPr>
      <w:tblGrid>
        <w:gridCol w:w="590"/>
        <w:gridCol w:w="624"/>
        <w:gridCol w:w="682"/>
        <w:gridCol w:w="1018"/>
        <w:gridCol w:w="902"/>
        <w:gridCol w:w="1224"/>
        <w:gridCol w:w="792"/>
        <w:gridCol w:w="1085"/>
        <w:gridCol w:w="682"/>
        <w:gridCol w:w="686"/>
        <w:gridCol w:w="682"/>
        <w:gridCol w:w="686"/>
        <w:gridCol w:w="682"/>
        <w:gridCol w:w="686"/>
      </w:tblGrid>
      <w:tr>
        <w:trPr>
          <w:trHeight w:val="508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交易</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被出</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售股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出售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交易价格</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本期初起 至出售日 该股权为 上市公司 贡献的净 利润（万</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出售对公司 的影响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股权出售 定价原则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是否</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为关</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联交</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与交 易对 方的 关联 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所涉 及的 股权 是否 已全 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是否 按计 划如 期实 施，如 未按 计划 实施， 应当 说明 原因 及公 司已 采取 的措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披露</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索引</w:t>
            </w: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李科 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华夏</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芯</w:t>
            </w:r>
          </w:p>
          <w:p>
            <w:pPr>
              <w:pStyle w:val="Style2"/>
              <w:keepNext w:val="0"/>
              <w:keepLines w:val="0"/>
              <w:widowControl w:val="0"/>
              <w:shd w:val="clear" w:color="auto" w:fill="auto"/>
              <w:bidi w:val="0"/>
              <w:spacing w:before="0" w:after="0" w:line="34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21.37</w:t>
            </w:r>
          </w:p>
          <w:p>
            <w:pPr>
              <w:pStyle w:val="Style2"/>
              <w:keepNext w:val="0"/>
              <w:keepLines w:val="0"/>
              <w:widowControl w:val="0"/>
              <w:shd w:val="clear" w:color="auto" w:fill="auto"/>
              <w:bidi w:val="0"/>
              <w:spacing w:before="0" w:after="6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股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16,921.37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6,907.47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有利于业绩 承诺方切实 偿付业绩补 偿款、减少公 司因华夏芯 持续投入期 出现阶段性 亏损对公司 业绩的影响， 也有利于公 司收回现金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年与交易 对方签署 的《关于华 夏芯（北 京）通用处 理器技术 有限公司 之增资协 议》中关于 股权回购 的约定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w:t>
            </w:r>
          </w:p>
          <w:p>
            <w:pPr>
              <w:pStyle w:val="Style2"/>
              <w:keepNext w:val="0"/>
              <w:keepLines w:val="0"/>
              <w:widowControl w:val="0"/>
              <w:numPr>
                <w:ilvl w:val="0"/>
                <w:numId w:val="1"/>
              </w:numPr>
              <w:shd w:val="clear" w:color="auto" w:fill="auto"/>
              <w:tabs>
                <w:tab w:pos="163" w:val="left"/>
              </w:tabs>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w:t>
            </w:r>
          </w:p>
          <w:p>
            <w:pPr>
              <w:pStyle w:val="Style2"/>
              <w:keepNext w:val="0"/>
              <w:keepLines w:val="0"/>
              <w:widowControl w:val="0"/>
              <w:numPr>
                <w:ilvl w:val="0"/>
                <w:numId w:val="1"/>
              </w:numPr>
              <w:shd w:val="clear" w:color="auto" w:fill="auto"/>
              <w:tabs>
                <w:tab w:pos="192" w:val="left"/>
              </w:tabs>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r>
          </w:p>
          <w:p>
            <w:pPr>
              <w:pStyle w:val="Style2"/>
              <w:keepNext w:val="0"/>
              <w:keepLines w:val="0"/>
              <w:widowControl w:val="0"/>
              <w:numPr>
                <w:ilvl w:val="0"/>
                <w:numId w:val="3"/>
              </w:numPr>
              <w:shd w:val="clear" w:color="auto" w:fill="auto"/>
              <w:tabs>
                <w:tab w:pos="509" w:val="left"/>
              </w:tabs>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2-17</w:t>
            </w:r>
            <w:r>
              <w:rPr>
                <w:color w:val="000000"/>
                <w:spacing w:val="0"/>
                <w:w w:val="100"/>
                <w:position w:val="0"/>
                <w:sz w:val="20"/>
                <w:szCs w:val="20"/>
              </w:rPr>
              <w:t>、</w:t>
            </w:r>
          </w:p>
          <w:p>
            <w:pPr>
              <w:pStyle w:val="Style2"/>
              <w:keepNext w:val="0"/>
              <w:keepLines w:val="0"/>
              <w:widowControl w:val="0"/>
              <w:numPr>
                <w:ilvl w:val="0"/>
                <w:numId w:val="3"/>
              </w:numPr>
              <w:shd w:val="clear" w:color="auto" w:fill="auto"/>
              <w:tabs>
                <w:tab w:pos="494" w:val="left"/>
              </w:tabs>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1-04</w:t>
            </w:r>
            <w:r>
              <w:rPr>
                <w:color w:val="000000"/>
                <w:spacing w:val="0"/>
                <w:w w:val="100"/>
                <w:position w:val="0"/>
                <w:sz w:val="20"/>
                <w:szCs w:val="20"/>
              </w:rPr>
              <w:t>、</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2021-0</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w:t>
            </w:r>
            <w:r>
              <w:rPr>
                <w:color w:val="000000"/>
                <w:spacing w:val="0"/>
                <w:w w:val="100"/>
                <w:position w:val="0"/>
                <w:sz w:val="20"/>
                <w:szCs w:val="20"/>
              </w:rPr>
              <w:t>、</w:t>
            </w:r>
          </w:p>
          <w:p>
            <w:pPr>
              <w:pStyle w:val="Style2"/>
              <w:keepNext w:val="0"/>
              <w:keepLines w:val="0"/>
              <w:widowControl w:val="0"/>
              <w:numPr>
                <w:ilvl w:val="0"/>
                <w:numId w:val="5"/>
              </w:numPr>
              <w:shd w:val="clear" w:color="auto" w:fill="auto"/>
              <w:tabs>
                <w:tab w:pos="494" w:val="left"/>
              </w:tabs>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75</w:t>
            </w:r>
            <w:r>
              <w:rPr>
                <w:color w:val="000000"/>
                <w:spacing w:val="0"/>
                <w:w w:val="100"/>
                <w:position w:val="0"/>
                <w:sz w:val="20"/>
                <w:szCs w:val="20"/>
              </w:rPr>
              <w:t>、</w:t>
            </w:r>
          </w:p>
          <w:p>
            <w:pPr>
              <w:pStyle w:val="Style2"/>
              <w:keepNext w:val="0"/>
              <w:keepLines w:val="0"/>
              <w:widowControl w:val="0"/>
              <w:numPr>
                <w:ilvl w:val="0"/>
                <w:numId w:val="5"/>
              </w:numPr>
              <w:shd w:val="clear" w:color="auto" w:fill="auto"/>
              <w:tabs>
                <w:tab w:pos="494" w:val="left"/>
              </w:tabs>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2021-0</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680"/>
        <w:jc w:val="left"/>
      </w:pPr>
      <w:bookmarkStart w:id="259" w:name="bookmark259"/>
      <w:bookmarkStart w:id="260" w:name="bookmark260"/>
      <w:bookmarkStart w:id="261" w:name="bookmark261"/>
      <w:bookmarkStart w:id="262" w:name="bookmark262"/>
      <w:r>
        <w:rPr>
          <w:color w:val="000000"/>
          <w:spacing w:val="0"/>
          <w:w w:val="100"/>
          <w:position w:val="0"/>
        </w:rPr>
        <w:t>九</w:t>
      </w:r>
      <w:bookmarkEnd w:id="261"/>
      <w:r>
        <w:rPr>
          <w:color w:val="000000"/>
          <w:spacing w:val="0"/>
          <w:w w:val="100"/>
          <w:position w:val="0"/>
        </w:rPr>
        <w:t>、主要控股参股公司分析</w:t>
      </w:r>
      <w:bookmarkEnd w:id="259"/>
      <w:bookmarkEnd w:id="260"/>
      <w:bookmarkEnd w:id="262"/>
    </w:p>
    <w:p>
      <w:pPr>
        <w:pStyle w:val="Style13"/>
        <w:keepNext w:val="0"/>
        <w:keepLines w:val="0"/>
        <w:widowControl w:val="0"/>
        <w:shd w:val="clear" w:color="auto" w:fill="auto"/>
        <w:bidi w:val="0"/>
        <w:spacing w:before="0" w:after="240" w:line="240" w:lineRule="auto"/>
        <w:ind w:left="0" w:right="0" w:firstLine="6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68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504"/>
        <w:gridCol w:w="566"/>
        <w:gridCol w:w="1080"/>
        <w:gridCol w:w="1474"/>
        <w:gridCol w:w="1560"/>
        <w:gridCol w:w="1416"/>
        <w:gridCol w:w="1416"/>
        <w:gridCol w:w="142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公司</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主要 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深圳前海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27,682.64</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7,372,589.99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-235,445,692.27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66,522,836.08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61,595,015.48</w:t>
            </w:r>
          </w:p>
        </w:tc>
      </w:tr>
    </w:tbl>
    <w:tbl>
      <w:tblPr>
        <w:tblOverlap w:val="never"/>
        <w:jc w:val="center"/>
        <w:tblLayout w:type="fixed"/>
      </w:tblPr>
      <w:tblGrid>
        <w:gridCol w:w="1066"/>
        <w:gridCol w:w="504"/>
        <w:gridCol w:w="566"/>
        <w:gridCol w:w="1080"/>
        <w:gridCol w:w="1474"/>
        <w:gridCol w:w="1560"/>
        <w:gridCol w:w="1416"/>
        <w:gridCol w:w="1416"/>
        <w:gridCol w:w="142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深圳市斯</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诺实业发</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5333.3333 </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159,045,652.73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22,179,033.49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227,108,036.32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388,635,049.08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348,758,012.41</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内蒙古斯</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诺新材料</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科技有限</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8,500.00 </w:t>
            </w:r>
            <w:r>
              <w:rPr>
                <w:color w:val="000000"/>
                <w:spacing w:val="0"/>
                <w:w w:val="100"/>
                <w:position w:val="0"/>
                <w:sz w:val="20"/>
                <w:szCs w:val="20"/>
              </w:rPr>
              <w:t>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559,630,972.25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152,350,148.82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364,757,559.71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52,054,955.78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47,290,346.20</w:t>
            </w:r>
          </w:p>
        </w:tc>
      </w:tr>
    </w:tbl>
    <w:p>
      <w:pPr>
        <w:pStyle w:val="Style13"/>
        <w:keepNext w:val="0"/>
        <w:keepLines w:val="0"/>
        <w:widowControl w:val="0"/>
        <w:shd w:val="clear" w:color="auto" w:fill="auto"/>
        <w:bidi w:val="0"/>
        <w:spacing w:before="0" w:after="40" w:line="360" w:lineRule="exact"/>
        <w:ind w:left="68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:投资兴办实业（具体项目另行申报）；股权投资；创业投资；受托资产管理；投资管理、投 资咨询、投资顾问；企业管理咨询。报告期内利润主要为确认华夏芯股权转让收益。</w:t>
      </w:r>
    </w:p>
    <w:p>
      <w:pPr>
        <w:pStyle w:val="Style13"/>
        <w:keepNext w:val="0"/>
        <w:keepLines w:val="0"/>
        <w:widowControl w:val="0"/>
        <w:shd w:val="clear" w:color="auto" w:fill="auto"/>
        <w:bidi w:val="0"/>
        <w:spacing w:before="0" w:after="80" w:line="360" w:lineRule="exact"/>
        <w:ind w:left="0" w:right="0" w:firstLine="68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：锂离子电池负极材料的研发、生产和销售，以及石墨化加工服务。</w:t>
      </w:r>
    </w:p>
    <w:p>
      <w:pPr>
        <w:pStyle w:val="Style13"/>
        <w:keepNext w:val="0"/>
        <w:keepLines w:val="0"/>
        <w:widowControl w:val="0"/>
        <w:shd w:val="clear" w:color="auto" w:fill="auto"/>
        <w:bidi w:val="0"/>
        <w:spacing w:before="0" w:after="140" w:line="360" w:lineRule="exact"/>
        <w:ind w:left="0" w:right="0" w:firstLine="680"/>
        <w:jc w:val="both"/>
      </w:pPr>
      <w:r>
        <w:rPr>
          <w:color w:val="000000"/>
          <w:spacing w:val="0"/>
          <w:w w:val="100"/>
          <w:position w:val="0"/>
        </w:rPr>
        <w:t>报告期内取得和处置子公司的情况</w:t>
      </w:r>
    </w:p>
    <w:p>
      <w:pPr>
        <w:pStyle w:val="Style13"/>
        <w:keepNext w:val="0"/>
        <w:keepLines w:val="0"/>
        <w:widowControl w:val="0"/>
        <w:shd w:val="clear" w:color="auto" w:fill="auto"/>
        <w:bidi w:val="0"/>
        <w:spacing w:before="0" w:after="140" w:line="360" w:lineRule="exact"/>
        <w:ind w:left="0" w:right="0" w:firstLine="6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对整体生产经营和业绩的影响</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Nations Holdings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结束经营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无重大影响</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江西斯诺石墨新材料有限公司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结束经营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无重大影响</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陕西斯诺新材料科技有限公司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结束经营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无重大影响</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广东国民新能源科技有限公司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注册成立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无重大影响</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680"/>
        <w:jc w:val="both"/>
      </w:pPr>
      <w:bookmarkStart w:id="263" w:name="bookmark263"/>
      <w:bookmarkStart w:id="264" w:name="bookmark264"/>
      <w:bookmarkStart w:id="265" w:name="bookmark265"/>
      <w:r>
        <w:rPr>
          <w:color w:val="000000"/>
          <w:spacing w:val="0"/>
          <w:w w:val="100"/>
          <w:position w:val="0"/>
        </w:rPr>
        <w:t>十、公司控制的结构化主体情况</w:t>
      </w:r>
      <w:bookmarkEnd w:id="263"/>
      <w:bookmarkEnd w:id="264"/>
      <w:bookmarkEnd w:id="265"/>
    </w:p>
    <w:p>
      <w:pPr>
        <w:pStyle w:val="Style13"/>
        <w:keepNext w:val="0"/>
        <w:keepLines w:val="0"/>
        <w:widowControl w:val="0"/>
        <w:shd w:val="clear" w:color="auto" w:fill="auto"/>
        <w:bidi w:val="0"/>
        <w:spacing w:before="0" w:after="340" w:line="240" w:lineRule="auto"/>
        <w:ind w:left="0" w:right="0" w:firstLine="6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0" w:firstLine="680"/>
        <w:jc w:val="both"/>
      </w:pPr>
      <w:r>
        <w:rPr>
          <w:b/>
          <w:bCs/>
          <w:color w:val="000000"/>
          <w:spacing w:val="0"/>
          <w:w w:val="100"/>
          <w:position w:val="0"/>
        </w:rPr>
        <w:t>十一、公司未来发展的展望</w:t>
      </w:r>
    </w:p>
    <w:p>
      <w:pPr>
        <w:pStyle w:val="Style37"/>
        <w:keepNext/>
        <w:keepLines/>
        <w:widowControl w:val="0"/>
        <w:shd w:val="clear" w:color="auto" w:fill="auto"/>
        <w:bidi w:val="0"/>
        <w:spacing w:before="0" w:after="0" w:line="466" w:lineRule="exact"/>
        <w:ind w:left="0" w:right="0" w:firstLine="680"/>
        <w:jc w:val="both"/>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1</w:t>
      </w:r>
      <w:bookmarkEnd w:id="268"/>
      <w:r>
        <w:rPr>
          <w:color w:val="000000"/>
          <w:spacing w:val="0"/>
          <w:w w:val="100"/>
          <w:position w:val="0"/>
        </w:rPr>
        <w:t>、公司未来发展战略和经营计划</w:t>
      </w:r>
      <w:bookmarkEnd w:id="266"/>
      <w:bookmarkEnd w:id="267"/>
      <w:bookmarkEnd w:id="269"/>
    </w:p>
    <w:p>
      <w:pPr>
        <w:pStyle w:val="Style13"/>
        <w:keepNext w:val="0"/>
        <w:keepLines w:val="0"/>
        <w:widowControl w:val="0"/>
        <w:shd w:val="clear" w:color="auto" w:fill="auto"/>
        <w:bidi w:val="0"/>
        <w:spacing w:before="0" w:after="40" w:line="466" w:lineRule="exact"/>
        <w:ind w:left="680" w:right="0" w:firstLine="460"/>
        <w:jc w:val="both"/>
      </w:pPr>
      <w:r>
        <w:rPr>
          <w:color w:val="000000"/>
          <w:spacing w:val="0"/>
          <w:w w:val="100"/>
          <w:position w:val="0"/>
        </w:rPr>
        <w:t>集成电路领域未来发展战略和经营计划参见第三节“管理层讨论与分析”之“二、报告期内 从事的主要业务”相关内容。</w:t>
      </w:r>
    </w:p>
    <w:p>
      <w:pPr>
        <w:pStyle w:val="Style13"/>
        <w:keepNext w:val="0"/>
        <w:keepLines w:val="0"/>
        <w:widowControl w:val="0"/>
        <w:shd w:val="clear" w:color="auto" w:fill="auto"/>
        <w:bidi w:val="0"/>
        <w:spacing w:before="0" w:after="40" w:line="466" w:lineRule="exact"/>
        <w:ind w:left="680" w:right="0" w:firstLine="460"/>
        <w:jc w:val="both"/>
      </w:pPr>
      <w:r>
        <w:rPr>
          <w:color w:val="000000"/>
          <w:spacing w:val="0"/>
          <w:w w:val="100"/>
          <w:position w:val="0"/>
        </w:rPr>
        <w:t>在负极材料领域：公司将继续加强新能源负极材料和石墨化工艺的研发、提升产品及工艺性 能，并根据客户要求，开发顺应市场需求的石墨负极材料产品，使其比容量、低温性能、倍率性 能、快充性能得到进一步优化升级；同时，持续积极布局硅氧碳</w:t>
      </w:r>
      <w:r>
        <w:rPr>
          <w:rFonts w:ascii="Arial" w:eastAsia="Arial" w:hAnsi="Arial" w:cs="Arial"/>
          <w:color w:val="000000"/>
          <w:spacing w:val="0"/>
          <w:w w:val="100"/>
          <w:position w:val="0"/>
        </w:rPr>
        <w:t>（</w:t>
      </w:r>
      <w:r>
        <w:rPr>
          <w:color w:val="000000"/>
          <w:spacing w:val="0"/>
          <w:w w:val="100"/>
          <w:position w:val="0"/>
        </w:rPr>
        <w:t>含硅碳</w:t>
      </w:r>
      <w:r>
        <w:rPr>
          <w:rFonts w:ascii="Arial" w:eastAsia="Arial" w:hAnsi="Arial" w:cs="Arial"/>
          <w:color w:val="000000"/>
          <w:spacing w:val="0"/>
          <w:w w:val="100"/>
          <w:position w:val="0"/>
        </w:rPr>
        <w:t>）</w:t>
      </w:r>
      <w:r>
        <w:rPr>
          <w:color w:val="000000"/>
          <w:spacing w:val="0"/>
          <w:w w:val="100"/>
          <w:position w:val="0"/>
        </w:rPr>
        <w:t>负极材料的产品研发和 产业化准备。</w:t>
      </w:r>
    </w:p>
    <w:p>
      <w:pPr>
        <w:pStyle w:val="Style13"/>
        <w:keepNext w:val="0"/>
        <w:keepLines w:val="0"/>
        <w:widowControl w:val="0"/>
        <w:shd w:val="clear" w:color="auto" w:fill="auto"/>
        <w:bidi w:val="0"/>
        <w:spacing w:before="0" w:after="140" w:line="466" w:lineRule="exact"/>
        <w:ind w:left="1140" w:right="0" w:firstLine="0"/>
        <w:jc w:val="both"/>
      </w:pPr>
      <w:r>
        <w:rPr>
          <w:color w:val="000000"/>
          <w:spacing w:val="0"/>
          <w:w w:val="100"/>
          <w:position w:val="0"/>
        </w:rPr>
        <w:t>面对锂电池企业对负极材料需求增加，公司将综合考虑供应链、客户需求等因素科学规划，</w:t>
      </w:r>
    </w:p>
    <w:p>
      <w:pPr>
        <w:pStyle w:val="Style13"/>
        <w:keepNext w:val="0"/>
        <w:keepLines w:val="0"/>
        <w:widowControl w:val="0"/>
        <w:shd w:val="clear" w:color="auto" w:fill="auto"/>
        <w:bidi w:val="0"/>
        <w:spacing w:before="0" w:after="0" w:line="468" w:lineRule="exact"/>
        <w:ind w:left="0" w:right="0" w:firstLine="680"/>
        <w:jc w:val="both"/>
      </w:pPr>
      <w:r>
        <w:rPr>
          <w:color w:val="000000"/>
          <w:spacing w:val="0"/>
          <w:w w:val="100"/>
          <w:position w:val="0"/>
        </w:rPr>
        <w:t>寻求合适机会加快实施锂电池负极材料更多的产能建设，不断完善公司负极材料的产业布局。</w:t>
      </w:r>
    </w:p>
    <w:p>
      <w:pPr>
        <w:pStyle w:val="Style13"/>
        <w:keepNext w:val="0"/>
        <w:keepLines w:val="0"/>
        <w:widowControl w:val="0"/>
        <w:shd w:val="clear" w:color="auto" w:fill="auto"/>
        <w:bidi w:val="0"/>
        <w:spacing w:before="0" w:after="120" w:line="468" w:lineRule="exact"/>
        <w:ind w:left="680" w:right="0" w:firstLine="460"/>
        <w:jc w:val="both"/>
      </w:pPr>
      <w:r>
        <w:rPr>
          <w:color w:val="000000"/>
          <w:spacing w:val="0"/>
          <w:w w:val="100"/>
          <w:position w:val="0"/>
        </w:rPr>
        <w:t>公司将在保持与现有客户稳固合作的同时，努力在现有客户中导入更高端产品，拓展和探索 新产品合作，力争保质保量保供，挖掘良性发展潜力；并继续积极突破行业内大客户、优质客户， 重点开拓潜力型客户，不断提高市场占有率。</w:t>
      </w:r>
    </w:p>
    <w:p>
      <w:pPr>
        <w:pStyle w:val="Style37"/>
        <w:keepNext/>
        <w:keepLines/>
        <w:widowControl w:val="0"/>
        <w:shd w:val="clear" w:color="auto" w:fill="auto"/>
        <w:bidi w:val="0"/>
        <w:spacing w:before="0" w:after="0" w:line="469" w:lineRule="exact"/>
        <w:ind w:left="0" w:right="0" w:firstLine="680"/>
        <w:jc w:val="both"/>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2</w:t>
      </w:r>
      <w:bookmarkEnd w:id="272"/>
      <w:r>
        <w:rPr>
          <w:color w:val="000000"/>
          <w:spacing w:val="0"/>
          <w:w w:val="100"/>
          <w:position w:val="0"/>
        </w:rPr>
        <w:t>、未来可能面对的风险</w:t>
      </w:r>
      <w:bookmarkEnd w:id="270"/>
      <w:bookmarkEnd w:id="271"/>
      <w:bookmarkEnd w:id="273"/>
    </w:p>
    <w:p>
      <w:pPr>
        <w:pStyle w:val="Style13"/>
        <w:keepNext w:val="0"/>
        <w:keepLines w:val="0"/>
        <w:widowControl w:val="0"/>
        <w:shd w:val="clear" w:color="auto" w:fill="auto"/>
        <w:tabs>
          <w:tab w:pos="1727" w:val="left"/>
        </w:tabs>
        <w:bidi w:val="0"/>
        <w:spacing w:before="0" w:after="0" w:line="469" w:lineRule="exact"/>
        <w:ind w:left="680" w:right="0" w:firstLine="460"/>
        <w:jc w:val="both"/>
      </w:pPr>
      <w:bookmarkStart w:id="274" w:name="bookmark274"/>
      <w:r>
        <w:rPr>
          <w:b/>
          <w:bCs/>
          <w:color w:val="000000"/>
          <w:spacing w:val="0"/>
          <w:w w:val="100"/>
          <w:position w:val="0"/>
        </w:rPr>
        <w:t>（</w:t>
      </w:r>
      <w:bookmarkEnd w:id="27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行业竞争风险。</w:t>
      </w:r>
      <w:r>
        <w:rPr>
          <w:color w:val="000000"/>
          <w:spacing w:val="0"/>
          <w:w w:val="100"/>
          <w:position w:val="0"/>
        </w:rPr>
        <w:t>在国家产业政策的引导和扶持下，我国集成电路设计行业发展迅速， 参与企业数量增多。公司芯片产品市场竞争主要来自于部分具有资金及技术优势的国外知名企 业，以及与公司部分产品和应用领域接近或有所重叠的少数国内芯片设计公司，市场竞争异常激 烈。如公司不能在技术研发、运营管理、产品质量等方面保持优势，则可能存在市场占有率下降 的风险。对此，公司不断加强技术研发和产品的市场调研、可行性研究和分析论证，加强产品立 项评估管理，及时根据市场需求调整和优化新技术与产品的研发工作，以尽可能降低相关风险。</w:t>
      </w:r>
    </w:p>
    <w:p>
      <w:pPr>
        <w:pStyle w:val="Style13"/>
        <w:keepNext w:val="0"/>
        <w:keepLines w:val="0"/>
        <w:widowControl w:val="0"/>
        <w:shd w:val="clear" w:color="auto" w:fill="auto"/>
        <w:tabs>
          <w:tab w:pos="1727" w:val="left"/>
        </w:tabs>
        <w:bidi w:val="0"/>
        <w:spacing w:before="0" w:after="0" w:line="469" w:lineRule="exact"/>
        <w:ind w:left="680" w:right="0" w:firstLine="460"/>
        <w:jc w:val="both"/>
      </w:pPr>
      <w:bookmarkStart w:id="275" w:name="bookmark275"/>
      <w:r>
        <w:rPr>
          <w:b/>
          <w:bCs/>
          <w:color w:val="000000"/>
          <w:spacing w:val="0"/>
          <w:w w:val="100"/>
          <w:position w:val="0"/>
        </w:rPr>
        <w:t>（</w:t>
      </w:r>
      <w:bookmarkEnd w:id="27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供应链产能的风险。</w:t>
      </w:r>
      <w:r>
        <w:rPr>
          <w:color w:val="000000"/>
          <w:spacing w:val="0"/>
          <w:w w:val="100"/>
          <w:position w:val="0"/>
        </w:rPr>
        <w:t>虽然公司所处集成电路行业需求持续向好，但由于当前全球出现 严重芯片产能短缺，公司目前也遇到产能紧张问题。同时，集成电路行业上游供应产能对技术及 资金规模的要求高、建设周期长，容易受到宏观经济走势和工艺创新提升影响，产生周期性波动。 从</w:t>
      </w:r>
      <w:r>
        <w:rPr>
          <w:rFonts w:ascii="Times New Roman" w:eastAsia="Times New Roman" w:hAnsi="Times New Roman" w:cs="Times New Roman"/>
          <w:color w:val="000000"/>
          <w:spacing w:val="0"/>
          <w:w w:val="100"/>
          <w:position w:val="0"/>
        </w:rPr>
        <w:t>2021</w:t>
      </w:r>
      <w:r>
        <w:rPr>
          <w:color w:val="000000"/>
          <w:spacing w:val="0"/>
          <w:w w:val="100"/>
          <w:position w:val="0"/>
        </w:rPr>
        <w:t>年年初开始，产业上游晶圆产能紧缺涨价，以及半导体元器件、覆铜板等原材料价格上 涨，使得封装、测试等产业环节均开始出现产能紧缺。公司已与多家有实力的晶圆代工厂商和封 装测试厂商建立长期稳定的合作关系，此外，公司将密切关注上游供应链产能情况，积极应对并 采取相应措施，减少对公司经营带来的风险或不确定因素。</w:t>
      </w:r>
    </w:p>
    <w:p>
      <w:pPr>
        <w:pStyle w:val="Style13"/>
        <w:keepNext w:val="0"/>
        <w:keepLines w:val="0"/>
        <w:widowControl w:val="0"/>
        <w:shd w:val="clear" w:color="auto" w:fill="auto"/>
        <w:tabs>
          <w:tab w:pos="1727" w:val="left"/>
        </w:tabs>
        <w:bidi w:val="0"/>
        <w:spacing w:before="0" w:after="0" w:line="469" w:lineRule="exact"/>
        <w:ind w:left="680" w:right="0" w:firstLine="460"/>
        <w:jc w:val="both"/>
      </w:pPr>
      <w:bookmarkStart w:id="276" w:name="bookmark276"/>
      <w:r>
        <w:rPr>
          <w:b/>
          <w:bCs/>
          <w:color w:val="000000"/>
          <w:spacing w:val="0"/>
          <w:w w:val="100"/>
          <w:position w:val="0"/>
        </w:rPr>
        <w:t>（</w:t>
      </w:r>
      <w:bookmarkEnd w:id="27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毛利率下降的风险。</w:t>
      </w:r>
      <w:r>
        <w:rPr>
          <w:color w:val="000000"/>
          <w:spacing w:val="0"/>
          <w:w w:val="100"/>
          <w:position w:val="0"/>
        </w:rPr>
        <w:t>根据集成电路行业特点，产品毛利率受到市场需求、产能供给等 多方面因素影响，公司需根据市场需求不断进行产品的迭代升级和创新，以维持公司较强的盈利 能力。若公司未来营业收入规模出现显著波动，或受市场竞争影响导致产品单价进一步下降，或 受产能供应影响导致产品单位成本上升，公司将面临毛利率波动或下降的风险。对此，公司积极 应对经营压力，优化产品结构；加强公司治理，深耕精细化管理，持续强化财务管控与运营管理; 完善内部资源优化配置及工作流程的把控；严控三项费用，降本增效。</w:t>
      </w:r>
    </w:p>
    <w:p>
      <w:pPr>
        <w:pStyle w:val="Style13"/>
        <w:keepNext w:val="0"/>
        <w:keepLines w:val="0"/>
        <w:widowControl w:val="0"/>
        <w:shd w:val="clear" w:color="auto" w:fill="auto"/>
        <w:tabs>
          <w:tab w:pos="1724" w:val="left"/>
        </w:tabs>
        <w:bidi w:val="0"/>
        <w:spacing w:before="0" w:after="0" w:line="469" w:lineRule="exact"/>
        <w:ind w:left="680" w:right="0" w:firstLine="460"/>
        <w:jc w:val="both"/>
      </w:pPr>
      <w:bookmarkStart w:id="277" w:name="bookmark277"/>
      <w:r>
        <w:rPr>
          <w:b/>
          <w:bCs/>
          <w:color w:val="000000"/>
          <w:spacing w:val="0"/>
          <w:w w:val="100"/>
          <w:position w:val="0"/>
        </w:rPr>
        <w:t>（</w:t>
      </w:r>
      <w:bookmarkEnd w:id="27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技术创新风险。</w:t>
      </w:r>
      <w:r>
        <w:rPr>
          <w:color w:val="000000"/>
          <w:spacing w:val="0"/>
          <w:w w:val="100"/>
          <w:position w:val="0"/>
        </w:rPr>
        <w:t xml:space="preserve">当前，在国家产业政策的支持下，国内集成电路设计行业正处于快速 发展阶段，技术创新及终端产品日新月异。如果公司的技术创新和研发能力无法适应技术发展、 行业标准或客户需求变化，将导致公司市场竞争力和行业地位下降，进而对公司经营产生不利影 响。对此，公司持续优化研发人员队伍、积极布局自主知识产权的核心产品与技术、优化产品设 </w:t>
      </w:r>
      <w:r>
        <w:rPr>
          <w:color w:val="000000"/>
          <w:spacing w:val="0"/>
          <w:w w:val="100"/>
          <w:position w:val="0"/>
        </w:rPr>
        <w:t>计开发流程，紧跟市场主流技术发展动态不断调整和优化新技术与产品的研发工作，以尽可能降 低相关风险。</w:t>
      </w:r>
    </w:p>
    <w:p>
      <w:pPr>
        <w:pStyle w:val="Style13"/>
        <w:keepNext w:val="0"/>
        <w:keepLines w:val="0"/>
        <w:widowControl w:val="0"/>
        <w:shd w:val="clear" w:color="auto" w:fill="auto"/>
        <w:tabs>
          <w:tab w:pos="1731" w:val="left"/>
        </w:tabs>
        <w:bidi w:val="0"/>
        <w:spacing w:before="0" w:after="0" w:line="467" w:lineRule="exact"/>
        <w:ind w:left="680" w:right="0" w:firstLine="460"/>
        <w:jc w:val="both"/>
      </w:pPr>
      <w:bookmarkStart w:id="278" w:name="bookmark278"/>
      <w:r>
        <w:rPr>
          <w:b/>
          <w:bCs/>
          <w:color w:val="000000"/>
          <w:spacing w:val="0"/>
          <w:w w:val="100"/>
          <w:position w:val="0"/>
        </w:rPr>
        <w:t>（</w:t>
      </w:r>
      <w:bookmarkEnd w:id="278"/>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国际贸易环境重大变动风险。</w:t>
      </w:r>
      <w:r>
        <w:rPr>
          <w:color w:val="000000"/>
          <w:spacing w:val="0"/>
          <w:w w:val="100"/>
          <w:position w:val="0"/>
        </w:rPr>
        <w:t>近年来国际贸易环境不确定性增加，地区性贸易保护措 施将可能对部分产业发展受到一定冲击。集成电路行业具有典型的全球化分工合作特点，虽然公 司与相关供应商虽然长期保持良好的合作关系，但未来国际贸易环境若发生重大不利变化，贸易 摩擦升级，晶圆代工、</w:t>
      </w:r>
      <w:r>
        <w:rPr>
          <w:rFonts w:ascii="Times New Roman" w:eastAsia="Times New Roman" w:hAnsi="Times New Roman" w:cs="Times New Roman"/>
          <w:color w:val="000000"/>
          <w:spacing w:val="0"/>
          <w:w w:val="100"/>
          <w:position w:val="0"/>
        </w:rPr>
        <w:t>IP</w:t>
      </w:r>
      <w:r>
        <w:rPr>
          <w:color w:val="000000"/>
          <w:spacing w:val="0"/>
          <w:w w:val="100"/>
          <w:position w:val="0"/>
        </w:rPr>
        <w:t>技术授权、高端测试设备等出现供应短缺、价格大幅上涨、进口限制等 情形，则公司的采购业务将受到相应冲击，进而导致公司的正常生产经营活动受到不利影响。对 此，公司积极关注国际贸易环境以及相关政策的变化、高度重视外贸合规工作，同时积极拓展更 多适合公司产品工艺的国产产业链，尽可能降低对公司经营的风险或不确定因素。</w:t>
      </w:r>
    </w:p>
    <w:p>
      <w:pPr>
        <w:pStyle w:val="Style13"/>
        <w:keepNext w:val="0"/>
        <w:keepLines w:val="0"/>
        <w:widowControl w:val="0"/>
        <w:shd w:val="clear" w:color="auto" w:fill="auto"/>
        <w:tabs>
          <w:tab w:pos="1731" w:val="left"/>
        </w:tabs>
        <w:bidi w:val="0"/>
        <w:spacing w:before="0" w:after="0" w:line="467" w:lineRule="exact"/>
        <w:ind w:left="680" w:right="0" w:firstLine="460"/>
        <w:jc w:val="both"/>
      </w:pPr>
      <w:bookmarkStart w:id="279" w:name="bookmark279"/>
      <w:r>
        <w:rPr>
          <w:b/>
          <w:bCs/>
          <w:color w:val="000000"/>
          <w:spacing w:val="0"/>
          <w:w w:val="100"/>
          <w:position w:val="0"/>
        </w:rPr>
        <w:t>（</w:t>
      </w:r>
      <w:bookmarkEnd w:id="279"/>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应收款项产生坏帐的风险。</w:t>
      </w:r>
      <w:r>
        <w:rPr>
          <w:color w:val="000000"/>
          <w:spacing w:val="0"/>
          <w:w w:val="100"/>
          <w:position w:val="0"/>
        </w:rPr>
        <w:t>报告期末应收票据及应收账款账面价值</w:t>
      </w:r>
      <w:r>
        <w:rPr>
          <w:rFonts w:ascii="Times New Roman" w:eastAsia="Times New Roman" w:hAnsi="Times New Roman" w:cs="Times New Roman"/>
          <w:color w:val="000000"/>
          <w:spacing w:val="0"/>
          <w:w w:val="100"/>
          <w:position w:val="0"/>
        </w:rPr>
        <w:t>21,418.67</w:t>
      </w:r>
      <w:r>
        <w:rPr>
          <w:color w:val="000000"/>
          <w:spacing w:val="0"/>
          <w:w w:val="100"/>
          <w:position w:val="0"/>
        </w:rPr>
        <w:t>万元，占 流动资产比例达</w:t>
      </w:r>
      <w:r>
        <w:rPr>
          <w:rFonts w:ascii="Times New Roman" w:eastAsia="Times New Roman" w:hAnsi="Times New Roman" w:cs="Times New Roman"/>
          <w:color w:val="000000"/>
          <w:spacing w:val="0"/>
          <w:w w:val="100"/>
          <w:position w:val="0"/>
        </w:rPr>
        <w:t>15.50%</w:t>
      </w:r>
      <w:r>
        <w:rPr>
          <w:color w:val="000000"/>
          <w:spacing w:val="0"/>
          <w:w w:val="100"/>
          <w:position w:val="0"/>
        </w:rPr>
        <w:t>。因市场竞争激烈，公司采取适度赊销等营销策略促进市场发展及销售， 相应的应收票据及应收账款余额一直保持较高的水平，使得坏账损失的发生几率较高。公司将进 一步细化客户管理，从客户性质、客户信用基础等因素出发，加强应收账款动态管理，完善更加 严格、立体管控的客户风险控制机制，严防坏账的产生。</w:t>
      </w:r>
    </w:p>
    <w:p>
      <w:pPr>
        <w:pStyle w:val="Style13"/>
        <w:keepNext w:val="0"/>
        <w:keepLines w:val="0"/>
        <w:widowControl w:val="0"/>
        <w:shd w:val="clear" w:color="auto" w:fill="auto"/>
        <w:tabs>
          <w:tab w:pos="1731" w:val="left"/>
        </w:tabs>
        <w:bidi w:val="0"/>
        <w:spacing w:before="0" w:after="420" w:line="475" w:lineRule="exact"/>
        <w:ind w:left="680" w:right="0" w:firstLine="460"/>
        <w:jc w:val="both"/>
      </w:pPr>
      <w:bookmarkStart w:id="280" w:name="bookmark280"/>
      <w:r>
        <w:rPr>
          <w:b/>
          <w:bCs/>
          <w:color w:val="000000"/>
          <w:spacing w:val="0"/>
          <w:w w:val="100"/>
          <w:position w:val="0"/>
        </w:rPr>
        <w:t>（</w:t>
      </w:r>
      <w:bookmarkEnd w:id="280"/>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疫情影响的风险。</w:t>
      </w:r>
      <w:r>
        <w:rPr>
          <w:color w:val="000000"/>
          <w:spacing w:val="0"/>
          <w:w w:val="100"/>
          <w:position w:val="0"/>
        </w:rPr>
        <w:t>受疫情影响，且存在持续性和不确定性，可能对公司的上下游供应 链、公司自身生产和经营、市场需求以及物流产生一定的风险。公司将密切关注疫情发展情况， 在做好疫情防控工作的同时，积极应对并采取相应措施最大程度降低疫情带来的不利影响。</w:t>
      </w:r>
    </w:p>
    <w:p>
      <w:pPr>
        <w:pStyle w:val="Style33"/>
        <w:keepNext/>
        <w:keepLines/>
        <w:widowControl w:val="0"/>
        <w:shd w:val="clear" w:color="auto" w:fill="auto"/>
        <w:bidi w:val="0"/>
        <w:spacing w:before="0" w:after="420" w:line="240" w:lineRule="auto"/>
        <w:ind w:left="0" w:right="0" w:firstLine="680"/>
        <w:jc w:val="both"/>
      </w:pPr>
      <w:bookmarkStart w:id="281" w:name="bookmark281"/>
      <w:bookmarkStart w:id="282" w:name="bookmark282"/>
      <w:bookmarkStart w:id="283" w:name="bookmark283"/>
      <w:r>
        <w:rPr>
          <w:color w:val="000000"/>
          <w:spacing w:val="0"/>
          <w:w w:val="100"/>
          <w:position w:val="0"/>
        </w:rPr>
        <w:t>十二、报告期内接待调研、沟通、采访等活动登记表</w:t>
      </w:r>
      <w:bookmarkEnd w:id="281"/>
      <w:bookmarkEnd w:id="282"/>
      <w:bookmarkEnd w:id="283"/>
    </w:p>
    <w:p>
      <w:pPr>
        <w:pStyle w:val="Style13"/>
        <w:keepNext w:val="0"/>
        <w:keepLines w:val="0"/>
        <w:widowControl w:val="0"/>
        <w:shd w:val="clear" w:color="auto" w:fill="auto"/>
        <w:bidi w:val="0"/>
        <w:spacing w:before="0" w:after="140" w:line="240" w:lineRule="auto"/>
        <w:ind w:left="0" w:right="0" w:firstLine="6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接待对象类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谈论的主要 内容及提供 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调研的基本情况 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“互动易云 访谈”平台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网络远程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个人及机构 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年度业</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绩数据以及</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巨潮资讯网（调研</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公告编号：</w:t>
            </w:r>
          </w:p>
          <w:p>
            <w:pPr>
              <w:pStyle w:val="Style2"/>
              <w:keepNext w:val="0"/>
              <w:keepLines w:val="0"/>
              <w:widowControl w:val="0"/>
              <w:shd w:val="clear" w:color="auto" w:fill="auto"/>
              <w:bidi w:val="0"/>
              <w:spacing w:before="0" w:after="6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2"/>
                <w:szCs w:val="22"/>
              </w:rPr>
              <w:t>2021-001</w:t>
            </w:r>
            <w:r>
              <w:rPr>
                <w:color w:val="000000"/>
                <w:spacing w:val="0"/>
                <w:w w:val="100"/>
                <w:position w:val="0"/>
                <w:sz w:val="20"/>
                <w:szCs w:val="2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现场</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线上沟 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个人及机构 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公司日常经</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营等相关问 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巨潮资讯网（调研</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公告编号：</w:t>
            </w:r>
          </w:p>
          <w:p>
            <w:pPr>
              <w:pStyle w:val="Style2"/>
              <w:keepNext w:val="0"/>
              <w:keepLines w:val="0"/>
              <w:widowControl w:val="0"/>
              <w:shd w:val="clear" w:color="auto" w:fill="auto"/>
              <w:bidi w:val="0"/>
              <w:spacing w:before="0" w:after="6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2"/>
                <w:szCs w:val="22"/>
              </w:rPr>
              <w:t>2021-002</w:t>
            </w:r>
            <w:r>
              <w:rPr>
                <w:color w:val="000000"/>
                <w:spacing w:val="0"/>
                <w:w w:val="100"/>
                <w:position w:val="0"/>
                <w:sz w:val="20"/>
                <w:szCs w:val="2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个人及机构 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公司日常经</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营等相关问 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巨潮资讯网（调研</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公告编号：</w:t>
            </w:r>
          </w:p>
          <w:p>
            <w:pPr>
              <w:pStyle w:val="Style2"/>
              <w:keepNext w:val="0"/>
              <w:keepLines w:val="0"/>
              <w:widowControl w:val="0"/>
              <w:shd w:val="clear" w:color="auto" w:fill="auto"/>
              <w:bidi w:val="0"/>
              <w:spacing w:before="0" w:after="6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2"/>
                <w:szCs w:val="22"/>
              </w:rPr>
              <w:t>2021-003</w:t>
            </w:r>
            <w:r>
              <w:rPr>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线上沟通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个人及机构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公司日常经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巨潮资讯网（调研</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营等相关问 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公告编号：</w:t>
            </w:r>
          </w:p>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2"/>
                <w:szCs w:val="22"/>
              </w:rPr>
              <w:t>2021-004</w:t>
            </w:r>
            <w:r>
              <w:rPr>
                <w:color w:val="000000"/>
                <w:spacing w:val="0"/>
                <w:w w:val="100"/>
                <w:position w:val="0"/>
                <w:sz w:val="20"/>
                <w:szCs w:val="2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个人及机构 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公司日常经</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营等相关问 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巨潮资讯网（调研</w:t>
            </w:r>
          </w:p>
          <w:p>
            <w:pPr>
              <w:pStyle w:val="Style2"/>
              <w:keepNext w:val="0"/>
              <w:keepLines w:val="0"/>
              <w:widowControl w:val="0"/>
              <w:shd w:val="clear" w:color="auto" w:fill="auto"/>
              <w:bidi w:val="0"/>
              <w:spacing w:before="0" w:after="60" w:line="240" w:lineRule="auto"/>
              <w:ind w:left="0" w:right="0" w:firstLine="340"/>
              <w:jc w:val="left"/>
              <w:rPr>
                <w:sz w:val="20"/>
                <w:szCs w:val="20"/>
              </w:rPr>
            </w:pPr>
            <w:r>
              <w:rPr>
                <w:color w:val="000000"/>
                <w:spacing w:val="0"/>
                <w:w w:val="100"/>
                <w:position w:val="0"/>
                <w:sz w:val="20"/>
                <w:szCs w:val="20"/>
              </w:rPr>
              <w:t>公告编号：</w:t>
            </w:r>
          </w:p>
          <w:p>
            <w:pPr>
              <w:pStyle w:val="Style2"/>
              <w:keepNext w:val="0"/>
              <w:keepLines w:val="0"/>
              <w:widowControl w:val="0"/>
              <w:shd w:val="clear" w:color="auto" w:fill="auto"/>
              <w:bidi w:val="0"/>
              <w:spacing w:before="0" w:after="6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2"/>
                <w:szCs w:val="22"/>
              </w:rPr>
              <w:t>2021-005</w:t>
            </w:r>
            <w:r>
              <w:rPr>
                <w:color w:val="000000"/>
                <w:spacing w:val="0"/>
                <w:w w:val="100"/>
                <w:position w:val="0"/>
                <w:sz w:val="20"/>
                <w:szCs w:val="20"/>
              </w:rPr>
              <w:t>）</w:t>
            </w:r>
          </w:p>
        </w:tc>
      </w:tr>
    </w:tbl>
    <w:p>
      <w:pPr>
        <w:sectPr>
          <w:footnotePr>
            <w:pos w:val="pageBottom"/>
            <w:numFmt w:val="decimal"/>
            <w:numRestart w:val="continuous"/>
          </w:footnotePr>
          <w:pgSz w:w="11900" w:h="16840"/>
          <w:pgMar w:top="1377" w:right="376" w:bottom="1467" w:left="422" w:header="0" w:footer="3" w:gutter="0"/>
          <w:cols w:space="720"/>
          <w:noEndnote/>
          <w:rtlGutter w:val="0"/>
          <w:docGrid w:linePitch="360"/>
        </w:sectPr>
      </w:pPr>
    </w:p>
    <w:p>
      <w:pPr>
        <w:pStyle w:val="Style17"/>
        <w:keepNext/>
        <w:keepLines/>
        <w:widowControl w:val="0"/>
        <w:shd w:val="clear" w:color="auto" w:fill="auto"/>
        <w:bidi w:val="0"/>
        <w:spacing w:before="420" w:line="240" w:lineRule="auto"/>
        <w:ind w:left="0" w:right="0" w:firstLine="0"/>
        <w:jc w:val="center"/>
      </w:pPr>
      <w:bookmarkStart w:id="284" w:name="bookmark284"/>
      <w:bookmarkStart w:id="285" w:name="bookmark285"/>
      <w:bookmarkStart w:id="286" w:name="bookmark286"/>
      <w:r>
        <w:rPr>
          <w:color w:val="000000"/>
          <w:spacing w:val="0"/>
          <w:w w:val="100"/>
          <w:position w:val="0"/>
        </w:rPr>
        <w:t>第四节公司治理</w:t>
      </w:r>
      <w:bookmarkEnd w:id="284"/>
      <w:bookmarkEnd w:id="285"/>
      <w:bookmarkEnd w:id="286"/>
    </w:p>
    <w:p>
      <w:pPr>
        <w:pStyle w:val="Style33"/>
        <w:keepNext/>
        <w:keepLines/>
        <w:widowControl w:val="0"/>
        <w:shd w:val="clear" w:color="auto" w:fill="auto"/>
        <w:bidi w:val="0"/>
        <w:spacing w:before="0" w:after="200" w:line="469" w:lineRule="exact"/>
        <w:ind w:left="0" w:right="0" w:firstLine="0"/>
        <w:jc w:val="both"/>
      </w:pPr>
      <w:bookmarkStart w:id="287" w:name="bookmark287"/>
      <w:bookmarkStart w:id="288" w:name="bookmark288"/>
      <w:bookmarkStart w:id="289" w:name="bookmark289"/>
      <w:bookmarkStart w:id="290" w:name="bookmark290"/>
      <w:r>
        <w:rPr>
          <w:color w:val="000000"/>
          <w:spacing w:val="0"/>
          <w:w w:val="100"/>
          <w:position w:val="0"/>
        </w:rPr>
        <w:t>一</w:t>
      </w:r>
      <w:bookmarkEnd w:id="289"/>
      <w:r>
        <w:rPr>
          <w:color w:val="000000"/>
          <w:spacing w:val="0"/>
          <w:w w:val="100"/>
          <w:position w:val="0"/>
        </w:rPr>
        <w:t>、公司治理的基本状况</w:t>
      </w:r>
      <w:bookmarkEnd w:id="287"/>
      <w:bookmarkEnd w:id="288"/>
      <w:bookmarkEnd w:id="290"/>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公司根据《公司法》、《上市公司治理准则》、《上市公司章程指引》、《上市公司股东大 会规则》及其他相关法律、法规的要求，确立了由股东大会、董事会、监事会和经营管理层组成 的公司治理结构，不断完善公司法人治理结构，建立健全公司内部控制制度，进一步规范公司运 作，提高公司治理水平。</w:t>
      </w:r>
    </w:p>
    <w:p>
      <w:pPr>
        <w:pStyle w:val="Style13"/>
        <w:keepNext w:val="0"/>
        <w:keepLines w:val="0"/>
        <w:widowControl w:val="0"/>
        <w:shd w:val="clear" w:color="auto" w:fill="auto"/>
        <w:bidi w:val="0"/>
        <w:spacing w:before="0" w:after="260" w:line="468" w:lineRule="exact"/>
        <w:ind w:left="0" w:right="0" w:firstLine="480"/>
        <w:jc w:val="both"/>
      </w:pPr>
      <w:r>
        <w:rPr>
          <w:color w:val="000000"/>
          <w:spacing w:val="0"/>
          <w:w w:val="100"/>
          <w:position w:val="0"/>
        </w:rPr>
        <w:t>公司治理各方面符合《上市公司治理准则》和《深圳证券交易所创业板股票上市规则》、《深 圳证券交易所创业板上市公司规范运作指引》等要求。截至报告期末，公司治理的实际状况与中 国证监会发布的有关上市公司治理的规范性文件不存在重大差异。</w:t>
      </w:r>
    </w:p>
    <w:p>
      <w:pPr>
        <w:pStyle w:val="Style37"/>
        <w:keepNext/>
        <w:keepLines/>
        <w:widowControl w:val="0"/>
        <w:shd w:val="clear" w:color="auto" w:fill="auto"/>
        <w:tabs>
          <w:tab w:pos="823" w:val="left"/>
        </w:tabs>
        <w:bidi w:val="0"/>
        <w:spacing w:before="0" w:after="0" w:line="240" w:lineRule="auto"/>
        <w:ind w:left="0" w:right="0" w:firstLine="480"/>
        <w:jc w:val="both"/>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w:t>
        <w:tab/>
        <w:t>关于股东与股东大会</w:t>
      </w:r>
      <w:bookmarkEnd w:id="291"/>
      <w:bookmarkEnd w:id="292"/>
      <w:bookmarkEnd w:id="294"/>
    </w:p>
    <w:p>
      <w:pPr>
        <w:pStyle w:val="Style13"/>
        <w:keepNext w:val="0"/>
        <w:keepLines w:val="0"/>
        <w:widowControl w:val="0"/>
        <w:shd w:val="clear" w:color="auto" w:fill="auto"/>
        <w:bidi w:val="0"/>
        <w:spacing w:before="0" w:after="40" w:line="469" w:lineRule="exact"/>
        <w:ind w:left="0" w:right="0" w:firstLine="480"/>
        <w:jc w:val="both"/>
      </w:pPr>
      <w:r>
        <w:rPr>
          <w:color w:val="000000"/>
          <w:spacing w:val="0"/>
          <w:w w:val="100"/>
          <w:position w:val="0"/>
        </w:rPr>
        <w:t>报告期内，公司召开股东大会</w:t>
      </w:r>
      <w:r>
        <w:rPr>
          <w:rFonts w:ascii="Times New Roman" w:eastAsia="Times New Roman" w:hAnsi="Times New Roman" w:cs="Times New Roman"/>
          <w:color w:val="000000"/>
          <w:spacing w:val="0"/>
          <w:w w:val="100"/>
          <w:position w:val="0"/>
        </w:rPr>
        <w:t>2</w:t>
      </w:r>
      <w:r>
        <w:rPr>
          <w:color w:val="000000"/>
          <w:spacing w:val="0"/>
          <w:w w:val="100"/>
          <w:position w:val="0"/>
        </w:rPr>
        <w:t>次。公司召开的股东大会不存在违反《上市公司股东大会规 则》的情形，公司未发生单独或合并持有本公司有表决权股份总数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 股东大会的情形，也无应监事会提议召开的股东大会。按照《公司法》、《公司章程》的规定应 由股东大会审议的重大事项，本公司均通过股东大会审议，不存在绕过股东大会的情况，也不存 在先实施后审议的情况。公司平等对待所有股东，并采用现场结合网络投票的方式为股东参加股 东大会提供便利，确保全体股东特别是中小股东享有平等地位，充分行使股东的权利。</w:t>
      </w:r>
    </w:p>
    <w:p>
      <w:pPr>
        <w:pStyle w:val="Style37"/>
        <w:keepNext/>
        <w:keepLines/>
        <w:widowControl w:val="0"/>
        <w:shd w:val="clear" w:color="auto" w:fill="auto"/>
        <w:tabs>
          <w:tab w:pos="825" w:val="left"/>
        </w:tabs>
        <w:bidi w:val="0"/>
        <w:spacing w:before="0" w:after="0" w:line="469" w:lineRule="exact"/>
        <w:ind w:left="0" w:right="0" w:firstLine="480"/>
        <w:jc w:val="both"/>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2</w:t>
      </w:r>
      <w:bookmarkEnd w:id="297"/>
      <w:r>
        <w:rPr>
          <w:color w:val="000000"/>
          <w:spacing w:val="0"/>
          <w:w w:val="100"/>
          <w:position w:val="0"/>
        </w:rPr>
        <w:t>、</w:t>
        <w:tab/>
        <w:t>关于董事和董事会</w:t>
      </w:r>
      <w:bookmarkEnd w:id="295"/>
      <w:bookmarkEnd w:id="296"/>
      <w:bookmarkEnd w:id="298"/>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4</w:t>
      </w:r>
      <w:r>
        <w:rPr>
          <w:color w:val="000000"/>
          <w:spacing w:val="0"/>
          <w:w w:val="100"/>
          <w:position w:val="0"/>
        </w:rPr>
        <w:t>名，独立董事人数达到董事会人数的三分之一以上， 且人员构成符合法律、法规和《公司章程》的要求。公司董事能够依据《深圳证券交易所创业板 上市公司规范运作指引》、《公司章程》、《董事会议事规则》、《独立董事工作制度》等开展 工作，出席董事会会议和股东大会会议，忠实、诚信、勤勉地履行职责和义务。</w:t>
      </w:r>
    </w:p>
    <w:p>
      <w:pPr>
        <w:pStyle w:val="Style13"/>
        <w:keepNext w:val="0"/>
        <w:keepLines w:val="0"/>
        <w:widowControl w:val="0"/>
        <w:shd w:val="clear" w:color="auto" w:fill="auto"/>
        <w:bidi w:val="0"/>
        <w:spacing w:before="0" w:after="200" w:line="472" w:lineRule="exact"/>
        <w:ind w:left="0" w:right="0" w:firstLine="480"/>
        <w:jc w:val="both"/>
      </w:pPr>
      <w:r>
        <w:rPr>
          <w:color w:val="000000"/>
          <w:spacing w:val="0"/>
          <w:w w:val="100"/>
          <w:position w:val="0"/>
        </w:rPr>
        <w:t xml:space="preserve">报告期内，公司董事会共召开了 </w:t>
      </w:r>
      <w:r>
        <w:rPr>
          <w:rFonts w:ascii="Times New Roman" w:eastAsia="Times New Roman" w:hAnsi="Times New Roman" w:cs="Times New Roman"/>
          <w:color w:val="000000"/>
          <w:spacing w:val="0"/>
          <w:w w:val="100"/>
          <w:position w:val="0"/>
        </w:rPr>
        <w:t>12</w:t>
      </w:r>
      <w:r>
        <w:rPr>
          <w:color w:val="000000"/>
          <w:spacing w:val="0"/>
          <w:w w:val="100"/>
          <w:position w:val="0"/>
        </w:rPr>
        <w:t>次会议，会议严格按照有关规定召集、召开，记录完整、 准确，并妥善保存；独立董事认真履行职责，为进一步完善公司的法人治理结构，规范公司运作 发挥了良好的作用。董事会下设立的三个专门委员会：审计委员会、薪酬与考核委员会及战略委 员会，严格依据公司董事会所制订的职权范围运作，并就专业事项进行研究和讨论，形成建议和 意见，对董事会负责，为董事会的决策提供了积极有效的支撑。</w:t>
      </w:r>
    </w:p>
    <w:p>
      <w:pPr>
        <w:pStyle w:val="Style37"/>
        <w:keepNext/>
        <w:keepLines/>
        <w:widowControl w:val="0"/>
        <w:shd w:val="clear" w:color="auto" w:fill="auto"/>
        <w:tabs>
          <w:tab w:pos="830" w:val="left"/>
        </w:tabs>
        <w:bidi w:val="0"/>
        <w:spacing w:before="0" w:after="0" w:line="467" w:lineRule="exact"/>
        <w:ind w:left="0" w:right="0" w:firstLine="480"/>
        <w:jc w:val="both"/>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3</w:t>
      </w:r>
      <w:bookmarkEnd w:id="301"/>
      <w:r>
        <w:rPr>
          <w:color w:val="000000"/>
          <w:spacing w:val="0"/>
          <w:w w:val="100"/>
          <w:position w:val="0"/>
        </w:rPr>
        <w:t>、</w:t>
        <w:tab/>
        <w:t>关于监事和监事会</w:t>
      </w:r>
      <w:bookmarkEnd w:id="299"/>
      <w:bookmarkEnd w:id="300"/>
      <w:bookmarkEnd w:id="302"/>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 求。公司已制定《监事会议事规则》等制度确保监事会向全体股东负责，对公司重大事项、财务 状况以及公司董事、高级管理人员履行职责的合法合规性进行有效监督，维护公司及股东的合法 权益。公司监事会会议的召集、召开等程序符合相关规定的要求，监事会决议依照《深圳证券交 易所创业板股票上市规则》、《公司章程》及《监事会议事规则》的规定，披露及时充分。</w:t>
      </w:r>
    </w:p>
    <w:p>
      <w:pPr>
        <w:pStyle w:val="Style37"/>
        <w:keepNext/>
        <w:keepLines/>
        <w:widowControl w:val="0"/>
        <w:shd w:val="clear" w:color="auto" w:fill="auto"/>
        <w:tabs>
          <w:tab w:pos="830" w:val="left"/>
        </w:tabs>
        <w:bidi w:val="0"/>
        <w:spacing w:before="0" w:after="0" w:line="467" w:lineRule="exact"/>
        <w:ind w:left="0" w:right="0" w:firstLine="480"/>
        <w:jc w:val="both"/>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4</w:t>
      </w:r>
      <w:bookmarkEnd w:id="305"/>
      <w:r>
        <w:rPr>
          <w:color w:val="000000"/>
          <w:spacing w:val="0"/>
          <w:w w:val="100"/>
          <w:position w:val="0"/>
        </w:rPr>
        <w:t>、</w:t>
        <w:tab/>
        <w:t>关于公司与控股股东、实际控制人</w:t>
      </w:r>
      <w:bookmarkEnd w:id="303"/>
      <w:bookmarkEnd w:id="304"/>
      <w:bookmarkEnd w:id="306"/>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公司不存在控股股东、实际控制人。</w:t>
      </w:r>
    </w:p>
    <w:p>
      <w:pPr>
        <w:pStyle w:val="Style37"/>
        <w:keepNext/>
        <w:keepLines/>
        <w:widowControl w:val="0"/>
        <w:shd w:val="clear" w:color="auto" w:fill="auto"/>
        <w:tabs>
          <w:tab w:pos="830" w:val="left"/>
        </w:tabs>
        <w:bidi w:val="0"/>
        <w:spacing w:before="0" w:after="0" w:line="467" w:lineRule="exact"/>
        <w:ind w:left="0" w:right="0" w:firstLine="480"/>
        <w:jc w:val="both"/>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5</w:t>
      </w:r>
      <w:bookmarkEnd w:id="309"/>
      <w:r>
        <w:rPr>
          <w:color w:val="000000"/>
          <w:spacing w:val="0"/>
          <w:w w:val="100"/>
          <w:position w:val="0"/>
        </w:rPr>
        <w:t>、</w:t>
        <w:tab/>
        <w:t>关于信息披露与透明度</w:t>
      </w:r>
      <w:bookmarkEnd w:id="307"/>
      <w:bookmarkEnd w:id="308"/>
      <w:bookmarkEnd w:id="310"/>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公司严格按照有关法律法规以及《信息披露管理制度》、《投资者关系管理制度》的要求， 真实、准确、及时、公平、完整地披露有关信息。为规范公司的内幕信息管理，防范内幕信息知 情人员滥用知情权，泄漏内幕信息，进行内幕交易，损害广大投资者的合法权益，根据《中华人 民共和国公司法》、《中华人民共和国证券法》、《上市公司信息披露管理办法》、《深圳证券 交易所创业板股票上市规则》等有关法律、法规和《公司章程》、公司制定的《内幕信息知情人 管理制度》等有关规定，在重要情况发生时，公司第一时间建立内幕信息知情人档案登记。</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公司指定董事会秘书负责信息披露工作，协调公司与投资者的关系，接待股东来访，回答投 资者咨询，向投资者提供公司已披露的资料；以巨潮资讯网为信息披露网站，《中国证券报》、 《证券时报》、《证券日报》、《上海证券报》为公司定期报告披露的提示性公告指定披露报刊， 使公司所有投资者能够以平等的机会获得公司信息；维护电话专线、专用邮箱、互动易平台等多 种沟通渠道，采取积极回复投资者咨询的态度，持续重视和维护与投资者之间良好的互动关系。 同时，公司利用自有公众微信平台、官方网站为信息披露的补充手段，传播公司简讯和公司新闻， 为关注公司的投资者提供更丰富的信息获取通道。</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今后，公司仍将进一步加强投资者关系管理工作，不断尝试更加有效和充分的管理方式和方 法，不断提高公司信息透明度，在符合各项法律法规、规章制度的基础上，最大程度地保障全体 股东的合法权益。</w:t>
      </w:r>
    </w:p>
    <w:p>
      <w:pPr>
        <w:pStyle w:val="Style37"/>
        <w:keepNext/>
        <w:keepLines/>
        <w:widowControl w:val="0"/>
        <w:shd w:val="clear" w:color="auto" w:fill="auto"/>
        <w:tabs>
          <w:tab w:pos="830" w:val="left"/>
        </w:tabs>
        <w:bidi w:val="0"/>
        <w:spacing w:before="0" w:after="0" w:line="467" w:lineRule="exact"/>
        <w:ind w:left="0" w:right="0" w:firstLine="480"/>
        <w:jc w:val="both"/>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6</w:t>
      </w:r>
      <w:bookmarkEnd w:id="313"/>
      <w:r>
        <w:rPr>
          <w:color w:val="000000"/>
          <w:spacing w:val="0"/>
          <w:w w:val="100"/>
          <w:position w:val="0"/>
        </w:rPr>
        <w:t>、</w:t>
        <w:tab/>
        <w:t>关于绩效评价与激励约束机制</w:t>
      </w:r>
      <w:bookmarkEnd w:id="311"/>
      <w:bookmarkEnd w:id="312"/>
      <w:bookmarkEnd w:id="314"/>
    </w:p>
    <w:p>
      <w:pPr>
        <w:pStyle w:val="Style13"/>
        <w:keepNext w:val="0"/>
        <w:keepLines w:val="0"/>
        <w:widowControl w:val="0"/>
        <w:shd w:val="clear" w:color="auto" w:fill="auto"/>
        <w:bidi w:val="0"/>
        <w:spacing w:before="0" w:after="0" w:line="473" w:lineRule="exact"/>
        <w:ind w:left="0" w:right="0" w:firstLine="480"/>
        <w:jc w:val="both"/>
        <w:sectPr>
          <w:footnotePr>
            <w:pos w:val="pageBottom"/>
            <w:numFmt w:val="decimal"/>
            <w:numRestart w:val="continuous"/>
          </w:footnotePr>
          <w:pgSz w:w="11900" w:h="16840"/>
          <w:pgMar w:top="1484" w:right="999" w:bottom="1724" w:left="1109" w:header="0" w:footer="3" w:gutter="0"/>
          <w:cols w:space="720"/>
          <w:noEndnote/>
          <w:rtlGutter w:val="0"/>
          <w:docGrid w:linePitch="360"/>
        </w:sectPr>
      </w:pPr>
      <w:r>
        <w:rPr>
          <w:color w:val="000000"/>
          <w:spacing w:val="0"/>
          <w:w w:val="100"/>
          <w:position w:val="0"/>
        </w:rPr>
        <w:t>公司已建立绩效评价激励体系，董事会薪酬与考核委员会负责对公司的董事、高级管理人员 进行绩效考核，公司现有的考核及激励约束机制符合公司的发展现状。高级管理人员的聘任公开、 透明，符合法律、法规的规定。</w:t>
      </w:r>
    </w:p>
    <w:p>
      <w:pPr>
        <w:pStyle w:val="Style37"/>
        <w:keepNext/>
        <w:keepLines/>
        <w:widowControl w:val="0"/>
        <w:shd w:val="clear" w:color="auto" w:fill="auto"/>
        <w:bidi w:val="0"/>
        <w:spacing w:before="0" w:after="0" w:line="469" w:lineRule="exact"/>
        <w:ind w:left="128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7</w:t>
      </w:r>
      <w:bookmarkEnd w:id="317"/>
      <w:r>
        <w:rPr>
          <w:color w:val="000000"/>
          <w:spacing w:val="0"/>
          <w:w w:val="100"/>
          <w:position w:val="0"/>
        </w:rPr>
        <w:t>、关于相关利益者</w:t>
      </w:r>
      <w:bookmarkEnd w:id="315"/>
      <w:bookmarkEnd w:id="316"/>
      <w:bookmarkEnd w:id="318"/>
    </w:p>
    <w:p>
      <w:pPr>
        <w:pStyle w:val="Style13"/>
        <w:keepNext w:val="0"/>
        <w:keepLines w:val="0"/>
        <w:widowControl w:val="0"/>
        <w:shd w:val="clear" w:color="auto" w:fill="auto"/>
        <w:bidi w:val="0"/>
        <w:spacing w:before="0" w:after="0" w:line="469" w:lineRule="exact"/>
        <w:ind w:left="780" w:right="0" w:firstLine="500"/>
        <w:jc w:val="both"/>
      </w:pPr>
      <w:r>
        <w:rPr>
          <w:color w:val="000000"/>
          <w:spacing w:val="0"/>
          <w:w w:val="100"/>
          <w:position w:val="0"/>
        </w:rPr>
        <w:t>公司充分尊重和维护相关利益者的合法权益，积极与相关利益者合作，加强与各方的沟通和 交流，实现投资者、客户、供应商、员工及社会等各方利益的协调平衡，共同推动公司持续、健 康的发展。</w:t>
      </w:r>
    </w:p>
    <w:p>
      <w:pPr>
        <w:pStyle w:val="Style13"/>
        <w:keepNext w:val="0"/>
        <w:keepLines w:val="0"/>
        <w:widowControl w:val="0"/>
        <w:shd w:val="clear" w:color="auto" w:fill="auto"/>
        <w:bidi w:val="0"/>
        <w:spacing w:before="0" w:after="200" w:line="469" w:lineRule="exact"/>
        <w:ind w:left="780" w:right="0" w:firstLine="20"/>
        <w:jc w:val="both"/>
      </w:pPr>
      <w:r>
        <w:rPr>
          <w:color w:val="000000"/>
          <w:spacing w:val="0"/>
          <w:w w:val="100"/>
          <w:position w:val="0"/>
        </w:rPr>
        <w:t>公司治理的实际状况与法律、行政法规和中国证监会发布的关于上市公司治理的规定是否存在重 大差异</w:t>
      </w:r>
    </w:p>
    <w:p>
      <w:pPr>
        <w:pStyle w:val="Style13"/>
        <w:keepNext w:val="0"/>
        <w:keepLines w:val="0"/>
        <w:widowControl w:val="0"/>
        <w:shd w:val="clear" w:color="auto" w:fill="auto"/>
        <w:bidi w:val="0"/>
        <w:spacing w:before="0" w:after="0" w:line="446"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3"/>
        <w:keepNext w:val="0"/>
        <w:keepLines w:val="0"/>
        <w:widowControl w:val="0"/>
        <w:shd w:val="clear" w:color="auto" w:fill="auto"/>
        <w:bidi w:val="0"/>
        <w:spacing w:before="0" w:after="380" w:line="469" w:lineRule="exact"/>
        <w:ind w:left="780" w:right="0" w:firstLine="20"/>
        <w:jc w:val="both"/>
      </w:pPr>
      <w:r>
        <w:rPr>
          <w:color w:val="000000"/>
          <w:spacing w:val="0"/>
          <w:w w:val="100"/>
          <w:position w:val="0"/>
        </w:rPr>
        <w:t>公司治理的实际状况与法律、行政法规和中国证监会发布的关于有关上市公司治理的规定不存在 重大差异。</w:t>
      </w:r>
    </w:p>
    <w:p>
      <w:pPr>
        <w:pStyle w:val="Style33"/>
        <w:keepNext/>
        <w:keepLines/>
        <w:widowControl w:val="0"/>
        <w:shd w:val="clear" w:color="auto" w:fill="auto"/>
        <w:tabs>
          <w:tab w:pos="1302" w:val="left"/>
        </w:tabs>
        <w:bidi w:val="0"/>
        <w:spacing w:before="0" w:after="200" w:line="312" w:lineRule="exact"/>
        <w:ind w:left="780" w:right="0" w:firstLine="20"/>
        <w:jc w:val="both"/>
      </w:pPr>
      <w:bookmarkStart w:id="319" w:name="bookmark319"/>
      <w:bookmarkStart w:id="320" w:name="bookmark320"/>
      <w:bookmarkStart w:id="321" w:name="bookmark321"/>
      <w:bookmarkStart w:id="322" w:name="bookmark322"/>
      <w:r>
        <w:rPr>
          <w:color w:val="000000"/>
          <w:spacing w:val="0"/>
          <w:w w:val="100"/>
          <w:position w:val="0"/>
        </w:rPr>
        <w:t>二</w:t>
      </w:r>
      <w:bookmarkEnd w:id="321"/>
      <w:r>
        <w:rPr>
          <w:color w:val="000000"/>
          <w:spacing w:val="0"/>
          <w:w w:val="100"/>
          <w:position w:val="0"/>
        </w:rPr>
        <w:t>、</w:t>
        <w:tab/>
        <w:t>公司相对于控股股东、实际控制人在保证公司资产、人员、财务、机构、业务等方面的 独立情况</w:t>
      </w:r>
      <w:bookmarkEnd w:id="319"/>
      <w:bookmarkEnd w:id="320"/>
      <w:bookmarkEnd w:id="322"/>
    </w:p>
    <w:p>
      <w:pPr>
        <w:pStyle w:val="Style13"/>
        <w:keepNext w:val="0"/>
        <w:keepLines w:val="0"/>
        <w:widowControl w:val="0"/>
        <w:shd w:val="clear" w:color="auto" w:fill="auto"/>
        <w:bidi w:val="0"/>
        <w:spacing w:before="0" w:after="200" w:line="469" w:lineRule="exact"/>
        <w:ind w:left="0" w:right="0" w:firstLine="780"/>
        <w:jc w:val="left"/>
      </w:pPr>
      <w:r>
        <w:rPr>
          <w:color w:val="000000"/>
          <w:spacing w:val="0"/>
          <w:w w:val="100"/>
          <w:position w:val="0"/>
        </w:rPr>
        <w:t>公司无控股股东以及实际控制人。</w:t>
      </w:r>
    </w:p>
    <w:p>
      <w:pPr>
        <w:pStyle w:val="Style33"/>
        <w:keepNext/>
        <w:keepLines/>
        <w:widowControl w:val="0"/>
        <w:shd w:val="clear" w:color="auto" w:fill="auto"/>
        <w:tabs>
          <w:tab w:pos="1302" w:val="left"/>
        </w:tabs>
        <w:bidi w:val="0"/>
        <w:spacing w:before="0" w:after="200" w:line="469" w:lineRule="exact"/>
        <w:ind w:left="0" w:right="0" w:firstLine="780"/>
        <w:jc w:val="left"/>
      </w:pPr>
      <w:bookmarkStart w:id="323" w:name="bookmark323"/>
      <w:bookmarkStart w:id="324" w:name="bookmark324"/>
      <w:bookmarkStart w:id="325" w:name="bookmark325"/>
      <w:bookmarkStart w:id="326" w:name="bookmark326"/>
      <w:r>
        <w:rPr>
          <w:color w:val="000000"/>
          <w:spacing w:val="0"/>
          <w:w w:val="100"/>
          <w:position w:val="0"/>
        </w:rPr>
        <w:t>三</w:t>
      </w:r>
      <w:bookmarkEnd w:id="325"/>
      <w:r>
        <w:rPr>
          <w:color w:val="000000"/>
          <w:spacing w:val="0"/>
          <w:w w:val="100"/>
          <w:position w:val="0"/>
        </w:rPr>
        <w:t>、</w:t>
        <w:tab/>
        <w:t>同业竞争情况</w:t>
      </w:r>
      <w:bookmarkEnd w:id="323"/>
      <w:bookmarkEnd w:id="324"/>
      <w:bookmarkEnd w:id="326"/>
    </w:p>
    <w:p>
      <w:pPr>
        <w:pStyle w:val="Style13"/>
        <w:keepNext w:val="0"/>
        <w:keepLines w:val="0"/>
        <w:widowControl w:val="0"/>
        <w:shd w:val="clear" w:color="auto" w:fill="auto"/>
        <w:bidi w:val="0"/>
        <w:spacing w:before="0" w:after="200" w:line="469" w:lineRule="exact"/>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tabs>
          <w:tab w:pos="1302" w:val="left"/>
        </w:tabs>
        <w:bidi w:val="0"/>
        <w:spacing w:before="0" w:after="200" w:line="469" w:lineRule="exact"/>
        <w:ind w:left="0" w:right="0" w:firstLine="780"/>
        <w:jc w:val="left"/>
      </w:pPr>
      <w:bookmarkStart w:id="327" w:name="bookmark327"/>
      <w:r>
        <w:rPr>
          <w:b/>
          <w:bCs/>
          <w:color w:val="000000"/>
          <w:spacing w:val="0"/>
          <w:w w:val="100"/>
          <w:position w:val="0"/>
        </w:rPr>
        <w:t>四</w:t>
      </w:r>
      <w:bookmarkEnd w:id="327"/>
      <w:r>
        <w:rPr>
          <w:b/>
          <w:bCs/>
          <w:color w:val="000000"/>
          <w:spacing w:val="0"/>
          <w:w w:val="100"/>
          <w:position w:val="0"/>
        </w:rPr>
        <w:t>、</w:t>
        <w:tab/>
        <w:t>报告期内召开的年度股东大会和临时股东大会的有关情况</w:t>
      </w:r>
    </w:p>
    <w:p>
      <w:pPr>
        <w:pStyle w:val="Style13"/>
        <w:keepNext w:val="0"/>
        <w:keepLines w:val="0"/>
        <w:widowControl w:val="0"/>
        <w:shd w:val="clear" w:color="auto" w:fill="auto"/>
        <w:bidi w:val="0"/>
        <w:spacing w:before="0" w:after="300" w:line="469" w:lineRule="exact"/>
        <w:ind w:left="0" w:right="0" w:firstLine="780"/>
        <w:jc w:val="left"/>
      </w:pPr>
      <w:bookmarkStart w:id="328" w:name="bookmark328"/>
      <w:r>
        <w:rPr>
          <w:rFonts w:ascii="Times New Roman" w:eastAsia="Times New Roman" w:hAnsi="Times New Roman" w:cs="Times New Roman"/>
          <w:b/>
          <w:bCs/>
          <w:color w:val="000000"/>
          <w:spacing w:val="0"/>
          <w:w w:val="100"/>
          <w:position w:val="0"/>
        </w:rPr>
        <w:t>1</w:t>
      </w:r>
      <w:bookmarkEnd w:id="328"/>
      <w:r>
        <w:rPr>
          <w:b/>
          <w:bCs/>
          <w:color w:val="000000"/>
          <w:spacing w:val="0"/>
          <w:w w:val="100"/>
          <w:position w:val="0"/>
        </w:rPr>
        <w:t>、本报告期股东大会情况</w:t>
      </w:r>
    </w:p>
    <w:tbl>
      <w:tblPr>
        <w:tblOverlap w:val="never"/>
        <w:jc w:val="center"/>
        <w:tblLayout w:type="fixed"/>
      </w:tblPr>
      <w:tblGrid>
        <w:gridCol w:w="1603"/>
        <w:gridCol w:w="1598"/>
        <w:gridCol w:w="1090"/>
        <w:gridCol w:w="1843"/>
        <w:gridCol w:w="184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会议决议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 xml:space="preserve">巨潮资讯网（公 告编号： </w:t>
            </w:r>
            <w:r>
              <w:rPr>
                <w:rFonts w:ascii="Times New Roman" w:eastAsia="Times New Roman" w:hAnsi="Times New Roman" w:cs="Times New Roman"/>
                <w:color w:val="000000"/>
                <w:spacing w:val="0"/>
                <w:w w:val="100"/>
                <w:position w:val="0"/>
                <w:sz w:val="22"/>
                <w:szCs w:val="22"/>
              </w:rPr>
              <w:t>2021-030</w:t>
            </w:r>
            <w:r>
              <w:rPr>
                <w:color w:val="000000"/>
                <w:spacing w:val="0"/>
                <w:w w:val="100"/>
                <w:position w:val="0"/>
                <w:sz w:val="20"/>
                <w:szCs w:val="2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年第一次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9.3317%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 xml:space="preserve">巨潮资讯网（公 告编号： </w:t>
            </w:r>
            <w:r>
              <w:rPr>
                <w:rFonts w:ascii="Times New Roman" w:eastAsia="Times New Roman" w:hAnsi="Times New Roman" w:cs="Times New Roman"/>
                <w:color w:val="000000"/>
                <w:spacing w:val="0"/>
                <w:w w:val="100"/>
                <w:position w:val="0"/>
                <w:sz w:val="22"/>
                <w:szCs w:val="22"/>
              </w:rPr>
              <w:t>2021-053</w:t>
            </w:r>
            <w:r>
              <w:rPr>
                <w:color w:val="000000"/>
                <w:spacing w:val="0"/>
                <w:w w:val="100"/>
                <w:position w:val="0"/>
                <w:sz w:val="20"/>
                <w:szCs w:val="20"/>
              </w:rPr>
              <w:t>）</w:t>
            </w:r>
          </w:p>
        </w:tc>
      </w:tr>
    </w:tbl>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、表决权恢复的优先股股东请求召开临时股东大会</w:t>
      </w:r>
    </w:p>
    <w:p>
      <w:pPr>
        <w:widowControl w:val="0"/>
        <w:spacing w:after="379" w:line="1" w:lineRule="exact"/>
      </w:pPr>
    </w:p>
    <w:p>
      <w:pPr>
        <w:pStyle w:val="Style13"/>
        <w:keepNext w:val="0"/>
        <w:keepLines w:val="0"/>
        <w:widowControl w:val="0"/>
        <w:shd w:val="clear" w:color="auto" w:fill="auto"/>
        <w:bidi w:val="0"/>
        <w:spacing w:before="0" w:after="200" w:line="240" w:lineRule="auto"/>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3"/>
        <w:keepNext/>
        <w:keepLines/>
        <w:widowControl w:val="0"/>
        <w:shd w:val="clear" w:color="auto" w:fill="auto"/>
        <w:bidi w:val="0"/>
        <w:spacing w:before="0" w:after="420" w:line="240" w:lineRule="auto"/>
        <w:ind w:left="0" w:right="0" w:firstLine="820"/>
        <w:jc w:val="both"/>
      </w:pPr>
      <w:bookmarkStart w:id="329" w:name="bookmark329"/>
      <w:bookmarkStart w:id="330" w:name="bookmark330"/>
      <w:bookmarkStart w:id="331" w:name="bookmark331"/>
      <w:bookmarkStart w:id="332" w:name="bookmark332"/>
      <w:r>
        <w:rPr>
          <w:color w:val="000000"/>
          <w:spacing w:val="0"/>
          <w:w w:val="100"/>
          <w:position w:val="0"/>
        </w:rPr>
        <w:t>五</w:t>
      </w:r>
      <w:bookmarkEnd w:id="331"/>
      <w:r>
        <w:rPr>
          <w:color w:val="000000"/>
          <w:spacing w:val="0"/>
          <w:w w:val="100"/>
          <w:position w:val="0"/>
        </w:rPr>
        <w:t>、公司具有表决权差异安排</w:t>
      </w:r>
      <w:bookmarkEnd w:id="329"/>
      <w:bookmarkEnd w:id="330"/>
      <w:bookmarkEnd w:id="332"/>
    </w:p>
    <w:p>
      <w:pPr>
        <w:pStyle w:val="Style13"/>
        <w:keepNext w:val="0"/>
        <w:keepLines w:val="0"/>
        <w:widowControl w:val="0"/>
        <w:shd w:val="clear" w:color="auto" w:fill="auto"/>
        <w:bidi w:val="0"/>
        <w:spacing w:before="0" w:after="420" w:line="240" w:lineRule="auto"/>
        <w:ind w:left="0" w:right="0" w:firstLine="8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after="420" w:line="240" w:lineRule="auto"/>
        <w:ind w:left="0" w:right="0" w:firstLine="820"/>
        <w:jc w:val="both"/>
      </w:pPr>
      <w:bookmarkStart w:id="333" w:name="bookmark333"/>
      <w:bookmarkStart w:id="334" w:name="bookmark334"/>
      <w:bookmarkStart w:id="335" w:name="bookmark335"/>
      <w:bookmarkStart w:id="336" w:name="bookmark336"/>
      <w:r>
        <w:rPr>
          <w:color w:val="000000"/>
          <w:spacing w:val="0"/>
          <w:w w:val="100"/>
          <w:position w:val="0"/>
        </w:rPr>
        <w:t>六</w:t>
      </w:r>
      <w:bookmarkEnd w:id="335"/>
      <w:r>
        <w:rPr>
          <w:color w:val="000000"/>
          <w:spacing w:val="0"/>
          <w:w w:val="100"/>
          <w:position w:val="0"/>
        </w:rPr>
        <w:t>、红筹架构公司治理情况</w:t>
      </w:r>
      <w:bookmarkEnd w:id="333"/>
      <w:bookmarkEnd w:id="334"/>
      <w:bookmarkEnd w:id="336"/>
    </w:p>
    <w:p>
      <w:pPr>
        <w:pStyle w:val="Style13"/>
        <w:keepNext w:val="0"/>
        <w:keepLines w:val="0"/>
        <w:widowControl w:val="0"/>
        <w:shd w:val="clear" w:color="auto" w:fill="auto"/>
        <w:bidi w:val="0"/>
        <w:spacing w:before="0" w:after="420" w:line="240" w:lineRule="auto"/>
        <w:ind w:left="0" w:right="0" w:firstLine="8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820"/>
        <w:jc w:val="both"/>
      </w:pPr>
      <w:bookmarkStart w:id="337" w:name="bookmark337"/>
      <w:bookmarkStart w:id="338" w:name="bookmark338"/>
      <w:bookmarkStart w:id="339" w:name="bookmark339"/>
      <w:bookmarkStart w:id="340" w:name="bookmark340"/>
      <w:r>
        <w:rPr>
          <w:color w:val="000000"/>
          <w:spacing w:val="0"/>
          <w:w w:val="100"/>
          <w:position w:val="0"/>
        </w:rPr>
        <w:t>七</w:t>
      </w:r>
      <w:bookmarkEnd w:id="339"/>
      <w:r>
        <w:rPr>
          <w:color w:val="000000"/>
          <w:spacing w:val="0"/>
          <w:w w:val="100"/>
          <w:position w:val="0"/>
        </w:rPr>
        <w:t>、董事、监事和高级管理人员情况</w:t>
      </w:r>
      <w:bookmarkEnd w:id="337"/>
      <w:bookmarkEnd w:id="338"/>
      <w:bookmarkEnd w:id="340"/>
    </w:p>
    <w:p>
      <w:pPr>
        <w:pStyle w:val="Style13"/>
        <w:keepNext w:val="0"/>
        <w:keepLines w:val="0"/>
        <w:widowControl w:val="0"/>
        <w:shd w:val="clear" w:color="auto" w:fill="auto"/>
        <w:bidi w:val="0"/>
        <w:spacing w:before="0" w:after="300" w:line="240" w:lineRule="auto"/>
        <w:ind w:left="0" w:right="0" w:firstLine="820"/>
        <w:jc w:val="both"/>
      </w:pPr>
      <w:bookmarkStart w:id="341" w:name="bookmark341"/>
      <w:r>
        <w:rPr>
          <w:rFonts w:ascii="Times New Roman" w:eastAsia="Times New Roman" w:hAnsi="Times New Roman" w:cs="Times New Roman"/>
          <w:b/>
          <w:bCs/>
          <w:color w:val="000000"/>
          <w:spacing w:val="0"/>
          <w:w w:val="100"/>
          <w:position w:val="0"/>
        </w:rPr>
        <w:t>1</w:t>
      </w:r>
      <w:bookmarkEnd w:id="341"/>
      <w:r>
        <w:rPr>
          <w:b/>
          <w:bCs/>
          <w:color w:val="000000"/>
          <w:spacing w:val="0"/>
          <w:w w:val="100"/>
          <w:position w:val="0"/>
        </w:rPr>
        <w:t>、基本情况</w:t>
      </w:r>
    </w:p>
    <w:tbl>
      <w:tblPr>
        <w:tblOverlap w:val="never"/>
        <w:jc w:val="center"/>
        <w:tblLayout w:type="fixed"/>
      </w:tblPr>
      <w:tblGrid>
        <w:gridCol w:w="643"/>
        <w:gridCol w:w="638"/>
        <w:gridCol w:w="643"/>
        <w:gridCol w:w="638"/>
        <w:gridCol w:w="638"/>
        <w:gridCol w:w="638"/>
        <w:gridCol w:w="638"/>
        <w:gridCol w:w="1056"/>
        <w:gridCol w:w="638"/>
        <w:gridCol w:w="1056"/>
        <w:gridCol w:w="994"/>
        <w:gridCol w:w="638"/>
        <w:gridCol w:w="638"/>
        <w:gridCol w:w="1133"/>
        <w:gridCol w:w="64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任期</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起始</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任期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期初持股</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股票</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被授予的 限制性股 票数量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160" w:firstLine="0"/>
              <w:jc w:val="right"/>
              <w:rPr>
                <w:sz w:val="20"/>
                <w:szCs w:val="20"/>
              </w:rPr>
            </w:pPr>
            <w:r>
              <w:rPr>
                <w:color w:val="000000"/>
                <w:spacing w:val="0"/>
                <w:w w:val="100"/>
                <w:position w:val="0"/>
                <w:sz w:val="20"/>
                <w:szCs w:val="20"/>
              </w:rPr>
              <w:t>本期增持</w:t>
            </w:r>
          </w:p>
          <w:p>
            <w:pPr>
              <w:pStyle w:val="Style2"/>
              <w:keepNext w:val="0"/>
              <w:keepLines w:val="0"/>
              <w:widowControl w:val="0"/>
              <w:shd w:val="clear" w:color="auto" w:fill="auto"/>
              <w:bidi w:val="0"/>
              <w:spacing w:before="0" w:after="60" w:line="240" w:lineRule="auto"/>
              <w:ind w:left="0" w:right="160" w:firstLine="0"/>
              <w:jc w:val="right"/>
              <w:rPr>
                <w:sz w:val="20"/>
                <w:szCs w:val="20"/>
              </w:rPr>
            </w:pPr>
            <w:r>
              <w:rPr>
                <w:color w:val="000000"/>
                <w:spacing w:val="0"/>
                <w:w w:val="100"/>
                <w:position w:val="0"/>
                <w:sz w:val="20"/>
                <w:szCs w:val="20"/>
              </w:rPr>
              <w:t>股份数量</w:t>
            </w:r>
          </w:p>
          <w:p>
            <w:pPr>
              <w:pStyle w:val="Style2"/>
              <w:keepNext w:val="0"/>
              <w:keepLines w:val="0"/>
              <w:widowControl w:val="0"/>
              <w:shd w:val="clear" w:color="auto" w:fill="auto"/>
              <w:bidi w:val="0"/>
              <w:spacing w:before="0" w:after="60" w:line="240" w:lineRule="auto"/>
              <w:ind w:left="0" w:right="160" w:firstLine="0"/>
              <w:jc w:val="right"/>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本期</w:t>
            </w:r>
          </w:p>
          <w:p>
            <w:pPr>
              <w:pStyle w:val="Style2"/>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减持</w:t>
            </w:r>
          </w:p>
          <w:p>
            <w:pPr>
              <w:pStyle w:val="Style2"/>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股份</w:t>
            </w:r>
          </w:p>
          <w:p>
            <w:pPr>
              <w:pStyle w:val="Style2"/>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其他 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期末持股</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股份 增减 变动 的原 因</w:t>
            </w:r>
          </w:p>
        </w:tc>
      </w:tr>
      <w:tr>
        <w:trPr>
          <w:trHeight w:val="7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孙迎 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董事 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2018</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auto"/>
              <w:ind w:left="0" w:right="0" w:firstLine="0"/>
              <w:jc w:val="left"/>
            </w:pPr>
            <w:r>
              <w:rPr>
                <w:rFonts w:ascii="Times New Roman" w:eastAsia="Times New Roman" w:hAnsi="Times New Roman" w:cs="Times New Roman"/>
                <w:color w:val="000000"/>
                <w:spacing w:val="0"/>
                <w:w w:val="100"/>
                <w:position w:val="0"/>
              </w:rPr>
              <w:t xml:space="preserve">2024- </w:t>
            </w:r>
            <w:r>
              <w:rPr>
                <w:rFonts w:ascii="Times New Roman" w:eastAsia="Times New Roman" w:hAnsi="Times New Roman" w:cs="Times New Roman"/>
                <w:color w:val="000000"/>
                <w:spacing w:val="0"/>
                <w:w w:val="100"/>
                <w:position w:val="0"/>
              </w:rPr>
              <w:t>05-17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16,744,400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22,244,400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股权</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激励</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授予</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总经 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2009</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1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阚玉 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董事</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副总</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2024</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股权</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激励</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授予</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2015</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2024</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陈卫 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独立</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2024</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郝丹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独立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2024</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舒小</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独立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2024</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王文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独立</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2024</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王渝 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监事</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2018</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2024</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杨志 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职工</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代表</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2015</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2024</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tbl>
      <w:tblPr>
        <w:tblOverlap w:val="never"/>
        <w:jc w:val="center"/>
        <w:tblLayout w:type="fixed"/>
      </w:tblPr>
      <w:tblGrid>
        <w:gridCol w:w="643"/>
        <w:gridCol w:w="638"/>
        <w:gridCol w:w="643"/>
        <w:gridCol w:w="638"/>
        <w:gridCol w:w="638"/>
        <w:gridCol w:w="638"/>
        <w:gridCol w:w="638"/>
        <w:gridCol w:w="1056"/>
        <w:gridCol w:w="638"/>
        <w:gridCol w:w="1056"/>
        <w:gridCol w:w="994"/>
        <w:gridCol w:w="638"/>
        <w:gridCol w:w="638"/>
        <w:gridCol w:w="1133"/>
        <w:gridCol w:w="64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林玉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2024</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梁洁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副总</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2014</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2024</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股权</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激励</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授予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肖德 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副总</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2019</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2024</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股权</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激励</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授予</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副总</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2019</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rPr>
              <w:t xml:space="preserve">2024- </w:t>
            </w:r>
            <w:r>
              <w:rPr>
                <w:rFonts w:ascii="Times New Roman" w:eastAsia="Times New Roman" w:hAnsi="Times New Roman" w:cs="Times New Roman"/>
                <w:color w:val="000000"/>
                <w:spacing w:val="0"/>
                <w:w w:val="100"/>
                <w:position w:val="0"/>
              </w:rPr>
              <w:t>05-17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股权</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激励</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授予</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财务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2018</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叶艳 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副总</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rPr>
              <w:t xml:space="preserve">2024- </w:t>
            </w:r>
            <w:r>
              <w:rPr>
                <w:rFonts w:ascii="Times New Roman" w:eastAsia="Times New Roman" w:hAnsi="Times New Roman" w:cs="Times New Roman"/>
                <w:color w:val="000000"/>
                <w:spacing w:val="0"/>
                <w:w w:val="100"/>
                <w:position w:val="0"/>
              </w:rPr>
              <w:t>05-17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股权</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激励</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授予</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董事</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会秘</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06-11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孟亚</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独立</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2015</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二级 市场 买入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肖幼 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独立</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2018</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刘震 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独立</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2018</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朱永 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副董</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2018</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05-16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副总</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2017</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09-27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陈子 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副总</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2019</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16,746,400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26,260,400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820"/>
        <w:jc w:val="left"/>
      </w:pPr>
      <w:r>
        <w:rPr>
          <w:color w:val="000000"/>
          <w:spacing w:val="0"/>
          <w:w w:val="100"/>
          <w:position w:val="0"/>
        </w:rPr>
        <w:t>报告期是否存在任期内董事、监事离任和高级管理人员解聘的情况</w:t>
      </w:r>
    </w:p>
    <w:p>
      <w:pPr>
        <w:pStyle w:val="Style13"/>
        <w:keepNext w:val="0"/>
        <w:keepLines w:val="0"/>
        <w:widowControl w:val="0"/>
        <w:shd w:val="clear" w:color="auto" w:fill="auto"/>
        <w:bidi w:val="0"/>
        <w:spacing w:before="0" w:after="24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3"/>
        <w:keepNext w:val="0"/>
        <w:keepLines w:val="0"/>
        <w:widowControl w:val="0"/>
        <w:shd w:val="clear" w:color="auto" w:fill="auto"/>
        <w:bidi w:val="0"/>
        <w:spacing w:before="0" w:after="240" w:line="240" w:lineRule="auto"/>
        <w:ind w:left="0" w:right="0" w:firstLine="820"/>
        <w:jc w:val="left"/>
      </w:pPr>
      <w:r>
        <w:rPr>
          <w:color w:val="000000"/>
          <w:spacing w:val="0"/>
          <w:w w:val="100"/>
          <w:position w:val="0"/>
        </w:rPr>
        <w:t>公司董事、监事、高级管理人员变动情况</w:t>
      </w:r>
    </w:p>
    <w:p>
      <w:pPr>
        <w:pStyle w:val="Style13"/>
        <w:keepNext w:val="0"/>
        <w:keepLines w:val="0"/>
        <w:widowControl w:val="0"/>
        <w:shd w:val="clear" w:color="auto" w:fill="auto"/>
        <w:bidi w:val="0"/>
        <w:spacing w:before="0" w:after="240" w:line="240" w:lineRule="auto"/>
        <w:ind w:left="0" w:right="0" w:firstLine="8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142"/>
        <w:gridCol w:w="1526"/>
        <w:gridCol w:w="1330"/>
        <w:gridCol w:w="1680"/>
        <w:gridCol w:w="3907"/>
      </w:tblGrid>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董事会换届选举</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阚玉伦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董事会换届选举</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董事会换届选举</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陈卫武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董事会换届选举</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郝丹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董事会换届选举</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舒小斌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董事会换届选举</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王文若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董事会换届选举</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监事会换届选举</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杨志红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监事会换届选举</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林玉华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监事会换届选举</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第五届董事会第一次会议审议通过</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阚玉伦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第五届董事会第一次会议审议通过</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梁洁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第五届董事会第一次会议审议通过</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肖德银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第五届董事会第一次会议审议通过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副总经理、财务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第五届董事会第一次会议审议通过</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叶艳桃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副总经理、董事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第五届董事会第一次会议审议通过</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朱永民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副董事长、副总</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陈子勤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孟亚平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r>
      <w:tr>
        <w:trPr>
          <w:trHeight w:val="4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刘震国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r>
    </w:tbl>
    <w:p>
      <w:pPr>
        <w:widowControl w:val="0"/>
        <w:spacing w:after="319" w:line="1" w:lineRule="exact"/>
      </w:pPr>
    </w:p>
    <w:p>
      <w:pPr>
        <w:pStyle w:val="Style37"/>
        <w:keepNext/>
        <w:keepLines/>
        <w:widowControl w:val="0"/>
        <w:shd w:val="clear" w:color="auto" w:fill="auto"/>
        <w:bidi w:val="0"/>
        <w:spacing w:before="0" w:after="420" w:line="240" w:lineRule="auto"/>
        <w:ind w:left="0" w:right="0" w:firstLine="80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、任职情况</w:t>
      </w:r>
      <w:bookmarkEnd w:id="342"/>
      <w:bookmarkEnd w:id="343"/>
      <w:bookmarkEnd w:id="345"/>
    </w:p>
    <w:p>
      <w:pPr>
        <w:pStyle w:val="Style1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公司现任董事、监事、高级管理人员专业背景、主要工作经历以及目前在公司的主要职责</w:t>
      </w:r>
    </w:p>
    <w:p>
      <w:pPr>
        <w:pStyle w:val="Style37"/>
        <w:keepNext/>
        <w:keepLines/>
        <w:widowControl w:val="0"/>
        <w:shd w:val="clear" w:color="auto" w:fill="auto"/>
        <w:bidi w:val="0"/>
        <w:spacing w:before="0" w:after="220" w:line="240" w:lineRule="auto"/>
        <w:ind w:left="1360" w:right="0" w:firstLine="0"/>
        <w:jc w:val="left"/>
      </w:pPr>
      <w:bookmarkStart w:id="346" w:name="bookmark346"/>
      <w:bookmarkStart w:id="347" w:name="bookmark347"/>
      <w:bookmarkStart w:id="348" w:name="bookmark348"/>
      <w:bookmarkStart w:id="349" w:name="bookmark349"/>
      <w:r>
        <w:rPr>
          <w:color w:val="000000"/>
          <w:spacing w:val="0"/>
          <w:w w:val="100"/>
          <w:position w:val="0"/>
        </w:rPr>
        <w:t>（</w:t>
      </w:r>
      <w:bookmarkEnd w:id="348"/>
      <w:r>
        <w:rPr>
          <w:rFonts w:ascii="Times New Roman" w:eastAsia="Times New Roman" w:hAnsi="Times New Roman" w:cs="Times New Roman"/>
          <w:color w:val="000000"/>
          <w:spacing w:val="0"/>
          <w:w w:val="100"/>
          <w:position w:val="0"/>
        </w:rPr>
        <w:t>1</w:t>
      </w:r>
      <w:r>
        <w:rPr>
          <w:color w:val="000000"/>
          <w:spacing w:val="0"/>
          <w:w w:val="100"/>
          <w:position w:val="0"/>
        </w:rPr>
        <w:t>）董事会成员</w:t>
      </w:r>
      <w:bookmarkEnd w:id="346"/>
      <w:bookmarkEnd w:id="347"/>
      <w:bookmarkEnd w:id="349"/>
    </w:p>
    <w:p>
      <w:pPr>
        <w:pStyle w:val="Style13"/>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孙迎彤</w:t>
      </w:r>
      <w:r>
        <w:rPr>
          <w:color w:val="000000"/>
          <w:spacing w:val="0"/>
          <w:w w:val="100"/>
          <w:position w:val="0"/>
        </w:rPr>
        <w:t>先生，公司董事长、总经理。中国国籍，无境外永久居留权。</w:t>
      </w:r>
      <w:r>
        <w:rPr>
          <w:rFonts w:ascii="Times New Roman" w:eastAsia="Times New Roman" w:hAnsi="Times New Roman" w:cs="Times New Roman"/>
          <w:color w:val="000000"/>
          <w:spacing w:val="0"/>
          <w:w w:val="100"/>
          <w:position w:val="0"/>
        </w:rPr>
        <w:t>1972</w:t>
      </w:r>
      <w:r>
        <w:rPr>
          <w:color w:val="000000"/>
          <w:spacing w:val="0"/>
          <w:w w:val="100"/>
          <w:position w:val="0"/>
        </w:rPr>
        <w:t xml:space="preserve">年出生，研究生学 </w:t>
      </w:r>
      <w:r>
        <w:rPr>
          <w:color w:val="000000"/>
          <w:spacing w:val="0"/>
          <w:w w:val="100"/>
          <w:position w:val="0"/>
        </w:rPr>
        <w:t>历，曾任国投电子业务副主管，国投公司办公厅业务主管，国投机轻有限公司项目经理，国投高 科项目经理、高级项目经理。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年，任公司副总经理；</w:t>
      </w:r>
      <w:r>
        <w:rPr>
          <w:rFonts w:ascii="Times New Roman" w:eastAsia="Times New Roman" w:hAnsi="Times New Roman" w:cs="Times New Roman"/>
          <w:color w:val="000000"/>
          <w:spacing w:val="0"/>
          <w:w w:val="100"/>
          <w:position w:val="0"/>
        </w:rPr>
        <w:t>2005</w:t>
      </w:r>
      <w:r>
        <w:rPr>
          <w:color w:val="000000"/>
          <w:spacing w:val="0"/>
          <w:w w:val="100"/>
          <w:position w:val="0"/>
        </w:rPr>
        <w:t>年至今，任公司总经理。</w:t>
      </w:r>
    </w:p>
    <w:p>
      <w:pPr>
        <w:pStyle w:val="Style13"/>
        <w:keepNext w:val="0"/>
        <w:keepLines w:val="0"/>
        <w:widowControl w:val="0"/>
        <w:shd w:val="clear" w:color="auto" w:fill="auto"/>
        <w:bidi w:val="0"/>
        <w:spacing w:before="0" w:after="40" w:line="470" w:lineRule="exact"/>
        <w:ind w:left="820" w:right="0" w:firstLine="460"/>
        <w:jc w:val="both"/>
      </w:pPr>
      <w:r>
        <w:rPr>
          <w:b/>
          <w:bCs/>
          <w:color w:val="000000"/>
          <w:spacing w:val="0"/>
          <w:w w:val="100"/>
          <w:position w:val="0"/>
        </w:rPr>
        <w:t>阚玉伦</w:t>
      </w:r>
      <w:r>
        <w:rPr>
          <w:color w:val="000000"/>
          <w:spacing w:val="0"/>
          <w:w w:val="100"/>
          <w:position w:val="0"/>
        </w:rPr>
        <w:t>先生，公司董事、常务副总经理。中国国籍，无境外永久居留权，</w:t>
      </w:r>
      <w:r>
        <w:rPr>
          <w:rFonts w:ascii="Times New Roman" w:eastAsia="Times New Roman" w:hAnsi="Times New Roman" w:cs="Times New Roman"/>
          <w:color w:val="000000"/>
          <w:spacing w:val="0"/>
          <w:w w:val="100"/>
          <w:position w:val="0"/>
        </w:rPr>
        <w:t>1970</w:t>
      </w:r>
      <w:r>
        <w:rPr>
          <w:color w:val="000000"/>
          <w:spacing w:val="0"/>
          <w:w w:val="100"/>
          <w:position w:val="0"/>
        </w:rPr>
        <w:t>年出生。毕业 于东南大学物理电子学与光电子学专业，硕士研究生学历。历任中兴通讯股份有限公司通讯技术 中心副主任、业务产品线总经理、中兴通讯副总裁兼手机事业部研发总经理、欧拉非经营部总经 理；永迈科技（嘉兴）有限公司董事长兼</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高新兴科技集团股份有限公司董事、副总经理， 高新兴集团物联网事业群总经理，兼任高新兴物联科技有限公司董事及总经理、深圳高新兴物联 科技有限公司董事及总经理、西安中兴物联软件有限公司执行董事及法定代表人。</w:t>
      </w:r>
    </w:p>
    <w:p>
      <w:pPr>
        <w:pStyle w:val="Style13"/>
        <w:keepNext w:val="0"/>
        <w:keepLines w:val="0"/>
        <w:widowControl w:val="0"/>
        <w:shd w:val="clear" w:color="auto" w:fill="auto"/>
        <w:bidi w:val="0"/>
        <w:spacing w:before="0" w:after="40" w:line="463" w:lineRule="exact"/>
        <w:ind w:left="820" w:right="0" w:firstLine="460"/>
        <w:jc w:val="both"/>
      </w:pPr>
      <w:r>
        <w:rPr>
          <w:b/>
          <w:bCs/>
          <w:color w:val="000000"/>
          <w:spacing w:val="0"/>
          <w:w w:val="100"/>
          <w:position w:val="0"/>
        </w:rPr>
        <w:t>俞鹏</w:t>
      </w:r>
      <w:r>
        <w:rPr>
          <w:color w:val="000000"/>
          <w:spacing w:val="0"/>
          <w:w w:val="100"/>
          <w:position w:val="0"/>
        </w:rPr>
        <w:t>女士，公司董事。中国国籍，无境外永久居留权。</w:t>
      </w:r>
      <w:r>
        <w:rPr>
          <w:rFonts w:ascii="Times New Roman" w:eastAsia="Times New Roman" w:hAnsi="Times New Roman" w:cs="Times New Roman"/>
          <w:color w:val="000000"/>
          <w:spacing w:val="0"/>
          <w:w w:val="100"/>
          <w:position w:val="0"/>
        </w:rPr>
        <w:t>1963</w:t>
      </w:r>
      <w:r>
        <w:rPr>
          <w:color w:val="000000"/>
          <w:spacing w:val="0"/>
          <w:w w:val="100"/>
          <w:position w:val="0"/>
        </w:rPr>
        <w:t>年出生，工商管理硕士，高级会 计师。曾于北京有色金属研究总院、中国有色金属工业总公司从事财务管理工作，历任中鑫集团 公司总经理助理、中国财务公司协会财务部主任、北京利信坤矿业投资有限公司副总经理兼财务 总监等。现任台海马努尔核电设备股份有限公司独立董事、明光浩淼安防科技股份有限公司独立 董事、中海油安全技术服务有限公司独立董事及重庆新铝时代科技股份有限公司独立董事。</w:t>
      </w:r>
    </w:p>
    <w:p>
      <w:pPr>
        <w:pStyle w:val="Style13"/>
        <w:keepNext w:val="0"/>
        <w:keepLines w:val="0"/>
        <w:widowControl w:val="0"/>
        <w:shd w:val="clear" w:color="auto" w:fill="auto"/>
        <w:bidi w:val="0"/>
        <w:spacing w:before="0" w:after="40" w:line="470" w:lineRule="exact"/>
        <w:ind w:left="820" w:right="0" w:firstLine="460"/>
        <w:jc w:val="both"/>
      </w:pPr>
      <w:r>
        <w:rPr>
          <w:b/>
          <w:bCs/>
          <w:color w:val="000000"/>
          <w:spacing w:val="0"/>
          <w:w w:val="100"/>
          <w:position w:val="0"/>
        </w:rPr>
        <w:t>陈卫武</w:t>
      </w:r>
      <w:r>
        <w:rPr>
          <w:color w:val="000000"/>
          <w:spacing w:val="0"/>
          <w:w w:val="100"/>
          <w:position w:val="0"/>
        </w:rPr>
        <w:t>先生，中国国籍，无永久境外居留权，</w:t>
      </w:r>
      <w:r>
        <w:rPr>
          <w:rFonts w:ascii="Times New Roman" w:eastAsia="Times New Roman" w:hAnsi="Times New Roman" w:cs="Times New Roman"/>
          <w:color w:val="000000"/>
          <w:spacing w:val="0"/>
          <w:w w:val="100"/>
          <w:position w:val="0"/>
        </w:rPr>
        <w:t>1981</w:t>
      </w:r>
      <w:r>
        <w:rPr>
          <w:color w:val="000000"/>
          <w:spacing w:val="0"/>
          <w:w w:val="100"/>
          <w:position w:val="0"/>
        </w:rPr>
        <w:t>年出生，广东海洋大学管理学学士，中国 注册会计师。曾任立信会计师事务所合伙人，负责卧龙地产、嘉应制药、东方精工等多家上市公 司证券业务，具有丰富的资本市场专业知识、经验。现任深圳市中美创兴资本管理有限公司副总 裁。</w:t>
      </w:r>
    </w:p>
    <w:p>
      <w:pPr>
        <w:pStyle w:val="Style13"/>
        <w:keepNext w:val="0"/>
        <w:keepLines w:val="0"/>
        <w:widowControl w:val="0"/>
        <w:shd w:val="clear" w:color="auto" w:fill="auto"/>
        <w:bidi w:val="0"/>
        <w:spacing w:before="0" w:after="40" w:line="469" w:lineRule="exact"/>
        <w:ind w:left="820" w:right="0" w:firstLine="460"/>
        <w:jc w:val="both"/>
      </w:pPr>
      <w:r>
        <w:rPr>
          <w:b/>
          <w:bCs/>
          <w:color w:val="000000"/>
          <w:spacing w:val="0"/>
          <w:w w:val="100"/>
          <w:position w:val="0"/>
        </w:rPr>
        <w:t>郝丹</w:t>
      </w:r>
      <w:r>
        <w:rPr>
          <w:color w:val="000000"/>
          <w:spacing w:val="0"/>
          <w:w w:val="100"/>
          <w:position w:val="0"/>
        </w:rPr>
        <w:t>女士，中国国籍，无永久境外居留权。</w:t>
      </w:r>
      <w:r>
        <w:rPr>
          <w:rFonts w:ascii="Times New Roman" w:eastAsia="Times New Roman" w:hAnsi="Times New Roman" w:cs="Times New Roman"/>
          <w:color w:val="000000"/>
          <w:spacing w:val="0"/>
          <w:w w:val="100"/>
          <w:position w:val="0"/>
        </w:rPr>
        <w:t>1981</w:t>
      </w:r>
      <w:r>
        <w:rPr>
          <w:color w:val="000000"/>
          <w:spacing w:val="0"/>
          <w:w w:val="100"/>
          <w:position w:val="0"/>
        </w:rPr>
        <w:t>年生，硕士研究生学历，历任北京司法局办 公室副主任、王府井集团法务主任、王府井置业有限公司副总经理、深圳兼固股权投资基金管理 有限公司风控负责人。现任广东远智先行股权投资基金管理有限公司总经理、风控负责人，深信 服科技股份有限公司（</w:t>
      </w:r>
      <w:r>
        <w:rPr>
          <w:rFonts w:ascii="Times New Roman" w:eastAsia="Times New Roman" w:hAnsi="Times New Roman" w:cs="Times New Roman"/>
          <w:color w:val="000000"/>
          <w:spacing w:val="0"/>
          <w:w w:val="100"/>
          <w:position w:val="0"/>
        </w:rPr>
        <w:t>300454</w:t>
      </w:r>
      <w:r>
        <w:rPr>
          <w:color w:val="000000"/>
          <w:spacing w:val="0"/>
          <w:w w:val="100"/>
          <w:position w:val="0"/>
        </w:rPr>
        <w:t>）独立董事、慧之安信息技术股份有限公司董事。</w:t>
      </w:r>
    </w:p>
    <w:p>
      <w:pPr>
        <w:pStyle w:val="Style13"/>
        <w:keepNext w:val="0"/>
        <w:keepLines w:val="0"/>
        <w:widowControl w:val="0"/>
        <w:shd w:val="clear" w:color="auto" w:fill="auto"/>
        <w:bidi w:val="0"/>
        <w:spacing w:before="0" w:after="40" w:line="472" w:lineRule="exact"/>
        <w:ind w:left="820" w:right="0" w:firstLine="460"/>
        <w:jc w:val="both"/>
      </w:pPr>
      <w:r>
        <w:rPr>
          <w:b/>
          <w:bCs/>
          <w:color w:val="000000"/>
          <w:spacing w:val="0"/>
          <w:w w:val="100"/>
          <w:position w:val="0"/>
        </w:rPr>
        <w:t>舒小斌</w:t>
      </w:r>
      <w:r>
        <w:rPr>
          <w:color w:val="000000"/>
          <w:spacing w:val="0"/>
          <w:w w:val="100"/>
          <w:position w:val="0"/>
        </w:rPr>
        <w:t>先生，中国国籍，</w:t>
      </w:r>
      <w:r>
        <w:rPr>
          <w:rFonts w:ascii="Times New Roman" w:eastAsia="Times New Roman" w:hAnsi="Times New Roman" w:cs="Times New Roman"/>
          <w:color w:val="000000"/>
          <w:spacing w:val="0"/>
          <w:w w:val="100"/>
          <w:position w:val="0"/>
        </w:rPr>
        <w:t>1968</w:t>
      </w:r>
      <w:r>
        <w:rPr>
          <w:color w:val="000000"/>
          <w:spacing w:val="0"/>
          <w:w w:val="100"/>
          <w:position w:val="0"/>
        </w:rPr>
        <w:t>年出生，中国人民大学硕士研究生学历，高级经济师。曾任国 投高科技投资有限公司、国家开发投资公司汽车零部件投资部、国投机轻有限公司项目经理、高 级项目经理，国投创新投资管理有限公司董事总经理，博天环境集团股份有限公司（</w:t>
      </w:r>
      <w:r>
        <w:rPr>
          <w:rFonts w:ascii="Times New Roman" w:eastAsia="Times New Roman" w:hAnsi="Times New Roman" w:cs="Times New Roman"/>
          <w:color w:val="000000"/>
          <w:spacing w:val="0"/>
          <w:w w:val="100"/>
          <w:position w:val="0"/>
        </w:rPr>
        <w:t>603603</w:t>
      </w:r>
      <w:r>
        <w:rPr>
          <w:color w:val="000000"/>
          <w:spacing w:val="0"/>
          <w:w w:val="100"/>
          <w:position w:val="0"/>
        </w:rPr>
        <w:t>）公 司董事。现任国投招商投资管理有限公司董事总经理。</w:t>
      </w:r>
    </w:p>
    <w:p>
      <w:pPr>
        <w:pStyle w:val="Style13"/>
        <w:keepNext w:val="0"/>
        <w:keepLines w:val="0"/>
        <w:widowControl w:val="0"/>
        <w:shd w:val="clear" w:color="auto" w:fill="auto"/>
        <w:bidi w:val="0"/>
        <w:spacing w:before="0" w:after="40" w:line="470" w:lineRule="exact"/>
        <w:ind w:left="820" w:right="0" w:firstLine="460"/>
        <w:jc w:val="both"/>
      </w:pPr>
      <w:r>
        <w:rPr>
          <w:b/>
          <w:bCs/>
          <w:color w:val="000000"/>
          <w:spacing w:val="0"/>
          <w:w w:val="100"/>
          <w:position w:val="0"/>
        </w:rPr>
        <w:t>王文若</w:t>
      </w:r>
      <w:r>
        <w:rPr>
          <w:color w:val="000000"/>
          <w:spacing w:val="0"/>
          <w:w w:val="100"/>
          <w:position w:val="0"/>
        </w:rPr>
        <w:t>女士，中国国籍，</w:t>
      </w:r>
      <w:r>
        <w:rPr>
          <w:rFonts w:ascii="Times New Roman" w:eastAsia="Times New Roman" w:hAnsi="Times New Roman" w:cs="Times New Roman"/>
          <w:color w:val="000000"/>
          <w:spacing w:val="0"/>
          <w:w w:val="100"/>
          <w:position w:val="0"/>
        </w:rPr>
        <w:t>1958</w:t>
      </w:r>
      <w:r>
        <w:rPr>
          <w:color w:val="000000"/>
          <w:spacing w:val="0"/>
          <w:w w:val="100"/>
          <w:position w:val="0"/>
        </w:rPr>
        <w:t>年出生，东北财经大学本科学历，高级会计师。曾任交通银行 担任交通银行支行副行长、光大银行深圳宝城支行任行长、中信银行深圳宝安支行任行长。现任 深圳市金证科技股份有限公司（</w:t>
      </w:r>
      <w:r>
        <w:rPr>
          <w:rFonts w:ascii="Times New Roman" w:eastAsia="Times New Roman" w:hAnsi="Times New Roman" w:cs="Times New Roman"/>
          <w:color w:val="000000"/>
          <w:spacing w:val="0"/>
          <w:w w:val="100"/>
          <w:position w:val="0"/>
        </w:rPr>
        <w:t>600466</w:t>
      </w:r>
      <w:r>
        <w:rPr>
          <w:color w:val="000000"/>
          <w:spacing w:val="0"/>
          <w:w w:val="100"/>
          <w:position w:val="0"/>
        </w:rPr>
        <w:t>）独立董事、深圳市豪鹏科技股份有限公司（</w:t>
      </w:r>
      <w:r>
        <w:rPr>
          <w:rFonts w:ascii="Times New Roman" w:eastAsia="Times New Roman" w:hAnsi="Times New Roman" w:cs="Times New Roman"/>
          <w:color w:val="000000"/>
          <w:spacing w:val="0"/>
          <w:w w:val="100"/>
          <w:position w:val="0"/>
        </w:rPr>
        <w:t>660818</w:t>
      </w:r>
      <w:r>
        <w:rPr>
          <w:color w:val="000000"/>
          <w:spacing w:val="0"/>
          <w:w w:val="100"/>
          <w:position w:val="0"/>
        </w:rPr>
        <w:t>）独 立董事。</w:t>
      </w:r>
    </w:p>
    <w:p>
      <w:pPr>
        <w:pStyle w:val="Style37"/>
        <w:keepNext/>
        <w:keepLines/>
        <w:widowControl w:val="0"/>
        <w:shd w:val="clear" w:color="auto" w:fill="auto"/>
        <w:bidi w:val="0"/>
        <w:spacing w:before="0" w:after="40" w:line="469" w:lineRule="exact"/>
        <w:ind w:left="1360" w:right="0" w:firstLine="0"/>
        <w:jc w:val="both"/>
      </w:pPr>
      <w:bookmarkStart w:id="350" w:name="bookmark350"/>
      <w:bookmarkStart w:id="351" w:name="bookmark351"/>
      <w:bookmarkStart w:id="352" w:name="bookmark352"/>
      <w:bookmarkStart w:id="353" w:name="bookmark353"/>
      <w:r>
        <w:rPr>
          <w:color w:val="000000"/>
          <w:spacing w:val="0"/>
          <w:w w:val="100"/>
          <w:position w:val="0"/>
        </w:rPr>
        <w:t>（</w:t>
      </w:r>
      <w:bookmarkEnd w:id="352"/>
      <w:r>
        <w:rPr>
          <w:rFonts w:ascii="Times New Roman" w:eastAsia="Times New Roman" w:hAnsi="Times New Roman" w:cs="Times New Roman"/>
          <w:color w:val="000000"/>
          <w:spacing w:val="0"/>
          <w:w w:val="100"/>
          <w:position w:val="0"/>
        </w:rPr>
        <w:t>2</w:t>
      </w:r>
      <w:r>
        <w:rPr>
          <w:color w:val="000000"/>
          <w:spacing w:val="0"/>
          <w:w w:val="100"/>
          <w:position w:val="0"/>
        </w:rPr>
        <w:t>）监事会成员</w:t>
      </w:r>
      <w:bookmarkEnd w:id="350"/>
      <w:bookmarkEnd w:id="351"/>
      <w:bookmarkEnd w:id="353"/>
    </w:p>
    <w:p>
      <w:pPr>
        <w:pStyle w:val="Style13"/>
        <w:keepNext w:val="0"/>
        <w:keepLines w:val="0"/>
        <w:widowControl w:val="0"/>
        <w:shd w:val="clear" w:color="auto" w:fill="auto"/>
        <w:bidi w:val="0"/>
        <w:spacing w:before="0" w:after="40" w:line="469" w:lineRule="exact"/>
        <w:ind w:left="820" w:right="0" w:firstLine="460"/>
        <w:jc w:val="both"/>
      </w:pPr>
      <w:r>
        <w:rPr>
          <w:b/>
          <w:bCs/>
          <w:color w:val="000000"/>
          <w:spacing w:val="0"/>
          <w:w w:val="100"/>
          <w:position w:val="0"/>
        </w:rPr>
        <w:t>王渝次</w:t>
      </w:r>
      <w:r>
        <w:rPr>
          <w:color w:val="000000"/>
          <w:spacing w:val="0"/>
          <w:w w:val="100"/>
          <w:position w:val="0"/>
        </w:rPr>
        <w:t>先生，公司监事会主席。中国国籍，无境外永久居留权。</w:t>
      </w:r>
      <w:r>
        <w:rPr>
          <w:rFonts w:ascii="Times New Roman" w:eastAsia="Times New Roman" w:hAnsi="Times New Roman" w:cs="Times New Roman"/>
          <w:color w:val="000000"/>
          <w:spacing w:val="0"/>
          <w:w w:val="100"/>
          <w:position w:val="0"/>
        </w:rPr>
        <w:t>1953</w:t>
      </w:r>
      <w:r>
        <w:rPr>
          <w:color w:val="000000"/>
          <w:spacing w:val="0"/>
          <w:w w:val="100"/>
          <w:position w:val="0"/>
        </w:rPr>
        <w:t>年生，研究生学历，经 济学博士。</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月，任国民技术股份有限公司独立董事。曾任中央财经领导小组 办公室秘书组处长、秘书组副组长、经贸组巡视员；国务院信息化工作办公室综合组副组长、国 家信息化专家委秘书长、网络与信息安全组组长；国家邮政局副局长；中央企业专职外部董事。 现任北京数字认证股份有限公司独立董事。</w:t>
      </w:r>
    </w:p>
    <w:p>
      <w:pPr>
        <w:pStyle w:val="Style13"/>
        <w:keepNext w:val="0"/>
        <w:keepLines w:val="0"/>
        <w:widowControl w:val="0"/>
        <w:shd w:val="clear" w:color="auto" w:fill="auto"/>
        <w:bidi w:val="0"/>
        <w:spacing w:before="0" w:after="40" w:line="468" w:lineRule="exact"/>
        <w:ind w:left="820" w:right="0" w:firstLine="460"/>
        <w:jc w:val="both"/>
      </w:pPr>
      <w:r>
        <w:rPr>
          <w:b/>
          <w:bCs/>
          <w:color w:val="000000"/>
          <w:spacing w:val="0"/>
          <w:w w:val="100"/>
          <w:position w:val="0"/>
        </w:rPr>
        <w:t>杨志红</w:t>
      </w:r>
      <w:r>
        <w:rPr>
          <w:color w:val="000000"/>
          <w:spacing w:val="0"/>
          <w:w w:val="100"/>
          <w:position w:val="0"/>
        </w:rPr>
        <w:t>女士，公司职工代表监事。中国国籍，无境外永久居留权。</w:t>
      </w:r>
      <w:r>
        <w:rPr>
          <w:rFonts w:ascii="Times New Roman" w:eastAsia="Times New Roman" w:hAnsi="Times New Roman" w:cs="Times New Roman"/>
          <w:color w:val="000000"/>
          <w:spacing w:val="0"/>
          <w:w w:val="100"/>
          <w:position w:val="0"/>
        </w:rPr>
        <w:t>1965</w:t>
      </w:r>
      <w:r>
        <w:rPr>
          <w:color w:val="000000"/>
          <w:spacing w:val="0"/>
          <w:w w:val="100"/>
          <w:position w:val="0"/>
        </w:rPr>
        <w:t xml:space="preserve">年出生，大专学历。 </w:t>
      </w:r>
      <w:r>
        <w:rPr>
          <w:rFonts w:ascii="Times New Roman" w:eastAsia="Times New Roman" w:hAnsi="Times New Roman" w:cs="Times New Roman"/>
          <w:color w:val="000000"/>
          <w:spacing w:val="0"/>
          <w:w w:val="100"/>
          <w:position w:val="0"/>
        </w:rPr>
        <w:t>2000</w:t>
      </w:r>
      <w:r>
        <w:rPr>
          <w:color w:val="000000"/>
          <w:spacing w:val="0"/>
          <w:w w:val="100"/>
          <w:position w:val="0"/>
        </w:rPr>
        <w:t>年加入公司，现任公司人力资源部薪酬经理。</w:t>
      </w:r>
    </w:p>
    <w:p>
      <w:pPr>
        <w:pStyle w:val="Style13"/>
        <w:keepNext w:val="0"/>
        <w:keepLines w:val="0"/>
        <w:widowControl w:val="0"/>
        <w:shd w:val="clear" w:color="auto" w:fill="auto"/>
        <w:bidi w:val="0"/>
        <w:spacing w:before="0" w:after="0" w:line="468" w:lineRule="exact"/>
        <w:ind w:left="820" w:right="0" w:firstLine="460"/>
        <w:jc w:val="both"/>
      </w:pPr>
      <w:r>
        <w:rPr>
          <w:b/>
          <w:bCs/>
          <w:color w:val="000000"/>
          <w:spacing w:val="0"/>
          <w:w w:val="100"/>
          <w:position w:val="0"/>
        </w:rPr>
        <w:t>林玉华</w:t>
      </w:r>
      <w:r>
        <w:rPr>
          <w:color w:val="000000"/>
          <w:spacing w:val="0"/>
          <w:w w:val="100"/>
          <w:position w:val="0"/>
        </w:rPr>
        <w:t>女士，公司监事。中国国籍，无境外永久居留权。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2007</w:t>
      </w:r>
      <w:r>
        <w:rPr>
          <w:color w:val="000000"/>
          <w:spacing w:val="0"/>
          <w:w w:val="100"/>
          <w:position w:val="0"/>
        </w:rPr>
        <w:t>年 加入公司，现任公司计划财务部副总监。</w:t>
      </w:r>
    </w:p>
    <w:p>
      <w:pPr>
        <w:pStyle w:val="Style37"/>
        <w:keepNext/>
        <w:keepLines/>
        <w:widowControl w:val="0"/>
        <w:shd w:val="clear" w:color="auto" w:fill="auto"/>
        <w:bidi w:val="0"/>
        <w:spacing w:before="0" w:after="40" w:line="468" w:lineRule="exact"/>
        <w:ind w:left="1160" w:right="0" w:firstLine="0"/>
        <w:jc w:val="both"/>
      </w:pPr>
      <w:bookmarkStart w:id="354" w:name="bookmark354"/>
      <w:bookmarkStart w:id="355" w:name="bookmark355"/>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3</w:t>
      </w:r>
      <w:r>
        <w:rPr>
          <w:color w:val="000000"/>
          <w:spacing w:val="0"/>
          <w:w w:val="100"/>
          <w:position w:val="0"/>
        </w:rPr>
        <w:t>）高级管理人员</w:t>
      </w:r>
      <w:bookmarkEnd w:id="354"/>
      <w:bookmarkEnd w:id="355"/>
      <w:bookmarkEnd w:id="357"/>
    </w:p>
    <w:p>
      <w:pPr>
        <w:pStyle w:val="Style13"/>
        <w:keepNext w:val="0"/>
        <w:keepLines w:val="0"/>
        <w:widowControl w:val="0"/>
        <w:shd w:val="clear" w:color="auto" w:fill="auto"/>
        <w:bidi w:val="0"/>
        <w:spacing w:before="0" w:after="40" w:line="468" w:lineRule="exact"/>
        <w:ind w:left="1280" w:right="0" w:firstLine="0"/>
        <w:jc w:val="both"/>
      </w:pPr>
      <w:r>
        <w:rPr>
          <w:b/>
          <w:bCs/>
          <w:color w:val="000000"/>
          <w:spacing w:val="0"/>
          <w:w w:val="100"/>
          <w:position w:val="0"/>
        </w:rPr>
        <w:t>孙迎彤</w:t>
      </w:r>
      <w:r>
        <w:rPr>
          <w:color w:val="000000"/>
          <w:spacing w:val="0"/>
          <w:w w:val="100"/>
          <w:position w:val="0"/>
        </w:rPr>
        <w:t>先生，公司董事长、总经理。个人简历见上“（</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13"/>
        <w:keepNext w:val="0"/>
        <w:keepLines w:val="0"/>
        <w:widowControl w:val="0"/>
        <w:shd w:val="clear" w:color="auto" w:fill="auto"/>
        <w:bidi w:val="0"/>
        <w:spacing w:before="0" w:after="40" w:line="469" w:lineRule="exact"/>
        <w:ind w:left="1280" w:right="0" w:firstLine="0"/>
        <w:jc w:val="both"/>
      </w:pPr>
      <w:r>
        <w:rPr>
          <w:b/>
          <w:bCs/>
          <w:color w:val="000000"/>
          <w:spacing w:val="0"/>
          <w:w w:val="100"/>
          <w:position w:val="0"/>
        </w:rPr>
        <w:t>阚玉伦</w:t>
      </w:r>
      <w:r>
        <w:rPr>
          <w:color w:val="000000"/>
          <w:spacing w:val="0"/>
          <w:w w:val="100"/>
          <w:position w:val="0"/>
        </w:rPr>
        <w:t>先生，公司董事、副总经理。个人简历见上“（</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13"/>
        <w:keepNext w:val="0"/>
        <w:keepLines w:val="0"/>
        <w:widowControl w:val="0"/>
        <w:shd w:val="clear" w:color="auto" w:fill="auto"/>
        <w:bidi w:val="0"/>
        <w:spacing w:before="0" w:after="40" w:line="469" w:lineRule="exact"/>
        <w:ind w:left="820" w:right="0" w:firstLine="460"/>
        <w:jc w:val="both"/>
      </w:pPr>
      <w:r>
        <w:rPr>
          <w:b/>
          <w:bCs/>
          <w:color w:val="000000"/>
          <w:spacing w:val="0"/>
          <w:w w:val="100"/>
          <w:position w:val="0"/>
        </w:rPr>
        <w:t>梁洁</w:t>
      </w:r>
      <w:r>
        <w:rPr>
          <w:color w:val="000000"/>
          <w:spacing w:val="0"/>
          <w:w w:val="100"/>
          <w:position w:val="0"/>
        </w:rPr>
        <w:t>先生，公司副总经理。美国国籍，</w:t>
      </w:r>
      <w:r>
        <w:rPr>
          <w:rFonts w:ascii="Times New Roman" w:eastAsia="Times New Roman" w:hAnsi="Times New Roman" w:cs="Times New Roman"/>
          <w:color w:val="000000"/>
          <w:spacing w:val="0"/>
          <w:w w:val="100"/>
          <w:position w:val="0"/>
        </w:rPr>
        <w:t>1961</w:t>
      </w:r>
      <w:r>
        <w:rPr>
          <w:color w:val="000000"/>
          <w:spacing w:val="0"/>
          <w:w w:val="100"/>
          <w:position w:val="0"/>
        </w:rPr>
        <w:t>年出生，本科学历，高级工程师。曾任中国华大、 新加坡</w:t>
      </w:r>
      <w:r>
        <w:rPr>
          <w:rFonts w:ascii="Times New Roman" w:eastAsia="Times New Roman" w:hAnsi="Times New Roman" w:cs="Times New Roman"/>
          <w:color w:val="000000"/>
          <w:spacing w:val="0"/>
          <w:w w:val="100"/>
          <w:position w:val="0"/>
        </w:rPr>
        <w:t>TRITECH</w:t>
      </w:r>
      <w:r>
        <w:rPr>
          <w:color w:val="000000"/>
          <w:spacing w:val="0"/>
          <w:w w:val="100"/>
          <w:position w:val="0"/>
        </w:rPr>
        <w:t>公司、美国</w:t>
      </w:r>
      <w:r>
        <w:rPr>
          <w:rFonts w:ascii="Times New Roman" w:eastAsia="Times New Roman" w:hAnsi="Times New Roman" w:cs="Times New Roman"/>
          <w:color w:val="000000"/>
          <w:spacing w:val="0"/>
          <w:w w:val="100"/>
          <w:position w:val="0"/>
        </w:rPr>
        <w:t>SILICON ENGINEERING</w:t>
      </w:r>
      <w:r>
        <w:rPr>
          <w:color w:val="000000"/>
          <w:spacing w:val="0"/>
          <w:w w:val="100"/>
          <w:position w:val="0"/>
        </w:rPr>
        <w:t>公司工程师、高级工程师，美国</w:t>
      </w:r>
      <w:r>
        <w:rPr>
          <w:rFonts w:ascii="Times New Roman" w:eastAsia="Times New Roman" w:hAnsi="Times New Roman" w:cs="Times New Roman"/>
          <w:color w:val="000000"/>
          <w:spacing w:val="0"/>
          <w:w w:val="100"/>
          <w:position w:val="0"/>
        </w:rPr>
        <w:t>D ESOC</w:t>
      </w:r>
      <w:r>
        <w:rPr>
          <w:color w:val="000000"/>
          <w:spacing w:val="0"/>
          <w:w w:val="100"/>
          <w:position w:val="0"/>
        </w:rPr>
        <w:t>公 司、</w:t>
      </w:r>
      <w:r>
        <w:rPr>
          <w:rFonts w:ascii="Times New Roman" w:eastAsia="Times New Roman" w:hAnsi="Times New Roman" w:cs="Times New Roman"/>
          <w:color w:val="000000"/>
          <w:spacing w:val="0"/>
          <w:w w:val="100"/>
          <w:position w:val="0"/>
        </w:rPr>
        <w:t>MXH Device</w:t>
      </w:r>
      <w:r>
        <w:rPr>
          <w:color w:val="000000"/>
          <w:spacing w:val="0"/>
          <w:w w:val="100"/>
          <w:position w:val="0"/>
        </w:rPr>
        <w:t>公司技术总监、副总经理，国民技术股份有限公司美国全资子公司</w:t>
      </w:r>
      <w:r>
        <w:rPr>
          <w:rFonts w:ascii="Times New Roman" w:eastAsia="Times New Roman" w:hAnsi="Times New Roman" w:cs="Times New Roman"/>
          <w:color w:val="000000"/>
          <w:spacing w:val="0"/>
          <w:w w:val="100"/>
          <w:position w:val="0"/>
        </w:rPr>
        <w:t xml:space="preserve">Nations Technologies （USA） Inc </w:t>
      </w:r>
      <w:r>
        <w:rPr>
          <w:rFonts w:ascii="Times New Roman" w:eastAsia="Times New Roman" w:hAnsi="Times New Roman" w:cs="Times New Roman"/>
          <w:color w:val="000000"/>
          <w:spacing w:val="0"/>
          <w:w w:val="100"/>
          <w:position w:val="0"/>
        </w:rPr>
        <w:t>.</w:t>
      </w:r>
      <w:r>
        <w:rPr>
          <w:color w:val="000000"/>
          <w:spacing w:val="0"/>
          <w:w w:val="100"/>
          <w:position w:val="0"/>
        </w:rPr>
        <w:t>首席专家。</w:t>
      </w:r>
    </w:p>
    <w:p>
      <w:pPr>
        <w:pStyle w:val="Style13"/>
        <w:keepNext w:val="0"/>
        <w:keepLines w:val="0"/>
        <w:widowControl w:val="0"/>
        <w:shd w:val="clear" w:color="auto" w:fill="auto"/>
        <w:bidi w:val="0"/>
        <w:spacing w:before="0" w:after="40" w:line="460" w:lineRule="exact"/>
        <w:ind w:left="820" w:right="0" w:firstLine="460"/>
        <w:jc w:val="both"/>
      </w:pPr>
      <w:r>
        <w:rPr>
          <w:b/>
          <w:bCs/>
          <w:color w:val="000000"/>
          <w:spacing w:val="0"/>
          <w:w w:val="100"/>
          <w:position w:val="0"/>
        </w:rPr>
        <w:t>肖德银</w:t>
      </w:r>
      <w:r>
        <w:rPr>
          <w:color w:val="000000"/>
          <w:spacing w:val="0"/>
          <w:w w:val="100"/>
          <w:position w:val="0"/>
        </w:rPr>
        <w:t>先生，公司副总经理。中国国籍，无境外永久居留权。</w:t>
      </w:r>
      <w:r>
        <w:rPr>
          <w:rFonts w:ascii="Times New Roman" w:eastAsia="Times New Roman" w:hAnsi="Times New Roman" w:cs="Times New Roman"/>
          <w:color w:val="000000"/>
          <w:spacing w:val="0"/>
          <w:w w:val="100"/>
          <w:position w:val="0"/>
        </w:rPr>
        <w:t>1980</w:t>
      </w:r>
      <w:r>
        <w:rPr>
          <w:color w:val="000000"/>
          <w:spacing w:val="0"/>
          <w:w w:val="100"/>
          <w:position w:val="0"/>
        </w:rPr>
        <w:t>年出生，本科学历。</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年加入公司，历任公司部门经理，部门总监，总经理助理等工作岗位。曾先后负责、参与公司</w:t>
      </w:r>
      <w:r>
        <w:rPr>
          <w:rFonts w:ascii="Times New Roman" w:eastAsia="Times New Roman" w:hAnsi="Times New Roman" w:cs="Times New Roman"/>
          <w:color w:val="000000"/>
          <w:spacing w:val="0"/>
          <w:w w:val="100"/>
          <w:position w:val="0"/>
        </w:rPr>
        <w:t xml:space="preserve">MCU </w:t>
      </w:r>
      <w:r>
        <w:rPr>
          <w:color w:val="000000"/>
          <w:spacing w:val="0"/>
          <w:w w:val="100"/>
          <w:position w:val="0"/>
        </w:rPr>
        <w:t>产品、安全芯片产品、</w:t>
      </w:r>
      <w:r>
        <w:rPr>
          <w:rFonts w:ascii="Times New Roman" w:eastAsia="Times New Roman" w:hAnsi="Times New Roman" w:cs="Times New Roman"/>
          <w:color w:val="000000"/>
          <w:spacing w:val="0"/>
          <w:w w:val="100"/>
          <w:position w:val="0"/>
        </w:rPr>
        <w:t>RCC</w:t>
      </w:r>
      <w:r>
        <w:rPr>
          <w:color w:val="000000"/>
          <w:spacing w:val="0"/>
          <w:w w:val="100"/>
          <w:position w:val="0"/>
        </w:rPr>
        <w:t>产品研发及推广，</w:t>
      </w:r>
      <w:r>
        <w:rPr>
          <w:rFonts w:ascii="Times New Roman" w:eastAsia="Times New Roman" w:hAnsi="Times New Roman" w:cs="Times New Roman"/>
          <w:color w:val="000000"/>
          <w:spacing w:val="0"/>
          <w:w w:val="100"/>
          <w:position w:val="0"/>
        </w:rPr>
        <w:t>16</w:t>
      </w:r>
      <w:r>
        <w:rPr>
          <w:color w:val="000000"/>
          <w:spacing w:val="0"/>
          <w:w w:val="100"/>
          <w:position w:val="0"/>
        </w:rPr>
        <w:t>件核心专利发明人，一件获得中国专利金奖、一 件获得中国专利优秀奖，一件专利获深圳市科学技术专利奖，并获得广东省科学技术奖三等奖， 深圳市领军人才。</w:t>
      </w:r>
    </w:p>
    <w:p>
      <w:pPr>
        <w:pStyle w:val="Style13"/>
        <w:keepNext w:val="0"/>
        <w:keepLines w:val="0"/>
        <w:widowControl w:val="0"/>
        <w:shd w:val="clear" w:color="auto" w:fill="auto"/>
        <w:bidi w:val="0"/>
        <w:spacing w:before="0" w:after="40" w:line="470" w:lineRule="exact"/>
        <w:ind w:left="820" w:right="0" w:firstLine="460"/>
        <w:jc w:val="both"/>
      </w:pPr>
      <w:r>
        <w:rPr>
          <w:b/>
          <w:bCs/>
          <w:color w:val="000000"/>
          <w:spacing w:val="0"/>
          <w:w w:val="100"/>
          <w:position w:val="0"/>
        </w:rPr>
        <w:t>徐辉</w:t>
      </w:r>
      <w:r>
        <w:rPr>
          <w:color w:val="000000"/>
          <w:spacing w:val="0"/>
          <w:w w:val="100"/>
          <w:position w:val="0"/>
        </w:rPr>
        <w:t>先生，公司副总经理、财务总监。中国国籍，无境外永久居留权。</w:t>
      </w:r>
      <w:r>
        <w:rPr>
          <w:rFonts w:ascii="Times New Roman" w:eastAsia="Times New Roman" w:hAnsi="Times New Roman" w:cs="Times New Roman"/>
          <w:color w:val="000000"/>
          <w:spacing w:val="0"/>
          <w:w w:val="100"/>
          <w:position w:val="0"/>
        </w:rPr>
        <w:t>1984</w:t>
      </w:r>
      <w:r>
        <w:rPr>
          <w:color w:val="000000"/>
          <w:spacing w:val="0"/>
          <w:w w:val="100"/>
          <w:position w:val="0"/>
        </w:rPr>
        <w:t>年出生，本科学 历，中国注册会计师。历任天健会计师事务所项目经理、高级项目经理，浙江海亮资本投资管理 有限公司投资总监，长城证券股份有限公司投资银行事业部业务董事，第一创业投资管理有限公 司风险管理总监等。</w:t>
      </w:r>
    </w:p>
    <w:p>
      <w:pPr>
        <w:pStyle w:val="Style13"/>
        <w:keepNext w:val="0"/>
        <w:keepLines w:val="0"/>
        <w:widowControl w:val="0"/>
        <w:shd w:val="clear" w:color="auto" w:fill="auto"/>
        <w:bidi w:val="0"/>
        <w:spacing w:before="0" w:after="40" w:line="473" w:lineRule="exact"/>
        <w:ind w:left="820" w:right="0" w:firstLine="460"/>
        <w:jc w:val="both"/>
      </w:pPr>
      <w:r>
        <w:rPr>
          <w:b/>
          <w:bCs/>
          <w:color w:val="000000"/>
          <w:spacing w:val="0"/>
          <w:w w:val="100"/>
          <w:position w:val="0"/>
        </w:rPr>
        <w:t>叶艳桃</w:t>
      </w:r>
      <w:r>
        <w:rPr>
          <w:color w:val="000000"/>
          <w:spacing w:val="0"/>
          <w:w w:val="100"/>
          <w:position w:val="0"/>
        </w:rPr>
        <w:t>女士，公司副总经理、董事会秘书。中国国籍，无境外永久居留权。</w:t>
      </w:r>
      <w:r>
        <w:rPr>
          <w:rFonts w:ascii="Times New Roman" w:eastAsia="Times New Roman" w:hAnsi="Times New Roman" w:cs="Times New Roman"/>
          <w:color w:val="000000"/>
          <w:spacing w:val="0"/>
          <w:w w:val="100"/>
          <w:position w:val="0"/>
        </w:rPr>
        <w:t>1988</w:t>
      </w:r>
      <w:r>
        <w:rPr>
          <w:color w:val="000000"/>
          <w:spacing w:val="0"/>
          <w:w w:val="100"/>
          <w:position w:val="0"/>
        </w:rPr>
        <w:t>年出生，本 科学历，已取得《中国注册会计师专业阶段合格证书》、《董事会秘书资格证书》。</w:t>
      </w:r>
      <w:r>
        <w:rPr>
          <w:rFonts w:ascii="Times New Roman" w:eastAsia="Times New Roman" w:hAnsi="Times New Roman" w:cs="Times New Roman"/>
          <w:color w:val="000000"/>
          <w:spacing w:val="0"/>
          <w:w w:val="100"/>
          <w:position w:val="0"/>
        </w:rPr>
        <w:t>2010</w:t>
      </w:r>
      <w:r>
        <w:rPr>
          <w:color w:val="000000"/>
          <w:spacing w:val="0"/>
          <w:w w:val="100"/>
          <w:position w:val="0"/>
        </w:rPr>
        <w:t>年加入 公司，曾任职于公司财务部，曾任公司证券事务代表，现任公司董事、董事会秘书。</w:t>
      </w:r>
      <w:r>
        <w:br w:type="page"/>
      </w:r>
    </w:p>
    <w:p>
      <w:pPr>
        <w:pStyle w:val="Style13"/>
        <w:keepNext w:val="0"/>
        <w:keepLines w:val="0"/>
        <w:widowControl w:val="0"/>
        <w:shd w:val="clear" w:color="auto" w:fill="auto"/>
        <w:bidi w:val="0"/>
        <w:spacing w:before="0" w:after="240" w:line="240" w:lineRule="auto"/>
        <w:ind w:left="0" w:right="0" w:firstLine="800"/>
        <w:jc w:val="both"/>
      </w:pPr>
      <w:r>
        <w:rPr>
          <w:color w:val="000000"/>
          <w:spacing w:val="0"/>
          <w:w w:val="100"/>
          <w:position w:val="0"/>
        </w:rPr>
        <w:t>在股东单位任职情况</w:t>
      </w:r>
    </w:p>
    <w:p>
      <w:pPr>
        <w:pStyle w:val="Style13"/>
        <w:keepNext w:val="0"/>
        <w:keepLines w:val="0"/>
        <w:widowControl w:val="0"/>
        <w:shd w:val="clear" w:color="auto" w:fill="auto"/>
        <w:bidi w:val="0"/>
        <w:spacing w:before="0" w:after="240" w:line="240" w:lineRule="auto"/>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0" w:firstLine="800"/>
        <w:jc w:val="both"/>
      </w:pPr>
      <w:r>
        <w:rPr>
          <w:color w:val="000000"/>
          <w:spacing w:val="0"/>
          <w:w w:val="100"/>
          <w:position w:val="0"/>
        </w:rPr>
        <w:t>在其他单位任职情况</w:t>
      </w:r>
    </w:p>
    <w:p>
      <w:pPr>
        <w:pStyle w:val="Style13"/>
        <w:keepNext w:val="0"/>
        <w:keepLines w:val="0"/>
        <w:widowControl w:val="0"/>
        <w:shd w:val="clear" w:color="auto" w:fill="auto"/>
        <w:bidi w:val="0"/>
        <w:spacing w:before="0" w:after="140" w:line="240" w:lineRule="auto"/>
        <w:ind w:left="0" w:right="0" w:firstLine="8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42"/>
        <w:gridCol w:w="3403"/>
        <w:gridCol w:w="1277"/>
        <w:gridCol w:w="1018"/>
        <w:gridCol w:w="1109"/>
        <w:gridCol w:w="163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在其他单位</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在其他单位是否 领取报酬津贴</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台海马努尔核电设备股份有限公司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明光浩淼安防科技股份有限公司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重庆新铝时代科技股份有限公司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中海油安全技术服务有限公司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北京数字认证股份有限公司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陈卫武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深圳市中美创兴资本管理有限公司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郝丹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广东远智先行股权投资基金管理有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深信服科技股份有限公司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慧之安信息技术股份有限公司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舒小斌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国投招商投资管理有限公司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常州启赋安泰复合材料有限公司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阿波斯科技集团有限公司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普拉克环保系统（北京）有限公司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北京市北排水环境发展有限公司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北京精雕科技集团有限公司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沈阳鼓风机集团股份有限公司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深圳市英威腾交通技术有限公司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王文若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深圳市金证科技股份有限公司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深圳市豪鹏科技股份有限公司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在其他单</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位任职情</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800"/>
        <w:jc w:val="both"/>
      </w:pPr>
      <w:r>
        <w:rPr>
          <w:color w:val="000000"/>
          <w:spacing w:val="0"/>
          <w:w w:val="100"/>
          <w:position w:val="0"/>
        </w:rPr>
        <w:t>公司现任及报告期内离任董事、监事和高级管理人员近三年证券监管机构处罚的情况</w:t>
      </w:r>
    </w:p>
    <w:p>
      <w:pPr>
        <w:pStyle w:val="Style13"/>
        <w:keepNext w:val="0"/>
        <w:keepLines w:val="0"/>
        <w:widowControl w:val="0"/>
        <w:shd w:val="clear" w:color="auto" w:fill="auto"/>
        <w:bidi w:val="0"/>
        <w:spacing w:before="0" w:after="240" w:line="240" w:lineRule="auto"/>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7"/>
        <w:keepNext/>
        <w:keepLines/>
        <w:widowControl w:val="0"/>
        <w:shd w:val="clear" w:color="auto" w:fill="auto"/>
        <w:bidi w:val="0"/>
        <w:spacing w:before="0" w:after="420" w:line="240" w:lineRule="auto"/>
        <w:ind w:left="0" w:right="0" w:firstLine="74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3</w:t>
      </w:r>
      <w:bookmarkEnd w:id="360"/>
      <w:r>
        <w:rPr>
          <w:color w:val="000000"/>
          <w:spacing w:val="0"/>
          <w:w w:val="100"/>
          <w:position w:val="0"/>
        </w:rPr>
        <w:t>、董事、监事、高级管理人员报酬情况</w:t>
      </w:r>
      <w:bookmarkEnd w:id="358"/>
      <w:bookmarkEnd w:id="359"/>
      <w:bookmarkEnd w:id="361"/>
    </w:p>
    <w:p>
      <w:pPr>
        <w:pStyle w:val="Style13"/>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981"/>
        <w:gridCol w:w="6782"/>
      </w:tblGrid>
      <w:tr>
        <w:trPr>
          <w:trHeight w:val="140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84" w:lineRule="exact"/>
              <w:ind w:left="0" w:right="0" w:firstLine="0"/>
              <w:jc w:val="left"/>
              <w:rPr>
                <w:sz w:val="20"/>
                <w:szCs w:val="20"/>
              </w:rPr>
            </w:pPr>
            <w:r>
              <w:rPr>
                <w:color w:val="000000"/>
                <w:spacing w:val="0"/>
                <w:w w:val="100"/>
                <w:position w:val="0"/>
                <w:sz w:val="20"/>
                <w:szCs w:val="20"/>
              </w:rPr>
              <w:t>董事、监事、高级管理人员报 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根据《公司章程》等有关规定，公司的董事、监事的薪酬由公司股东大 会决定，高级管理人员的薪酬由公司董事会决定。公司董事、监事的薪 酬、津贴经董事会审议批准后，提交股东大会审议通过后实施。</w:t>
            </w:r>
          </w:p>
        </w:tc>
      </w:tr>
      <w:tr>
        <w:trPr>
          <w:trHeight w:val="116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84" w:lineRule="exact"/>
              <w:ind w:left="0" w:right="0" w:firstLine="0"/>
              <w:jc w:val="left"/>
              <w:rPr>
                <w:sz w:val="20"/>
                <w:szCs w:val="20"/>
              </w:rPr>
            </w:pPr>
            <w:r>
              <w:rPr>
                <w:color w:val="000000"/>
                <w:spacing w:val="0"/>
                <w:w w:val="100"/>
                <w:position w:val="0"/>
                <w:sz w:val="20"/>
                <w:szCs w:val="20"/>
              </w:rPr>
              <w:t>董事、监事、高级管理人员报 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主要依据公司经营状况、管理岗位的主要范围与职责、重要性以及对业 绩完成情况进行考核来确定；独立董事的津贴标准参照本地区、同行业 上市公司的整体水平。</w:t>
            </w:r>
          </w:p>
        </w:tc>
      </w:tr>
      <w:tr>
        <w:trPr>
          <w:trHeight w:val="490" w:hRule="exact"/>
        </w:trPr>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董事、监事和高级管理人员报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董事、监事和高级管理人员薪酬已按年度薪酬计划支付。</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年共支</w:t>
            </w:r>
          </w:p>
        </w:tc>
      </w:tr>
      <w:tr>
        <w:trPr>
          <w:trHeight w:val="490" w:hRule="exact"/>
        </w:trPr>
        <w:tc>
          <w:tcPr>
            <w:tcBorders>
              <w:left w:val="single" w:sz="4"/>
              <w:bottom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酬的实际支付情况</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付</w:t>
            </w:r>
            <w:r>
              <w:rPr>
                <w:rFonts w:ascii="Times New Roman" w:eastAsia="Times New Roman" w:hAnsi="Times New Roman" w:cs="Times New Roman"/>
                <w:color w:val="000000"/>
                <w:spacing w:val="0"/>
                <w:w w:val="100"/>
                <w:position w:val="0"/>
                <w:sz w:val="22"/>
                <w:szCs w:val="22"/>
              </w:rPr>
              <w:t>934.48</w:t>
            </w:r>
            <w:r>
              <w:rPr>
                <w:color w:val="000000"/>
                <w:spacing w:val="0"/>
                <w:w w:val="100"/>
                <w:position w:val="0"/>
                <w:sz w:val="20"/>
                <w:szCs w:val="20"/>
              </w:rPr>
              <w:t>万元。</w:t>
            </w:r>
          </w:p>
        </w:tc>
      </w:tr>
    </w:tbl>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公司报告期内董事、监事和高级管理人员报酬情况</w:t>
      </w:r>
    </w:p>
    <w:p>
      <w:pPr>
        <w:widowControl w:val="0"/>
        <w:spacing w:after="139" w:line="1" w:lineRule="exact"/>
      </w:pPr>
    </w:p>
    <w:p>
      <w:pPr>
        <w:pStyle w:val="Style30"/>
        <w:keepNext w:val="0"/>
        <w:keepLines w:val="0"/>
        <w:widowControl w:val="0"/>
        <w:shd w:val="clear" w:color="auto" w:fill="auto"/>
        <w:bidi w:val="0"/>
        <w:spacing w:before="0" w:after="0" w:line="240" w:lineRule="auto"/>
        <w:ind w:left="850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8"/>
        <w:gridCol w:w="1363"/>
        <w:gridCol w:w="1368"/>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从公司获得</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的税前报酬</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是否在公司</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关联方获取</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报酬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阚玉伦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否</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陈卫武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郝丹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舒小斌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否</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王文若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杨志红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职工代表监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否</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林玉华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梁洁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肖德银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徐辉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副总经理、财 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3"/>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叶艳桃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副总经理、董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陈子勤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朱永民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副董事长、副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刘震国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孟亚平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934.48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0"/>
        <w:keepNext w:val="0"/>
        <w:keepLines w:val="0"/>
        <w:widowControl w:val="0"/>
        <w:shd w:val="clear" w:color="auto" w:fill="auto"/>
        <w:bidi w:val="0"/>
        <w:spacing w:before="0" w:after="0" w:line="240" w:lineRule="auto"/>
        <w:ind w:left="19" w:right="0" w:firstLine="0"/>
        <w:jc w:val="left"/>
        <w:rPr>
          <w:sz w:val="22"/>
          <w:szCs w:val="22"/>
        </w:rPr>
      </w:pPr>
      <w:r>
        <w:rPr>
          <w:b/>
          <w:bCs/>
          <w:color w:val="000000"/>
          <w:spacing w:val="0"/>
          <w:w w:val="100"/>
          <w:position w:val="0"/>
          <w:sz w:val="22"/>
          <w:szCs w:val="22"/>
        </w:rPr>
        <w:t>八、报告期内董事履行职责的情况</w:t>
      </w:r>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、本报告期董事会情况</w:t>
      </w:r>
    </w:p>
    <w:tbl>
      <w:tblPr>
        <w:tblOverlap w:val="never"/>
        <w:jc w:val="center"/>
        <w:tblLayout w:type="fixed"/>
      </w:tblPr>
      <w:tblGrid>
        <w:gridCol w:w="2400"/>
        <w:gridCol w:w="1862"/>
        <w:gridCol w:w="1699"/>
        <w:gridCol w:w="355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第四届董事会第二十四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both"/>
              <w:rPr>
                <w:sz w:val="20"/>
                <w:szCs w:val="20"/>
              </w:rPr>
            </w:pPr>
            <w:r>
              <w:rPr>
                <w:color w:val="000000"/>
                <w:spacing w:val="0"/>
                <w:w w:val="100"/>
                <w:position w:val="0"/>
                <w:sz w:val="20"/>
                <w:szCs w:val="20"/>
              </w:rPr>
              <w:t>《第四届董事会第二十四次会议公 告》(公告编号：</w:t>
            </w:r>
            <w:r>
              <w:rPr>
                <w:rFonts w:ascii="Times New Roman" w:eastAsia="Times New Roman" w:hAnsi="Times New Roman" w:cs="Times New Roman"/>
                <w:color w:val="000000"/>
                <w:spacing w:val="0"/>
                <w:w w:val="100"/>
                <w:position w:val="0"/>
                <w:sz w:val="22"/>
                <w:szCs w:val="22"/>
              </w:rPr>
              <w:t>2021-002</w:t>
            </w:r>
            <w:r>
              <w:rPr>
                <w:color w:val="000000"/>
                <w:spacing w:val="0"/>
                <w:w w:val="100"/>
                <w:position w:val="0"/>
                <w:sz w:val="20"/>
                <w:szCs w:val="20"/>
              </w:rPr>
              <w:t>)</w:t>
            </w:r>
            <w:r>
              <w:rPr>
                <w:color w:val="000000"/>
                <w:spacing w:val="0"/>
                <w:w w:val="100"/>
                <w:position w:val="0"/>
                <w:sz w:val="20"/>
                <w:szCs w:val="20"/>
              </w:rPr>
              <w:t>刊载于巨 潮资讯网</w:t>
            </w: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www.cninfO.com.cn</w:t>
            </w:r>
            <w:r>
              <w:fldChar w:fldCharType="end"/>
            </w:r>
            <w:r>
              <w:rPr>
                <w:color w:val="000000"/>
                <w:spacing w:val="0"/>
                <w:w w:val="100"/>
                <w:position w:val="0"/>
                <w:sz w:val="20"/>
                <w:szCs w:val="2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第四届董事会第二十五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《第四届董事会第二十五次会议公 告》(公告编号：</w:t>
            </w:r>
            <w:r>
              <w:rPr>
                <w:rFonts w:ascii="Times New Roman" w:eastAsia="Times New Roman" w:hAnsi="Times New Roman" w:cs="Times New Roman"/>
                <w:color w:val="000000"/>
                <w:spacing w:val="0"/>
                <w:w w:val="100"/>
                <w:position w:val="0"/>
                <w:sz w:val="22"/>
                <w:szCs w:val="22"/>
              </w:rPr>
              <w:t>2021-007</w:t>
            </w:r>
            <w:r>
              <w:rPr>
                <w:color w:val="000000"/>
                <w:spacing w:val="0"/>
                <w:w w:val="100"/>
                <w:position w:val="0"/>
                <w:sz w:val="20"/>
                <w:szCs w:val="20"/>
              </w:rPr>
              <w:t>)</w:t>
            </w:r>
            <w:r>
              <w:rPr>
                <w:color w:val="000000"/>
                <w:spacing w:val="0"/>
                <w:w w:val="100"/>
                <w:position w:val="0"/>
                <w:sz w:val="20"/>
                <w:szCs w:val="20"/>
              </w:rPr>
              <w:t>刊载于巨 潮资讯网</w:t>
            </w: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www.cninfO.com.cn</w:t>
            </w:r>
            <w:r>
              <w:fldChar w:fldCharType="end"/>
            </w:r>
            <w:r>
              <w:rPr>
                <w:color w:val="000000"/>
                <w:spacing w:val="0"/>
                <w:w w:val="100"/>
                <w:position w:val="0"/>
                <w:sz w:val="20"/>
                <w:szCs w:val="2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第四届董事会第二十六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《第四届董事会第二十六次会议公 告》(公告编号:</w:t>
            </w:r>
            <w:r>
              <w:rPr>
                <w:rFonts w:ascii="Times New Roman" w:eastAsia="Times New Roman" w:hAnsi="Times New Roman" w:cs="Times New Roman"/>
                <w:color w:val="000000"/>
                <w:spacing w:val="0"/>
                <w:w w:val="100"/>
                <w:position w:val="0"/>
                <w:sz w:val="22"/>
                <w:szCs w:val="22"/>
              </w:rPr>
              <w:t>2021-010</w:t>
            </w:r>
            <w:r>
              <w:rPr>
                <w:color w:val="000000"/>
                <w:spacing w:val="0"/>
                <w:w w:val="100"/>
                <w:position w:val="0"/>
                <w:sz w:val="20"/>
                <w:szCs w:val="20"/>
              </w:rPr>
              <w:t>)</w:t>
            </w:r>
            <w:r>
              <w:rPr>
                <w:color w:val="000000"/>
                <w:spacing w:val="0"/>
                <w:w w:val="100"/>
                <w:position w:val="0"/>
                <w:sz w:val="20"/>
                <w:szCs w:val="20"/>
              </w:rPr>
              <w:t>刊载于巨 潮资讯网</w:t>
            </w: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www.cninfO.com.cn</w:t>
            </w:r>
            <w:r>
              <w:fldChar w:fldCharType="end"/>
            </w:r>
            <w:r>
              <w:rPr>
                <w:color w:val="000000"/>
                <w:spacing w:val="0"/>
                <w:w w:val="100"/>
                <w:position w:val="0"/>
                <w:sz w:val="20"/>
                <w:szCs w:val="2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第五届董事会第一次会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《第五届董事会第一次会议公告》 (公告编号：</w:t>
            </w:r>
            <w:r>
              <w:rPr>
                <w:rFonts w:ascii="Times New Roman" w:eastAsia="Times New Roman" w:hAnsi="Times New Roman" w:cs="Times New Roman"/>
                <w:color w:val="000000"/>
                <w:spacing w:val="0"/>
                <w:w w:val="100"/>
                <w:position w:val="0"/>
                <w:sz w:val="22"/>
                <w:szCs w:val="22"/>
              </w:rPr>
              <w:t>2021-033</w:t>
            </w:r>
            <w:r>
              <w:rPr>
                <w:color w:val="000000"/>
                <w:spacing w:val="0"/>
                <w:w w:val="100"/>
                <w:position w:val="0"/>
                <w:sz w:val="20"/>
                <w:szCs w:val="20"/>
              </w:rPr>
              <w:t>)</w:t>
            </w:r>
            <w:r>
              <w:rPr>
                <w:color w:val="000000"/>
                <w:spacing w:val="0"/>
                <w:w w:val="100"/>
                <w:position w:val="0"/>
                <w:sz w:val="20"/>
                <w:szCs w:val="20"/>
              </w:rPr>
              <w:t>刊载于巨潮 资讯网(</w:t>
            </w:r>
            <w:r>
              <w:rPr>
                <w:rFonts w:ascii="Times New Roman" w:eastAsia="Times New Roman" w:hAnsi="Times New Roman" w:cs="Times New Roman"/>
                <w:color w:val="000000"/>
                <w:spacing w:val="0"/>
                <w:w w:val="100"/>
                <w:position w:val="0"/>
                <w:sz w:val="22"/>
                <w:szCs w:val="22"/>
              </w:rPr>
              <w:t>www. cninfo. com. cn</w:t>
            </w:r>
            <w:r>
              <w:rPr>
                <w:color w:val="000000"/>
                <w:spacing w:val="0"/>
                <w:w w:val="100"/>
                <w:position w:val="0"/>
                <w:sz w:val="20"/>
                <w:szCs w:val="2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第五届董事会第二次会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《第五届董事会第二次会议公告》 (公告编号：</w:t>
            </w:r>
            <w:r>
              <w:rPr>
                <w:rFonts w:ascii="Times New Roman" w:eastAsia="Times New Roman" w:hAnsi="Times New Roman" w:cs="Times New Roman"/>
                <w:color w:val="000000"/>
                <w:spacing w:val="0"/>
                <w:w w:val="100"/>
                <w:position w:val="0"/>
                <w:sz w:val="22"/>
                <w:szCs w:val="22"/>
              </w:rPr>
              <w:t>2021-041</w:t>
            </w:r>
            <w:r>
              <w:rPr>
                <w:color w:val="000000"/>
                <w:spacing w:val="0"/>
                <w:w w:val="100"/>
                <w:position w:val="0"/>
                <w:sz w:val="20"/>
                <w:szCs w:val="20"/>
              </w:rPr>
              <w:t>)</w:t>
            </w:r>
            <w:r>
              <w:rPr>
                <w:color w:val="000000"/>
                <w:spacing w:val="0"/>
                <w:w w:val="100"/>
                <w:position w:val="0"/>
                <w:sz w:val="20"/>
                <w:szCs w:val="20"/>
              </w:rPr>
              <w:t>刊载于巨潮 资讯网(</w:t>
            </w:r>
            <w:r>
              <w:rPr>
                <w:rFonts w:ascii="Times New Roman" w:eastAsia="Times New Roman" w:hAnsi="Times New Roman" w:cs="Times New Roman"/>
                <w:color w:val="000000"/>
                <w:spacing w:val="0"/>
                <w:w w:val="100"/>
                <w:position w:val="0"/>
                <w:sz w:val="22"/>
                <w:szCs w:val="22"/>
              </w:rPr>
              <w:t>www. cninfo. com. cn</w:t>
            </w:r>
            <w:r>
              <w:rPr>
                <w:color w:val="000000"/>
                <w:spacing w:val="0"/>
                <w:w w:val="100"/>
                <w:position w:val="0"/>
                <w:sz w:val="20"/>
                <w:szCs w:val="2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第五届董事会第三次会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《第五届董事会第三次会议公告》 (公告编号：</w:t>
            </w:r>
            <w:r>
              <w:rPr>
                <w:rFonts w:ascii="Times New Roman" w:eastAsia="Times New Roman" w:hAnsi="Times New Roman" w:cs="Times New Roman"/>
                <w:color w:val="000000"/>
                <w:spacing w:val="0"/>
                <w:w w:val="100"/>
                <w:position w:val="0"/>
                <w:sz w:val="22"/>
                <w:szCs w:val="22"/>
              </w:rPr>
              <w:t>2021-045</w:t>
            </w:r>
            <w:r>
              <w:rPr>
                <w:color w:val="000000"/>
                <w:spacing w:val="0"/>
                <w:w w:val="100"/>
                <w:position w:val="0"/>
                <w:sz w:val="20"/>
                <w:szCs w:val="20"/>
              </w:rPr>
              <w:t>)</w:t>
            </w:r>
            <w:r>
              <w:rPr>
                <w:color w:val="000000"/>
                <w:spacing w:val="0"/>
                <w:w w:val="100"/>
                <w:position w:val="0"/>
                <w:sz w:val="20"/>
                <w:szCs w:val="20"/>
              </w:rPr>
              <w:t>刊载于巨潮 资讯网(</w:t>
            </w:r>
            <w:r>
              <w:rPr>
                <w:rFonts w:ascii="Times New Roman" w:eastAsia="Times New Roman" w:hAnsi="Times New Roman" w:cs="Times New Roman"/>
                <w:color w:val="000000"/>
                <w:spacing w:val="0"/>
                <w:w w:val="100"/>
                <w:position w:val="0"/>
                <w:sz w:val="22"/>
                <w:szCs w:val="22"/>
              </w:rPr>
              <w:t>www. cninfo. com. cn</w:t>
            </w:r>
            <w:r>
              <w:rPr>
                <w:color w:val="000000"/>
                <w:spacing w:val="0"/>
                <w:w w:val="100"/>
                <w:position w:val="0"/>
                <w:sz w:val="20"/>
                <w:szCs w:val="2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第五届董事会第四次会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《第五届董事会第四次会议公告》 (公告编号：</w:t>
            </w:r>
            <w:r>
              <w:rPr>
                <w:rFonts w:ascii="Times New Roman" w:eastAsia="Times New Roman" w:hAnsi="Times New Roman" w:cs="Times New Roman"/>
                <w:color w:val="000000"/>
                <w:spacing w:val="0"/>
                <w:w w:val="100"/>
                <w:position w:val="0"/>
                <w:sz w:val="22"/>
                <w:szCs w:val="22"/>
              </w:rPr>
              <w:t>2021-054</w:t>
            </w:r>
            <w:r>
              <w:rPr>
                <w:color w:val="000000"/>
                <w:spacing w:val="0"/>
                <w:w w:val="100"/>
                <w:position w:val="0"/>
                <w:sz w:val="20"/>
                <w:szCs w:val="20"/>
              </w:rPr>
              <w:t>)</w:t>
            </w:r>
            <w:r>
              <w:rPr>
                <w:color w:val="000000"/>
                <w:spacing w:val="0"/>
                <w:w w:val="100"/>
                <w:position w:val="0"/>
                <w:sz w:val="20"/>
                <w:szCs w:val="20"/>
              </w:rPr>
              <w:t>刊载于巨潮 资讯网(</w:t>
            </w:r>
            <w:r>
              <w:rPr>
                <w:rFonts w:ascii="Times New Roman" w:eastAsia="Times New Roman" w:hAnsi="Times New Roman" w:cs="Times New Roman"/>
                <w:color w:val="000000"/>
                <w:spacing w:val="0"/>
                <w:w w:val="100"/>
                <w:position w:val="0"/>
                <w:sz w:val="22"/>
                <w:szCs w:val="22"/>
              </w:rPr>
              <w:t>www. cninfo. com. cn</w:t>
            </w:r>
            <w:r>
              <w:rPr>
                <w:color w:val="000000"/>
                <w:spacing w:val="0"/>
                <w:w w:val="100"/>
                <w:position w:val="0"/>
                <w:sz w:val="20"/>
                <w:szCs w:val="2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第五届董事会第五次会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《第五届董事会第五次会议公告》 (公告编号：</w:t>
            </w:r>
            <w:r>
              <w:rPr>
                <w:rFonts w:ascii="Times New Roman" w:eastAsia="Times New Roman" w:hAnsi="Times New Roman" w:cs="Times New Roman"/>
                <w:color w:val="000000"/>
                <w:spacing w:val="0"/>
                <w:w w:val="100"/>
                <w:position w:val="0"/>
                <w:sz w:val="22"/>
                <w:szCs w:val="22"/>
              </w:rPr>
              <w:t>2021-061</w:t>
            </w:r>
            <w:r>
              <w:rPr>
                <w:color w:val="000000"/>
                <w:spacing w:val="0"/>
                <w:w w:val="100"/>
                <w:position w:val="0"/>
                <w:sz w:val="20"/>
                <w:szCs w:val="20"/>
              </w:rPr>
              <w:t>)</w:t>
            </w:r>
            <w:r>
              <w:rPr>
                <w:color w:val="000000"/>
                <w:spacing w:val="0"/>
                <w:w w:val="100"/>
                <w:position w:val="0"/>
                <w:sz w:val="20"/>
                <w:szCs w:val="20"/>
              </w:rPr>
              <w:t>刊载于巨潮 资讯网(</w:t>
            </w:r>
            <w:r>
              <w:rPr>
                <w:rFonts w:ascii="Times New Roman" w:eastAsia="Times New Roman" w:hAnsi="Times New Roman" w:cs="Times New Roman"/>
                <w:color w:val="000000"/>
                <w:spacing w:val="0"/>
                <w:w w:val="100"/>
                <w:position w:val="0"/>
                <w:sz w:val="22"/>
                <w:szCs w:val="22"/>
              </w:rPr>
              <w:t>www. cninfo. com. cn</w:t>
            </w:r>
            <w:r>
              <w:rPr>
                <w:color w:val="000000"/>
                <w:spacing w:val="0"/>
                <w:w w:val="100"/>
                <w:position w:val="0"/>
                <w:sz w:val="20"/>
                <w:szCs w:val="20"/>
              </w:rPr>
              <w:t>)</w:t>
            </w:r>
          </w:p>
        </w:tc>
      </w:tr>
    </w:tbl>
    <w:p>
      <w:pPr>
        <w:sectPr>
          <w:footnotePr>
            <w:pos w:val="pageBottom"/>
            <w:numFmt w:val="decimal"/>
            <w:numRestart w:val="continuous"/>
          </w:footnotePr>
          <w:pgSz w:w="11900" w:h="16840"/>
          <w:pgMar w:top="1372" w:right="313" w:bottom="1461" w:left="308"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2400"/>
        <w:gridCol w:w="1862"/>
        <w:gridCol w:w="1699"/>
        <w:gridCol w:w="3557"/>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第五届董事会第六次会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《第五届董事会第六次会议公告》 (公告编号：</w:t>
            </w:r>
            <w:r>
              <w:rPr>
                <w:rFonts w:ascii="Times New Roman" w:eastAsia="Times New Roman" w:hAnsi="Times New Roman" w:cs="Times New Roman"/>
                <w:color w:val="000000"/>
                <w:spacing w:val="0"/>
                <w:w w:val="100"/>
                <w:position w:val="0"/>
                <w:sz w:val="22"/>
                <w:szCs w:val="22"/>
              </w:rPr>
              <w:t>2021-082</w:t>
            </w:r>
            <w:r>
              <w:rPr>
                <w:color w:val="000000"/>
                <w:spacing w:val="0"/>
                <w:w w:val="100"/>
                <w:position w:val="0"/>
                <w:sz w:val="20"/>
                <w:szCs w:val="20"/>
              </w:rPr>
              <w:t>)</w:t>
            </w:r>
            <w:r>
              <w:rPr>
                <w:color w:val="000000"/>
                <w:spacing w:val="0"/>
                <w:w w:val="100"/>
                <w:position w:val="0"/>
                <w:sz w:val="20"/>
                <w:szCs w:val="20"/>
              </w:rPr>
              <w:t>刊载于巨潮 资讯网(</w:t>
            </w:r>
            <w:r>
              <w:rPr>
                <w:rFonts w:ascii="Times New Roman" w:eastAsia="Times New Roman" w:hAnsi="Times New Roman" w:cs="Times New Roman"/>
                <w:color w:val="000000"/>
                <w:spacing w:val="0"/>
                <w:w w:val="100"/>
                <w:position w:val="0"/>
                <w:sz w:val="22"/>
                <w:szCs w:val="22"/>
              </w:rPr>
              <w:t>www. cninfo. com. cn</w:t>
            </w:r>
            <w:r>
              <w:rPr>
                <w:color w:val="000000"/>
                <w:spacing w:val="0"/>
                <w:w w:val="100"/>
                <w:position w:val="0"/>
                <w:sz w:val="20"/>
                <w:szCs w:val="2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第五届董事会第七次会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left"/>
              <w:rPr>
                <w:sz w:val="20"/>
                <w:szCs w:val="20"/>
              </w:rPr>
            </w:pPr>
            <w:r>
              <w:rPr>
                <w:color w:val="000000"/>
                <w:spacing w:val="0"/>
                <w:w w:val="100"/>
                <w:position w:val="0"/>
                <w:sz w:val="20"/>
                <w:szCs w:val="20"/>
              </w:rPr>
              <w:t>《第五届董事会第七次会议公告》 (公告编号：</w:t>
            </w:r>
            <w:r>
              <w:rPr>
                <w:rFonts w:ascii="Times New Roman" w:eastAsia="Times New Roman" w:hAnsi="Times New Roman" w:cs="Times New Roman"/>
                <w:color w:val="000000"/>
                <w:spacing w:val="0"/>
                <w:w w:val="100"/>
                <w:position w:val="0"/>
                <w:sz w:val="22"/>
                <w:szCs w:val="22"/>
              </w:rPr>
              <w:t>2021-085</w:t>
            </w:r>
            <w:r>
              <w:rPr>
                <w:color w:val="000000"/>
                <w:spacing w:val="0"/>
                <w:w w:val="100"/>
                <w:position w:val="0"/>
                <w:sz w:val="20"/>
                <w:szCs w:val="20"/>
              </w:rPr>
              <w:t>)</w:t>
            </w:r>
            <w:r>
              <w:rPr>
                <w:color w:val="000000"/>
                <w:spacing w:val="0"/>
                <w:w w:val="100"/>
                <w:position w:val="0"/>
                <w:sz w:val="20"/>
                <w:szCs w:val="20"/>
              </w:rPr>
              <w:t>刊载于巨潮 资讯网(</w:t>
            </w:r>
            <w:r>
              <w:rPr>
                <w:rFonts w:ascii="Times New Roman" w:eastAsia="Times New Roman" w:hAnsi="Times New Roman" w:cs="Times New Roman"/>
                <w:color w:val="000000"/>
                <w:spacing w:val="0"/>
                <w:w w:val="100"/>
                <w:position w:val="0"/>
                <w:sz w:val="22"/>
                <w:szCs w:val="22"/>
              </w:rPr>
              <w:t>www. cninfo. com. cn</w:t>
            </w:r>
            <w:r>
              <w:rPr>
                <w:color w:val="000000"/>
                <w:spacing w:val="0"/>
                <w:w w:val="100"/>
                <w:position w:val="0"/>
                <w:sz w:val="20"/>
                <w:szCs w:val="2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第五届董事会第八次会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《第五届董事会第八次会议公告》 (公告编号：</w:t>
            </w:r>
            <w:r>
              <w:rPr>
                <w:rFonts w:ascii="Times New Roman" w:eastAsia="Times New Roman" w:hAnsi="Times New Roman" w:cs="Times New Roman"/>
                <w:color w:val="000000"/>
                <w:spacing w:val="0"/>
                <w:w w:val="100"/>
                <w:position w:val="0"/>
                <w:sz w:val="22"/>
                <w:szCs w:val="22"/>
              </w:rPr>
              <w:t>2021-095</w:t>
            </w:r>
            <w:r>
              <w:rPr>
                <w:color w:val="000000"/>
                <w:spacing w:val="0"/>
                <w:w w:val="100"/>
                <w:position w:val="0"/>
                <w:sz w:val="20"/>
                <w:szCs w:val="20"/>
              </w:rPr>
              <w:t>)</w:t>
            </w:r>
            <w:r>
              <w:rPr>
                <w:color w:val="000000"/>
                <w:spacing w:val="0"/>
                <w:w w:val="100"/>
                <w:position w:val="0"/>
                <w:sz w:val="20"/>
                <w:szCs w:val="20"/>
              </w:rPr>
              <w:t>刊载于巨潮 资讯网(</w:t>
            </w:r>
            <w:r>
              <w:rPr>
                <w:rFonts w:ascii="Times New Roman" w:eastAsia="Times New Roman" w:hAnsi="Times New Roman" w:cs="Times New Roman"/>
                <w:color w:val="000000"/>
                <w:spacing w:val="0"/>
                <w:w w:val="100"/>
                <w:position w:val="0"/>
                <w:sz w:val="22"/>
                <w:szCs w:val="22"/>
              </w:rPr>
              <w:t>www. cninfo. com. cn</w:t>
            </w:r>
            <w:r>
              <w:rPr>
                <w:color w:val="000000"/>
                <w:spacing w:val="0"/>
                <w:w w:val="100"/>
                <w:position w:val="0"/>
                <w:sz w:val="20"/>
                <w:szCs w:val="2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第五届董事会第九次会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《第五届董事会第九次会议公告》</w:t>
            </w:r>
          </w:p>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(公告编号:</w:t>
            </w:r>
            <w:r>
              <w:rPr>
                <w:rFonts w:ascii="Times New Roman" w:eastAsia="Times New Roman" w:hAnsi="Times New Roman" w:cs="Times New Roman"/>
                <w:color w:val="000000"/>
                <w:spacing w:val="0"/>
                <w:w w:val="100"/>
                <w:position w:val="0"/>
                <w:sz w:val="22"/>
                <w:szCs w:val="22"/>
              </w:rPr>
              <w:t>2021-099</w:t>
            </w:r>
            <w:r>
              <w:rPr>
                <w:color w:val="000000"/>
                <w:spacing w:val="0"/>
                <w:w w:val="100"/>
                <w:position w:val="0"/>
                <w:sz w:val="20"/>
                <w:szCs w:val="20"/>
              </w:rPr>
              <w:t>)</w:t>
            </w:r>
            <w:r>
              <w:rPr>
                <w:color w:val="000000"/>
                <w:spacing w:val="0"/>
                <w:w w:val="100"/>
                <w:position w:val="0"/>
                <w:sz w:val="20"/>
                <w:szCs w:val="20"/>
              </w:rPr>
              <w:t>刊载于巨潮 资讯网(</w:t>
            </w:r>
            <w:r>
              <w:rPr>
                <w:rFonts w:ascii="Times New Roman" w:eastAsia="Times New Roman" w:hAnsi="Times New Roman" w:cs="Times New Roman"/>
                <w:color w:val="000000"/>
                <w:spacing w:val="0"/>
                <w:w w:val="100"/>
                <w:position w:val="0"/>
                <w:sz w:val="22"/>
                <w:szCs w:val="22"/>
              </w:rPr>
              <w:t>www. cninfo. com. cn</w:t>
            </w:r>
            <w:r>
              <w:rPr>
                <w:color w:val="000000"/>
                <w:spacing w:val="0"/>
                <w:w w:val="100"/>
                <w:position w:val="0"/>
                <w:sz w:val="20"/>
                <w:szCs w:val="20"/>
              </w:rPr>
              <w:t>)</w:t>
            </w:r>
          </w:p>
        </w:tc>
      </w:tr>
    </w:tbl>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、董事出席董事会及股东大会的情况</w:t>
      </w:r>
    </w:p>
    <w:p>
      <w:pPr>
        <w:widowControl w:val="0"/>
        <w:spacing w:after="279" w:line="1" w:lineRule="exact"/>
      </w:pPr>
    </w:p>
    <w:tbl>
      <w:tblPr>
        <w:tblOverlap w:val="never"/>
        <w:jc w:val="center"/>
        <w:tblLayout w:type="fixed"/>
      </w:tblPr>
      <w:tblGrid>
        <w:gridCol w:w="1435"/>
        <w:gridCol w:w="1166"/>
        <w:gridCol w:w="1162"/>
        <w:gridCol w:w="1162"/>
        <w:gridCol w:w="1166"/>
        <w:gridCol w:w="1162"/>
        <w:gridCol w:w="1162"/>
        <w:gridCol w:w="1176"/>
      </w:tblGrid>
      <w:tr>
        <w:trPr>
          <w:trHeight w:val="470"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本报告期应</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参加董事会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以通讯方式</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参加董事会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委托出席董</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出席股东大 会次数</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阚玉伦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陈卫武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郝丹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王文若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舒小斌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叶艳桃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朱永民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孟亚平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刘震国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sz w:val="22"/>
          <w:szCs w:val="22"/>
        </w:rPr>
        <w:t>、董事对公司有关事项提出异议的情况</w:t>
      </w:r>
    </w:p>
    <w:p>
      <w:pPr>
        <w:widowControl w:val="0"/>
        <w:spacing w:after="399" w:line="1" w:lineRule="exact"/>
      </w:pP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董事对公司有关事项是否提出异议</w:t>
      </w:r>
    </w:p>
    <w:p>
      <w:pPr>
        <w:pStyle w:val="Style13"/>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3"/>
        <w:keepNext w:val="0"/>
        <w:keepLines w:val="0"/>
        <w:widowControl w:val="0"/>
        <w:shd w:val="clear" w:color="auto" w:fill="auto"/>
        <w:bidi w:val="0"/>
        <w:spacing w:before="0" w:after="220" w:line="469" w:lineRule="exact"/>
        <w:ind w:left="0" w:right="0" w:firstLine="0"/>
        <w:jc w:val="left"/>
      </w:pPr>
      <w:r>
        <w:rPr>
          <w:color w:val="000000"/>
          <w:spacing w:val="0"/>
          <w:w w:val="100"/>
          <w:position w:val="0"/>
        </w:rPr>
        <w:t>报告期内董事对公司有关事项未提出异议。</w:t>
      </w:r>
    </w:p>
    <w:p>
      <w:pPr>
        <w:pStyle w:val="Style37"/>
        <w:keepNext/>
        <w:keepLines/>
        <w:widowControl w:val="0"/>
        <w:shd w:val="clear" w:color="auto" w:fill="auto"/>
        <w:bidi w:val="0"/>
        <w:spacing w:before="0" w:after="220" w:line="469" w:lineRule="exact"/>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4</w:t>
      </w:r>
      <w:bookmarkEnd w:id="364"/>
      <w:r>
        <w:rPr>
          <w:color w:val="000000"/>
          <w:spacing w:val="0"/>
          <w:w w:val="100"/>
          <w:position w:val="0"/>
        </w:rPr>
        <w:t>、董事履行职责的其他说明</w:t>
      </w:r>
      <w:bookmarkEnd w:id="362"/>
      <w:bookmarkEnd w:id="363"/>
      <w:bookmarkEnd w:id="365"/>
    </w:p>
    <w:p>
      <w:pPr>
        <w:pStyle w:val="Style13"/>
        <w:keepNext w:val="0"/>
        <w:keepLines w:val="0"/>
        <w:widowControl w:val="0"/>
        <w:shd w:val="clear" w:color="auto" w:fill="auto"/>
        <w:bidi w:val="0"/>
        <w:spacing w:before="0" w:after="0" w:line="469" w:lineRule="exact"/>
        <w:ind w:left="0" w:right="0" w:firstLine="0"/>
        <w:jc w:val="left"/>
      </w:pPr>
      <w:r>
        <w:rPr>
          <w:color w:val="000000"/>
          <w:spacing w:val="0"/>
          <w:w w:val="100"/>
          <w:position w:val="0"/>
        </w:rPr>
        <w:t>董事对公司有关建议是否被采纳</w:t>
      </w:r>
    </w:p>
    <w:p>
      <w:pPr>
        <w:pStyle w:val="Style13"/>
        <w:keepNext w:val="0"/>
        <w:keepLines w:val="0"/>
        <w:widowControl w:val="0"/>
        <w:shd w:val="clear" w:color="auto" w:fill="auto"/>
        <w:bidi w:val="0"/>
        <w:spacing w:before="0" w:after="0" w:line="469" w:lineRule="exact"/>
        <w:ind w:left="0" w:right="0" w:firstLine="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3"/>
        <w:keepNext w:val="0"/>
        <w:keepLines w:val="0"/>
        <w:widowControl w:val="0"/>
        <w:shd w:val="clear" w:color="auto" w:fill="auto"/>
        <w:bidi w:val="0"/>
        <w:spacing w:before="0" w:after="0" w:line="469" w:lineRule="exact"/>
        <w:ind w:left="0" w:right="0" w:firstLine="0"/>
        <w:jc w:val="left"/>
      </w:pPr>
      <w:r>
        <w:rPr>
          <w:color w:val="000000"/>
          <w:spacing w:val="0"/>
          <w:w w:val="100"/>
          <w:position w:val="0"/>
        </w:rPr>
        <w:t>董事对公司有关建议被采纳或未被采纳的说明</w:t>
      </w:r>
    </w:p>
    <w:p>
      <w:pPr>
        <w:pStyle w:val="Style13"/>
        <w:keepNext w:val="0"/>
        <w:keepLines w:val="0"/>
        <w:widowControl w:val="0"/>
        <w:shd w:val="clear" w:color="auto" w:fill="auto"/>
        <w:bidi w:val="0"/>
        <w:spacing w:before="0" w:after="420" w:line="469" w:lineRule="exact"/>
        <w:ind w:left="0" w:right="0" w:firstLine="480"/>
        <w:jc w:val="both"/>
      </w:pPr>
      <w:r>
        <w:rPr>
          <w:color w:val="000000"/>
          <w:spacing w:val="0"/>
          <w:w w:val="100"/>
          <w:position w:val="0"/>
        </w:rPr>
        <w:t>报告期内，公司全体董事勤勉尽责，严格按照中国证监会和深圳证券交易所的相关规定以及 《公司章程》、《董事会议事规则》等制度开展工作，高度关注公司规范运作和经营情况，根据公 司的实际情况，对公司的重大治理和经营决策提出了相关的意见，经过充分沟通讨论，形成一致 意见，并坚决监督和推动董事会决议的执行，确保决策科学、及时、高效，维护公司和全体股东 的合法权益。</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九、董事会下设专门委员会在报告期内的情况</w:t>
      </w:r>
    </w:p>
    <w:tbl>
      <w:tblPr>
        <w:tblOverlap w:val="never"/>
        <w:jc w:val="center"/>
        <w:tblLayout w:type="fixed"/>
      </w:tblPr>
      <w:tblGrid>
        <w:gridCol w:w="1205"/>
        <w:gridCol w:w="1195"/>
        <w:gridCol w:w="869"/>
        <w:gridCol w:w="1195"/>
        <w:gridCol w:w="1781"/>
        <w:gridCol w:w="1195"/>
        <w:gridCol w:w="1195"/>
        <w:gridCol w:w="121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召开会</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提出的重要 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b/>
                <w:bCs/>
                <w:color w:val="000000"/>
                <w:spacing w:val="0"/>
                <w:w w:val="100"/>
                <w:position w:val="0"/>
                <w:sz w:val="20"/>
                <w:szCs w:val="20"/>
              </w:rPr>
              <w:t>异议事项具 体情况（如 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肖幼美、俞 鹏、刘震国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年年报工作 第一次沟通会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指导内部审 计工作、监 督、评估外 部审计机构 工作、审阅 公司的财务 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肖幼美、俞 鹏、刘震国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年度审计报 告初稿沟通会</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严格按照 《公司法》、 《公司章</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程》、《董事 会议事规 则》等相关 法律法规， 勤勉尽责地 开展工作， 根据公司的 实际情况， 提出了相关 的意见，经 过充分沟通 讨论，一致 通过所有议 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肖幼美、俞</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鹏、刘震国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审议</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年度报 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年度财务 决算报告、</w:t>
            </w: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年度募集资金存 放与使用情况的 专项报告、</w:t>
            </w: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年度内部控制自 我评价报告、</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年第一季度报告 等</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陈卫武、舒 小斌、王文 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审议</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年半年 度报告、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年半 年度募集资金存 放与使用情况的 专项报告、募集资</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tbl>
      <w:tblPr>
        <w:tblOverlap w:val="never"/>
        <w:jc w:val="center"/>
        <w:tblLayout w:type="fixed"/>
      </w:tblPr>
      <w:tblGrid>
        <w:gridCol w:w="1205"/>
        <w:gridCol w:w="1195"/>
        <w:gridCol w:w="869"/>
        <w:gridCol w:w="1195"/>
        <w:gridCol w:w="1781"/>
        <w:gridCol w:w="1195"/>
        <w:gridCol w:w="1195"/>
        <w:gridCol w:w="121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b/>
                <w:bCs/>
                <w:color w:val="000000"/>
                <w:spacing w:val="0"/>
                <w:w w:val="100"/>
                <w:position w:val="0"/>
                <w:sz w:val="20"/>
                <w:szCs w:val="20"/>
              </w:rPr>
              <w:t>召开会</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提出的重要 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b/>
                <w:bCs/>
                <w:color w:val="000000"/>
                <w:spacing w:val="0"/>
                <w:w w:val="100"/>
                <w:position w:val="0"/>
                <w:sz w:val="20"/>
                <w:szCs w:val="20"/>
              </w:rPr>
              <w:t>异议事项具 体情况（如 有）</w:t>
            </w:r>
          </w:p>
        </w:tc>
      </w:tr>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金用于公司研发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平台运行项目</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陈卫武、舒 小斌、王文 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年第三季度 报告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陈卫武、舒 小斌、王文 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年年报第一 次沟通会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薪酬与考核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朱永民、孟 亚平、刘震 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公司高级管理人 员</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年度绩效 方案、公司第五届 董事会董事薪酬 津贴方案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薪酬与考核 委员会就公 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 限制性股票 激励计划相 关事项、董 事及高级管 理人员</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年度薪酬、 绩效方案进 行了认真审 议，一致同 意相关议 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对董事、监 事、高级管 理人员工作 绩效进行评 估和考核、 审核薪酬。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薪酬与考核</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舒小斌、郝 丹、俞鹏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公司高级管理人 员</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年度绩效 方案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薪酬与考核</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舒小斌、郝 丹、俞鹏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年限制性股 票激励计划（草 案）、</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年限制 性股票激励计划 实施考核管理办 法</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84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战略委员会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孙迎彤、孟 亚平、刘震 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展战略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战略委员会 就公司所处 行业情况及 可能面临的 挑战做了深 入分析，为 公司制定中 长期发展战 略提出了宝 贵意见，并 一致同意相 关议案。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十、监事会工作情况</w:t>
      </w:r>
    </w:p>
    <w:p>
      <w:pPr>
        <w:widowControl w:val="0"/>
        <w:spacing w:after="41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监事会在报告期内的监督活动中发现公司是否存在风险</w:t>
      </w:r>
      <w:r>
        <w:br w:type="page"/>
      </w:r>
    </w:p>
    <w:p>
      <w:pPr>
        <w:pStyle w:val="Style1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3"/>
        <w:keepNext w:val="0"/>
        <w:keepLines w:val="0"/>
        <w:widowControl w:val="0"/>
        <w:shd w:val="clear" w:color="auto" w:fill="auto"/>
        <w:bidi w:val="0"/>
        <w:spacing w:before="0" w:after="420" w:line="240" w:lineRule="auto"/>
        <w:ind w:left="0" w:right="0" w:firstLine="0"/>
        <w:jc w:val="left"/>
      </w:pPr>
      <w:r>
        <w:rPr>
          <w:color w:val="000000"/>
          <w:spacing w:val="0"/>
          <w:w w:val="100"/>
          <w:position w:val="0"/>
        </w:rPr>
        <w:t>监事会对报告期内的监督事项无异议。</w:t>
      </w:r>
    </w:p>
    <w:p>
      <w:pPr>
        <w:pStyle w:val="Style33"/>
        <w:keepNext/>
        <w:keepLines/>
        <w:widowControl w:val="0"/>
        <w:shd w:val="clear" w:color="auto" w:fill="auto"/>
        <w:bidi w:val="0"/>
        <w:spacing w:before="0" w:line="240" w:lineRule="auto"/>
        <w:ind w:left="0" w:right="0" w:firstLine="0"/>
        <w:jc w:val="left"/>
      </w:pPr>
      <w:bookmarkStart w:id="366" w:name="bookmark366"/>
      <w:bookmarkStart w:id="367" w:name="bookmark367"/>
      <w:bookmarkStart w:id="368" w:name="bookmark368"/>
      <w:r>
        <w:rPr>
          <w:color w:val="000000"/>
          <w:spacing w:val="0"/>
          <w:w w:val="100"/>
          <w:position w:val="0"/>
        </w:rPr>
        <w:t>十一、公司员工情况</w:t>
      </w:r>
      <w:bookmarkEnd w:id="366"/>
      <w:bookmarkEnd w:id="367"/>
      <w:bookmarkEnd w:id="368"/>
    </w:p>
    <w:p>
      <w:pPr>
        <w:pStyle w:val="Style13"/>
        <w:keepNext w:val="0"/>
        <w:keepLines w:val="0"/>
        <w:widowControl w:val="0"/>
        <w:shd w:val="clear" w:color="auto" w:fill="auto"/>
        <w:bidi w:val="0"/>
        <w:spacing w:before="0" w:after="300" w:line="240" w:lineRule="auto"/>
        <w:ind w:left="0" w:right="0" w:firstLine="0"/>
        <w:jc w:val="left"/>
      </w:pPr>
      <w:bookmarkStart w:id="369" w:name="bookmark369"/>
      <w:r>
        <w:rPr>
          <w:rFonts w:ascii="Times New Roman" w:eastAsia="Times New Roman" w:hAnsi="Times New Roman" w:cs="Times New Roman"/>
          <w:b/>
          <w:bCs/>
          <w:color w:val="000000"/>
          <w:spacing w:val="0"/>
          <w:w w:val="100"/>
          <w:position w:val="0"/>
        </w:rPr>
        <w:t>1</w:t>
      </w:r>
      <w:bookmarkEnd w:id="369"/>
      <w:r>
        <w:rPr>
          <w:b/>
          <w:bCs/>
          <w:color w:val="000000"/>
          <w:spacing w:val="0"/>
          <w:w w:val="100"/>
          <w:position w:val="0"/>
        </w:rPr>
        <w:t>、员工数量、专业构成及教育程度</w:t>
      </w:r>
    </w:p>
    <w:tbl>
      <w:tblPr>
        <w:tblOverlap w:val="never"/>
        <w:jc w:val="center"/>
        <w:tblLayout w:type="fixed"/>
      </w:tblPr>
      <w:tblGrid>
        <w:gridCol w:w="4790"/>
        <w:gridCol w:w="4795"/>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376</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684</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母公司及主要子公司需承担费用的离退休职工人 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61"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专业构成人数（人）</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486</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366</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143</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r>
      <w:tr>
        <w:trPr>
          <w:trHeight w:val="466"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数量（人）</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130</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304</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134</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487</w:t>
            </w:r>
          </w:p>
        </w:tc>
      </w:tr>
      <w:tr>
        <w:trPr>
          <w:trHeight w:val="4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r>
    </w:tbl>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、薪酬政策</w:t>
      </w:r>
    </w:p>
    <w:p>
      <w:pPr>
        <w:widowControl w:val="0"/>
        <w:spacing w:after="359" w:line="1" w:lineRule="exact"/>
      </w:pPr>
    </w:p>
    <w:p>
      <w:pPr>
        <w:pStyle w:val="Style1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建立以职级与绩效为导向的价值评价体系，增强薪酬激励性，保证薪酬体系有效支持公司战 </w:t>
      </w:r>
      <w:r>
        <w:rPr>
          <w:color w:val="000000"/>
          <w:spacing w:val="0"/>
          <w:w w:val="100"/>
          <w:position w:val="0"/>
        </w:rPr>
        <w:t>略发展要求。</w:t>
      </w:r>
    </w:p>
    <w:p>
      <w:pPr>
        <w:pStyle w:val="Style13"/>
        <w:keepNext w:val="0"/>
        <w:keepLines w:val="0"/>
        <w:widowControl w:val="0"/>
        <w:shd w:val="clear" w:color="auto" w:fill="auto"/>
        <w:bidi w:val="0"/>
        <w:spacing w:before="0" w:after="0" w:line="464" w:lineRule="exact"/>
        <w:ind w:left="0" w:right="0" w:firstLine="480"/>
        <w:jc w:val="both"/>
      </w:pPr>
      <w:r>
        <w:rPr>
          <w:color w:val="000000"/>
          <w:spacing w:val="0"/>
          <w:w w:val="100"/>
          <w:position w:val="0"/>
        </w:rPr>
        <w:t>通过科学规范的薪酬动态管理机制，激励员工提高自身专业能力和绩效表现，以建立高素质、 稳定的员工队伍。</w:t>
      </w:r>
    </w:p>
    <w:p>
      <w:pPr>
        <w:pStyle w:val="Style13"/>
        <w:keepNext w:val="0"/>
        <w:keepLines w:val="0"/>
        <w:widowControl w:val="0"/>
        <w:shd w:val="clear" w:color="auto" w:fill="auto"/>
        <w:bidi w:val="0"/>
        <w:spacing w:before="0" w:after="160" w:line="464" w:lineRule="exact"/>
        <w:ind w:left="0" w:right="0" w:firstLine="480"/>
        <w:jc w:val="both"/>
      </w:pPr>
      <w:r>
        <w:rPr>
          <w:color w:val="000000"/>
          <w:spacing w:val="0"/>
          <w:w w:val="100"/>
          <w:position w:val="0"/>
        </w:rPr>
        <w:t>薪酬制度建立在遵守国家相关政策、法律法规和公司管理制度基础上。遵循价值和效率优先， 兼顾薪酬体系内部公平。依据公司所在行业的特点及经济周期，同时考虑职位的价值度和人才市 场供应状况确定薪酬等级标准。</w:t>
      </w:r>
    </w:p>
    <w:p>
      <w:pPr>
        <w:pStyle w:val="Style37"/>
        <w:keepNext/>
        <w:keepLines/>
        <w:widowControl w:val="0"/>
        <w:shd w:val="clear" w:color="auto" w:fill="auto"/>
        <w:tabs>
          <w:tab w:pos="392" w:val="left"/>
        </w:tabs>
        <w:bidi w:val="0"/>
        <w:spacing w:before="0" w:after="160" w:line="468" w:lineRule="exact"/>
        <w:ind w:left="0" w:right="0" w:firstLine="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3</w:t>
      </w:r>
      <w:bookmarkEnd w:id="372"/>
      <w:r>
        <w:rPr>
          <w:color w:val="000000"/>
          <w:spacing w:val="0"/>
          <w:w w:val="100"/>
          <w:position w:val="0"/>
        </w:rPr>
        <w:t>、</w:t>
        <w:tab/>
        <w:t>培训计划</w:t>
      </w:r>
      <w:bookmarkEnd w:id="370"/>
      <w:bookmarkEnd w:id="371"/>
      <w:bookmarkEnd w:id="373"/>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公司致力于打造全方位的人才培养体系，助力公司战略目标的顺利达成和员工综合能力的持 续提高。</w:t>
      </w:r>
    </w:p>
    <w:p>
      <w:pPr>
        <w:pStyle w:val="Style13"/>
        <w:keepNext w:val="0"/>
        <w:keepLines w:val="0"/>
        <w:widowControl w:val="0"/>
        <w:shd w:val="clear" w:color="auto" w:fill="auto"/>
        <w:bidi w:val="0"/>
        <w:spacing w:before="0" w:after="160" w:line="470" w:lineRule="exact"/>
        <w:ind w:left="0" w:right="0" w:firstLine="480"/>
        <w:jc w:val="both"/>
      </w:pPr>
      <w:r>
        <w:rPr>
          <w:color w:val="000000"/>
          <w:spacing w:val="0"/>
          <w:w w:val="100"/>
          <w:position w:val="0"/>
        </w:rPr>
        <w:t>公司针对性地制定了 “新员工入职培训”、“通用技能培训”、“管理技能培训”、“专 业技能培训”等，并与外部培训机构合作开发各类培训项目。其中：“新员工入职培训”帮助新 入职员工了解与融入公司，“通用技能培训”帮助员工提升职场通用技能，“管理技能培训”帮 助各层级领导干部提升团队管理与统筹规划能力，“专业技能培训”从研发、销售、生产等专业 角度提升岗位胜任力。今年更努力打造内部讲师队伍，并在公司推行“学分制”的培训体系，以 强化内训，加强队伍的自身建设，打造不断学习提升的文化氛围。</w:t>
      </w:r>
    </w:p>
    <w:p>
      <w:pPr>
        <w:pStyle w:val="Style37"/>
        <w:keepNext/>
        <w:keepLines/>
        <w:widowControl w:val="0"/>
        <w:shd w:val="clear" w:color="auto" w:fill="auto"/>
        <w:tabs>
          <w:tab w:pos="392" w:val="left"/>
        </w:tabs>
        <w:bidi w:val="0"/>
        <w:spacing w:before="0" w:after="160" w:line="468" w:lineRule="exact"/>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4</w:t>
      </w:r>
      <w:bookmarkEnd w:id="376"/>
      <w:r>
        <w:rPr>
          <w:color w:val="000000"/>
          <w:spacing w:val="0"/>
          <w:w w:val="100"/>
          <w:position w:val="0"/>
        </w:rPr>
        <w:t>、</w:t>
        <w:tab/>
        <w:t>劳务外包情况</w:t>
      </w:r>
      <w:bookmarkEnd w:id="374"/>
      <w:bookmarkEnd w:id="375"/>
      <w:bookmarkEnd w:id="377"/>
    </w:p>
    <w:p>
      <w:pPr>
        <w:pStyle w:val="Style13"/>
        <w:keepNext w:val="0"/>
        <w:keepLines w:val="0"/>
        <w:widowControl w:val="0"/>
        <w:shd w:val="clear" w:color="auto" w:fill="auto"/>
        <w:bidi w:val="0"/>
        <w:spacing w:before="0" w:after="200" w:line="46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after="200" w:line="468" w:lineRule="exact"/>
        <w:ind w:left="0" w:right="0" w:firstLine="0"/>
        <w:jc w:val="both"/>
      </w:pPr>
      <w:bookmarkStart w:id="378" w:name="bookmark378"/>
      <w:bookmarkStart w:id="379" w:name="bookmark379"/>
      <w:bookmarkStart w:id="380" w:name="bookmark380"/>
      <w:r>
        <w:rPr>
          <w:color w:val="000000"/>
          <w:spacing w:val="0"/>
          <w:w w:val="100"/>
          <w:position w:val="0"/>
        </w:rPr>
        <w:t>十二、公司利润分配及资本公积金转增股本情况</w:t>
      </w:r>
      <w:bookmarkEnd w:id="378"/>
      <w:bookmarkEnd w:id="379"/>
      <w:bookmarkEnd w:id="380"/>
    </w:p>
    <w:p>
      <w:pPr>
        <w:pStyle w:val="Style13"/>
        <w:keepNext w:val="0"/>
        <w:keepLines w:val="0"/>
        <w:widowControl w:val="0"/>
        <w:shd w:val="clear" w:color="auto" w:fill="auto"/>
        <w:bidi w:val="0"/>
        <w:spacing w:before="0" w:after="0" w:line="468" w:lineRule="exact"/>
        <w:ind w:left="0" w:right="0" w:firstLine="0"/>
        <w:jc w:val="both"/>
      </w:pPr>
      <w:r>
        <w:rPr>
          <w:color w:val="000000"/>
          <w:spacing w:val="0"/>
          <w:w w:val="100"/>
          <w:position w:val="0"/>
        </w:rPr>
        <w:t>报告期内利润分配政策，特别是现金分红政策的制定、执行或调整情况</w:t>
      </w:r>
    </w:p>
    <w:p>
      <w:pPr>
        <w:pStyle w:val="Style13"/>
        <w:keepNext w:val="0"/>
        <w:keepLines w:val="0"/>
        <w:widowControl w:val="0"/>
        <w:shd w:val="clear" w:color="auto" w:fill="auto"/>
        <w:bidi w:val="0"/>
        <w:spacing w:before="0" w:after="0" w:line="468"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报告期内，公司严格按照相关利润分配政策和审议程序实施利润分配方案，分红标准和分红 比例明确、清晰，相关的决策程序和机制完备；相关议案经由公司董事会、监事会审议，公司独 立董事发表了独立意见，公司对包括利润分配方案在内的需股东大会审议事项，进行了现场和网 络投票表决，充分保护中小投资者合法权益。</w:t>
      </w:r>
    </w:p>
    <w:p>
      <w:pPr>
        <w:pStyle w:val="Style13"/>
        <w:keepNext w:val="0"/>
        <w:keepLines w:val="0"/>
        <w:widowControl w:val="0"/>
        <w:shd w:val="clear" w:color="auto" w:fill="auto"/>
        <w:bidi w:val="0"/>
        <w:spacing w:before="0" w:after="160" w:line="468" w:lineRule="exact"/>
        <w:ind w:left="0" w:right="0" w:firstLine="480"/>
        <w:jc w:val="both"/>
        <w:sectPr>
          <w:footnotePr>
            <w:pos w:val="pageBottom"/>
            <w:numFmt w:val="decimal"/>
            <w:numRestart w:val="continuous"/>
          </w:footnotePr>
          <w:pgSz w:w="11900" w:h="16840"/>
          <w:pgMar w:top="1336" w:right="984" w:bottom="1464" w:left="1056" w:header="0" w:footer="3" w:gutter="0"/>
          <w:cols w:space="720"/>
          <w:noEndnote/>
          <w:rtlGutter w:val="0"/>
          <w:docGrid w:linePitch="360"/>
        </w:sectPr>
      </w:pPr>
      <w:r>
        <w:rPr>
          <w:color w:val="000000"/>
          <w:spacing w:val="0"/>
          <w:w w:val="100"/>
          <w:position w:val="0"/>
        </w:rPr>
        <w:t>报告期内现金分红的执行情况：截至</w:t>
      </w:r>
      <w:r>
        <w:rPr>
          <w:rFonts w:ascii="Times New Roman" w:eastAsia="Times New Roman" w:hAnsi="Times New Roman" w:cs="Times New Roman"/>
          <w:color w:val="000000"/>
          <w:spacing w:val="0"/>
          <w:w w:val="100"/>
          <w:position w:val="0"/>
        </w:rPr>
        <w:t>2020</w:t>
      </w:r>
      <w:r>
        <w:rPr>
          <w:color w:val="000000"/>
          <w:spacing w:val="0"/>
          <w:w w:val="100"/>
          <w:position w:val="0"/>
        </w:rPr>
        <w:t>年期末公司可供分配利润为负，根据《公司章程》 及公司生产经营需要，</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年度利润分配方案为：</w:t>
      </w:r>
      <w:r>
        <w:rPr>
          <w:rFonts w:ascii="Times New Roman" w:eastAsia="Times New Roman" w:hAnsi="Times New Roman" w:cs="Times New Roman"/>
          <w:color w:val="000000"/>
          <w:spacing w:val="0"/>
          <w:w w:val="100"/>
          <w:position w:val="0"/>
        </w:rPr>
        <w:t>2020</w:t>
      </w:r>
      <w:r>
        <w:rPr>
          <w:color w:val="000000"/>
          <w:spacing w:val="0"/>
          <w:w w:val="100"/>
          <w:position w:val="0"/>
        </w:rPr>
        <w:t>度不进行利润分配，也不进行资本公积</w:t>
      </w:r>
    </w:p>
    <w:p>
      <w:pPr>
        <w:pStyle w:val="Style13"/>
        <w:keepNext w:val="0"/>
        <w:keepLines w:val="0"/>
        <w:widowControl w:val="0"/>
        <w:shd w:val="clear" w:color="auto" w:fill="auto"/>
        <w:bidi w:val="0"/>
        <w:spacing w:before="0" w:after="240" w:line="475" w:lineRule="exact"/>
        <w:ind w:left="780" w:right="0" w:firstLine="0"/>
        <w:jc w:val="both"/>
      </w:pPr>
      <w:r>
        <w:rPr>
          <w:color w:val="000000"/>
          <w:spacing w:val="0"/>
          <w:w w:val="100"/>
          <w:position w:val="0"/>
        </w:rPr>
        <w:t>金转增股本。本利润分配方案已经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日召开的第四届董事会第二十六次会议和</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现金分红政策的专项说明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是否符合公司章程的规定或股东大会决议的要</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中小股东是否有充分表达意见和诉求的机会，其 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现金分红政策进行调整或变更的，条件及程序是 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780"/>
        <w:jc w:val="left"/>
      </w:pPr>
      <w:r>
        <w:rPr>
          <w:color w:val="000000"/>
          <w:spacing w:val="0"/>
          <w:w w:val="100"/>
          <w:position w:val="0"/>
        </w:rPr>
        <w:t>公司报告期利润分配预案及资本公积金转增股本预案与公司章程和分红管理办法等的相关规定</w:t>
      </w:r>
    </w:p>
    <w:p>
      <w:pPr>
        <w:pStyle w:val="Style13"/>
        <w:keepNext w:val="0"/>
        <w:keepLines w:val="0"/>
        <w:widowControl w:val="0"/>
        <w:shd w:val="clear" w:color="auto" w:fill="auto"/>
        <w:bidi w:val="0"/>
        <w:spacing w:before="0" w:after="240" w:line="240" w:lineRule="auto"/>
        <w:ind w:left="0" w:right="0" w:firstLine="780"/>
        <w:jc w:val="both"/>
      </w:pPr>
      <w:r>
        <w:rPr>
          <w:color w:val="000000"/>
          <w:spacing w:val="0"/>
          <w:w w:val="100"/>
          <w:position w:val="0"/>
        </w:rPr>
        <w:t>一致</w:t>
      </w:r>
    </w:p>
    <w:p>
      <w:pPr>
        <w:pStyle w:val="Style13"/>
        <w:keepNext w:val="0"/>
        <w:keepLines w:val="0"/>
        <w:widowControl w:val="0"/>
        <w:shd w:val="clear" w:color="auto" w:fill="auto"/>
        <w:bidi w:val="0"/>
        <w:spacing w:before="0" w:after="240" w:line="240" w:lineRule="auto"/>
        <w:ind w:left="0" w:right="0" w:firstLine="780"/>
        <w:jc w:val="both"/>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0" w:firstLine="780"/>
        <w:jc w:val="both"/>
      </w:pPr>
      <w:r>
        <w:rPr>
          <w:color w:val="000000"/>
          <w:spacing w:val="0"/>
          <w:w w:val="100"/>
          <w:position w:val="0"/>
        </w:rPr>
        <w:t>公司报告期利润分配预案及资本公积金转增股本预案符合公司章程等的相关规定。</w:t>
      </w:r>
    </w:p>
    <w:p>
      <w:pPr>
        <w:pStyle w:val="Style13"/>
        <w:keepNext w:val="0"/>
        <w:keepLines w:val="0"/>
        <w:widowControl w:val="0"/>
        <w:shd w:val="clear" w:color="auto" w:fill="auto"/>
        <w:bidi w:val="0"/>
        <w:spacing w:before="0" w:after="140" w:line="240" w:lineRule="auto"/>
        <w:ind w:left="0" w:right="0" w:firstLine="78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0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0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00" w:right="0" w:firstLine="0"/>
              <w:jc w:val="both"/>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592,664,000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00" w:right="0" w:firstLine="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以其他方式（如回购股份）现金分红金 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0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00" w:right="0" w:firstLine="0"/>
              <w:jc w:val="both"/>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-1,413,360,932.49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现金分红总额（含其他方式）占利润分</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利润分配或资本公积金转增预案的详细情况说明</w:t>
            </w:r>
          </w:p>
        </w:tc>
      </w:tr>
      <w:tr>
        <w:trPr>
          <w:trHeight w:val="998"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75" w:lineRule="exact"/>
              <w:ind w:left="0" w:right="0" w:firstLine="480"/>
              <w:jc w:val="left"/>
              <w:rPr>
                <w:sz w:val="20"/>
                <w:szCs w:val="20"/>
              </w:rPr>
            </w:pP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日召开第五届董事会第十三次会议审议通过《</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年度利润分配预案》： 由于公司累计可供分配利润为负，不满足公司章程中实施利润分配及现金分红的相关条件，同时为</w:t>
            </w:r>
          </w:p>
        </w:tc>
      </w:tr>
    </w:tbl>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468" w:lineRule="exact"/>
        <w:ind w:left="800" w:right="0" w:firstLine="0"/>
        <w:jc w:val="left"/>
        <w:rPr>
          <w:sz w:val="20"/>
          <w:szCs w:val="20"/>
        </w:rPr>
      </w:pPr>
      <w:r>
        <w:rPr>
          <w:color w:val="000000"/>
          <w:spacing w:val="0"/>
          <w:w w:val="100"/>
          <w:position w:val="0"/>
          <w:sz w:val="20"/>
          <w:szCs w:val="20"/>
        </w:rPr>
        <w:t>了保障公司持续发展、平稳运营，</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年度拟不进行利润分配，亦不进行资本公积金转增股本和其 他形式的分配。预案符合公司章程及审议程序的规定，充分保护中小投资者的合法权益，已由独立 董事发表意见。此分配方案尚需提交</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年度股东大会审议。</w:t>
      </w:r>
    </w:p>
    <w:p>
      <w:pPr>
        <w:pStyle w:val="Style13"/>
        <w:keepNext w:val="0"/>
        <w:keepLines w:val="0"/>
        <w:widowControl w:val="0"/>
        <w:shd w:val="clear" w:color="auto" w:fill="auto"/>
        <w:bidi w:val="0"/>
        <w:spacing w:before="0" w:after="40" w:line="469" w:lineRule="exact"/>
        <w:ind w:left="0" w:right="0" w:firstLine="800"/>
        <w:jc w:val="both"/>
      </w:pPr>
      <w:r>
        <w:rPr>
          <w:color w:val="000000"/>
          <w:spacing w:val="0"/>
          <w:w w:val="100"/>
          <w:position w:val="0"/>
        </w:rPr>
        <w:t>公司报告期内盈利且母公司可供股东分配利润为正但未提出现金红利分配预案</w:t>
      </w:r>
    </w:p>
    <w:p>
      <w:pPr>
        <w:pStyle w:val="Style13"/>
        <w:keepNext w:val="0"/>
        <w:keepLines w:val="0"/>
        <w:widowControl w:val="0"/>
        <w:shd w:val="clear" w:color="auto" w:fill="auto"/>
        <w:bidi w:val="0"/>
        <w:spacing w:before="0" w:after="180" w:line="469" w:lineRule="exact"/>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after="220" w:line="469" w:lineRule="exact"/>
        <w:ind w:left="0" w:right="0" w:firstLine="800"/>
        <w:jc w:val="both"/>
      </w:pPr>
      <w:bookmarkStart w:id="381" w:name="bookmark381"/>
      <w:bookmarkStart w:id="382" w:name="bookmark382"/>
      <w:bookmarkStart w:id="383" w:name="bookmark383"/>
      <w:r>
        <w:rPr>
          <w:color w:val="000000"/>
          <w:spacing w:val="0"/>
          <w:w w:val="100"/>
          <w:position w:val="0"/>
        </w:rPr>
        <w:t>十三、公司股权激励计划、员工持股计划或其他员工激励措施的实施情况</w:t>
      </w:r>
      <w:bookmarkEnd w:id="381"/>
      <w:bookmarkEnd w:id="382"/>
      <w:bookmarkEnd w:id="383"/>
    </w:p>
    <w:p>
      <w:pPr>
        <w:pStyle w:val="Style13"/>
        <w:keepNext w:val="0"/>
        <w:keepLines w:val="0"/>
        <w:widowControl w:val="0"/>
        <w:shd w:val="clear" w:color="auto" w:fill="auto"/>
        <w:bidi w:val="0"/>
        <w:spacing w:before="0" w:after="40" w:line="469" w:lineRule="exact"/>
        <w:ind w:left="0" w:right="0" w:firstLine="8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0" w:line="471" w:lineRule="exact"/>
        <w:ind w:left="80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日，公司召开第五届董事会第三次会议，审议通过《关于公司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 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年限制性股票激励计划实施考核管理办 法</w:t>
      </w:r>
      <w:r>
        <w:rPr>
          <w:color w:val="000000"/>
          <w:spacing w:val="0"/>
          <w:w w:val="100"/>
          <w:position w:val="0"/>
        </w:rPr>
        <w:t>〉</w:t>
      </w:r>
      <w:r>
        <w:rPr>
          <w:color w:val="000000"/>
          <w:spacing w:val="0"/>
          <w:w w:val="100"/>
          <w:position w:val="0"/>
        </w:rPr>
        <w:t>的议案》《关于提请股东大会授权董事会办理</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年限制性股票激励计划有关事项的议案》及 《关于召开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年第一次临时股东大会的议案》，公司独立董事对本次激励计划相关议案发表了 独立意见。该激励计划于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年第一次临时股东大会审议通过并确定 实施。</w:t>
      </w:r>
    </w:p>
    <w:p>
      <w:pPr>
        <w:pStyle w:val="Style13"/>
        <w:keepNext w:val="0"/>
        <w:keepLines w:val="0"/>
        <w:widowControl w:val="0"/>
        <w:shd w:val="clear" w:color="auto" w:fill="auto"/>
        <w:bidi w:val="0"/>
        <w:spacing w:before="0" w:after="0" w:line="469" w:lineRule="exact"/>
        <w:ind w:left="800" w:right="0" w:firstLine="4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年限制性股票激励计划授予限制性股票总数为</w:t>
      </w:r>
      <w:r>
        <w:rPr>
          <w:rFonts w:ascii="Times New Roman" w:eastAsia="Times New Roman" w:hAnsi="Times New Roman" w:cs="Times New Roman"/>
          <w:color w:val="000000"/>
          <w:spacing w:val="0"/>
          <w:w w:val="100"/>
          <w:position w:val="0"/>
        </w:rPr>
        <w:t>3,804.9</w:t>
      </w:r>
      <w:r>
        <w:rPr>
          <w:rFonts w:ascii="Times New Roman" w:eastAsia="Times New Roman" w:hAnsi="Times New Roman" w:cs="Times New Roman"/>
          <w:color w:val="000000"/>
          <w:spacing w:val="0"/>
          <w:w w:val="100"/>
          <w:position w:val="0"/>
        </w:rPr>
        <w:t>0</w:t>
      </w:r>
      <w:r>
        <w:rPr>
          <w:color w:val="000000"/>
          <w:spacing w:val="0"/>
          <w:w w:val="100"/>
          <w:position w:val="0"/>
        </w:rPr>
        <w:t>万股，首次授予限制性股票 份额为</w:t>
      </w:r>
      <w:r>
        <w:rPr>
          <w:rFonts w:ascii="Times New Roman" w:eastAsia="Times New Roman" w:hAnsi="Times New Roman" w:cs="Times New Roman"/>
          <w:color w:val="000000"/>
          <w:spacing w:val="0"/>
          <w:w w:val="100"/>
          <w:position w:val="0"/>
        </w:rPr>
        <w:t>3,504.90</w:t>
      </w:r>
      <w:r>
        <w:rPr>
          <w:color w:val="000000"/>
          <w:spacing w:val="0"/>
          <w:w w:val="100"/>
          <w:position w:val="0"/>
        </w:rPr>
        <w:t>股，预留部分</w:t>
      </w:r>
      <w:r>
        <w:rPr>
          <w:rFonts w:ascii="Times New Roman" w:eastAsia="Times New Roman" w:hAnsi="Times New Roman" w:cs="Times New Roman"/>
          <w:color w:val="000000"/>
          <w:spacing w:val="0"/>
          <w:w w:val="100"/>
          <w:position w:val="0"/>
        </w:rPr>
        <w:t>300</w:t>
      </w:r>
      <w:r>
        <w:rPr>
          <w:color w:val="000000"/>
          <w:spacing w:val="0"/>
          <w:w w:val="100"/>
          <w:position w:val="0"/>
        </w:rPr>
        <w:t>万股。激励计划拟授予激励对象的标的股票来源为公司向激励对 象定向增发的本公司</w:t>
      </w:r>
      <w:r>
        <w:rPr>
          <w:rFonts w:ascii="Times New Roman" w:eastAsia="Times New Roman" w:hAnsi="Times New Roman" w:cs="Times New Roman"/>
          <w:color w:val="000000"/>
          <w:spacing w:val="0"/>
          <w:w w:val="100"/>
          <w:position w:val="0"/>
        </w:rPr>
        <w:t>A</w:t>
      </w:r>
      <w:r>
        <w:rPr>
          <w:color w:val="000000"/>
          <w:spacing w:val="0"/>
          <w:w w:val="100"/>
          <w:position w:val="0"/>
        </w:rPr>
        <w:t>股普通股。首次授予限制性股票的激励对象共</w:t>
      </w:r>
      <w:r>
        <w:rPr>
          <w:rFonts w:ascii="Times New Roman" w:eastAsia="Times New Roman" w:hAnsi="Times New Roman" w:cs="Times New Roman"/>
          <w:color w:val="000000"/>
          <w:spacing w:val="0"/>
          <w:w w:val="100"/>
          <w:position w:val="0"/>
        </w:rPr>
        <w:t>123</w:t>
      </w:r>
      <w:r>
        <w:rPr>
          <w:color w:val="000000"/>
          <w:spacing w:val="0"/>
          <w:w w:val="100"/>
          <w:position w:val="0"/>
        </w:rPr>
        <w:t>人，包括公司董事、高级 管理人员、核心管理人员、核心技术（业务）人员。本激励计划有效期自限制性股票授予之日起 至激励对象获授的限制性股票全部归属或作废失效完毕之日止，最长不超过</w:t>
      </w:r>
      <w:r>
        <w:rPr>
          <w:rFonts w:ascii="Times New Roman" w:eastAsia="Times New Roman" w:hAnsi="Times New Roman" w:cs="Times New Roman"/>
          <w:color w:val="000000"/>
          <w:spacing w:val="0"/>
          <w:w w:val="100"/>
          <w:position w:val="0"/>
        </w:rPr>
        <w:t>60</w:t>
      </w:r>
      <w:r>
        <w:rPr>
          <w:color w:val="000000"/>
          <w:spacing w:val="0"/>
          <w:w w:val="100"/>
          <w:position w:val="0"/>
        </w:rPr>
        <w:t>个月。本次限制性 股票首次授予价格为每股</w:t>
      </w:r>
      <w:r>
        <w:rPr>
          <w:rFonts w:ascii="Times New Roman" w:eastAsia="Times New Roman" w:hAnsi="Times New Roman" w:cs="Times New Roman"/>
          <w:color w:val="000000"/>
          <w:spacing w:val="0"/>
          <w:w w:val="100"/>
          <w:position w:val="0"/>
        </w:rPr>
        <w:t>6.1</w:t>
      </w:r>
      <w:r>
        <w:rPr>
          <w:color w:val="000000"/>
          <w:spacing w:val="0"/>
          <w:w w:val="100"/>
          <w:position w:val="0"/>
        </w:rPr>
        <w:t>元，首次授予日为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日，报告期内首次授予工作已完成。</w:t>
      </w:r>
    </w:p>
    <w:p>
      <w:pPr>
        <w:pStyle w:val="Style13"/>
        <w:keepNext w:val="0"/>
        <w:keepLines w:val="0"/>
        <w:widowControl w:val="0"/>
        <w:shd w:val="clear" w:color="auto" w:fill="auto"/>
        <w:bidi w:val="0"/>
        <w:spacing w:before="0" w:after="40" w:line="469" w:lineRule="exact"/>
        <w:ind w:left="800" w:right="0" w:firstLine="460"/>
        <w:jc w:val="both"/>
      </w:pPr>
      <w:r>
        <w:rPr>
          <w:color w:val="000000"/>
          <w:spacing w:val="0"/>
          <w:w w:val="100"/>
          <w:position w:val="0"/>
        </w:rPr>
        <w:t>详见公司在巨潮资讯网披露的《</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年限制性股票激励计划（草案）》、《关于向激励对象首 次授予限制性股票的公告》（公告编号：</w:t>
      </w:r>
      <w:r>
        <w:rPr>
          <w:rFonts w:ascii="Times New Roman" w:eastAsia="Times New Roman" w:hAnsi="Times New Roman" w:cs="Times New Roman"/>
          <w:color w:val="000000"/>
          <w:spacing w:val="0"/>
          <w:w w:val="100"/>
          <w:position w:val="0"/>
        </w:rPr>
        <w:t>2021-056</w:t>
      </w:r>
      <w:r>
        <w:rPr>
          <w:color w:val="000000"/>
          <w:spacing w:val="0"/>
          <w:w w:val="100"/>
          <w:position w:val="0"/>
        </w:rPr>
        <w:t>）。</w:t>
      </w:r>
    </w:p>
    <w:p>
      <w:pPr>
        <w:pStyle w:val="Style13"/>
        <w:keepNext w:val="0"/>
        <w:keepLines w:val="0"/>
        <w:widowControl w:val="0"/>
        <w:shd w:val="clear" w:color="auto" w:fill="auto"/>
        <w:bidi w:val="0"/>
        <w:spacing w:before="0" w:after="40" w:line="469" w:lineRule="exact"/>
        <w:ind w:left="0" w:right="0" w:firstLine="800"/>
        <w:jc w:val="both"/>
      </w:pPr>
      <w:r>
        <w:rPr>
          <w:color w:val="000000"/>
          <w:spacing w:val="0"/>
          <w:w w:val="100"/>
          <w:position w:val="0"/>
        </w:rPr>
        <w:t>董事、高级管理人员获得的股权激励</w:t>
      </w:r>
    </w:p>
    <w:p>
      <w:pPr>
        <w:pStyle w:val="Style13"/>
        <w:keepNext w:val="0"/>
        <w:keepLines w:val="0"/>
        <w:widowControl w:val="0"/>
        <w:shd w:val="clear" w:color="auto" w:fill="auto"/>
        <w:bidi w:val="0"/>
        <w:spacing w:before="0" w:after="180" w:line="469" w:lineRule="exact"/>
        <w:ind w:left="0" w:right="0" w:firstLine="8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696"/>
        <w:gridCol w:w="706"/>
        <w:gridCol w:w="686"/>
        <w:gridCol w:w="706"/>
        <w:gridCol w:w="802"/>
        <w:gridCol w:w="869"/>
        <w:gridCol w:w="787"/>
        <w:gridCol w:w="917"/>
        <w:gridCol w:w="696"/>
        <w:gridCol w:w="835"/>
        <w:gridCol w:w="869"/>
        <w:gridCol w:w="941"/>
      </w:tblGrid>
      <w:tr>
        <w:trPr>
          <w:trHeight w:val="67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年初持</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有股票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期权数</w:t>
            </w:r>
          </w:p>
          <w:p>
            <w:pPr>
              <w:pStyle w:val="Style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新授予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股票期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权数量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已行权股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期末持有</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报告期末</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期初持有</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本期已</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授予限制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性股票数</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期末持有</w:t>
            </w:r>
          </w:p>
        </w:tc>
      </w:tr>
      <w:tr>
        <w:trPr>
          <w:trHeight w:val="98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姓名</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内可行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权股数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内已行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权股数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数行权价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股票期权 数量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7"/>
                <w:szCs w:val="17"/>
              </w:rPr>
              <w:t>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限制性股 票数量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解锁股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份数量</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限制性股 票数量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孙迎彤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18,058,300</w:t>
            </w:r>
          </w:p>
        </w:tc>
      </w:tr>
    </w:tbl>
    <w:tbl>
      <w:tblPr>
        <w:tblOverlap w:val="never"/>
        <w:jc w:val="center"/>
        <w:tblLayout w:type="fixed"/>
      </w:tblPr>
      <w:tblGrid>
        <w:gridCol w:w="869"/>
        <w:gridCol w:w="869"/>
        <w:gridCol w:w="696"/>
        <w:gridCol w:w="706"/>
        <w:gridCol w:w="686"/>
        <w:gridCol w:w="706"/>
        <w:gridCol w:w="802"/>
        <w:gridCol w:w="869"/>
        <w:gridCol w:w="787"/>
        <w:gridCol w:w="917"/>
        <w:gridCol w:w="696"/>
        <w:gridCol w:w="835"/>
        <w:gridCol w:w="869"/>
        <w:gridCol w:w="94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阚玉伦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梁洁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肖德银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副总经理、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叶艳桃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副总经理、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董事会秘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22,058,300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备注（如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w:t>
            </w:r>
          </w:p>
        </w:tc>
        <w:tc>
          <w:tcPr>
            <w:gridSpan w:val="1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报告期内董事、高级管理人员获得的股权激励均未解锁。</w:t>
            </w:r>
          </w:p>
        </w:tc>
      </w:tr>
    </w:tbl>
    <w:p>
      <w:pPr>
        <w:pStyle w:val="Style30"/>
        <w:keepNext w:val="0"/>
        <w:keepLines w:val="0"/>
        <w:widowControl w:val="0"/>
        <w:shd w:val="clear" w:color="auto" w:fill="auto"/>
        <w:bidi w:val="0"/>
        <w:spacing w:before="0" w:after="0" w:line="240" w:lineRule="auto"/>
        <w:ind w:left="787" w:right="0" w:firstLine="0"/>
        <w:jc w:val="left"/>
        <w:rPr>
          <w:sz w:val="22"/>
          <w:szCs w:val="22"/>
        </w:rPr>
      </w:pPr>
      <w:r>
        <w:rPr>
          <w:color w:val="000000"/>
          <w:spacing w:val="0"/>
          <w:w w:val="100"/>
          <w:position w:val="0"/>
          <w:sz w:val="22"/>
          <w:szCs w:val="22"/>
        </w:rPr>
        <w:t>高级管理人员的考评机制及激励情况</w:t>
      </w:r>
    </w:p>
    <w:p>
      <w:pPr>
        <w:pStyle w:val="Style13"/>
        <w:keepNext w:val="0"/>
        <w:keepLines w:val="0"/>
        <w:widowControl w:val="0"/>
        <w:shd w:val="clear" w:color="auto" w:fill="auto"/>
        <w:bidi w:val="0"/>
        <w:spacing w:before="0" w:after="420" w:line="469" w:lineRule="exact"/>
        <w:ind w:left="800" w:right="0" w:firstLine="460"/>
        <w:jc w:val="both"/>
      </w:pPr>
      <w:r>
        <w:rPr>
          <w:color w:val="000000"/>
          <w:spacing w:val="0"/>
          <w:w w:val="100"/>
          <w:position w:val="0"/>
        </w:rPr>
        <w:t>公司依据国家法律法规并结合实际情况制定了薪酬管理制度，建立以贡献、绩效、能力与职 位为导向的价值评价体系，不断完善绩效考核机制和激励机制，公司高级管理人员严格按照相关 法律法规的规定和要求进行聘任，确保公开、透明、公正，同时公司董事会设立薪酬和考核委员 会，负责对高级管理人员进行绩效考核。</w:t>
      </w:r>
    </w:p>
    <w:p>
      <w:pPr>
        <w:pStyle w:val="Style37"/>
        <w:keepNext/>
        <w:keepLines/>
        <w:widowControl w:val="0"/>
        <w:shd w:val="clear" w:color="auto" w:fill="auto"/>
        <w:bidi w:val="0"/>
        <w:spacing w:before="0" w:after="420" w:line="240" w:lineRule="auto"/>
        <w:ind w:left="0" w:right="0" w:firstLine="800"/>
        <w:jc w:val="both"/>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2</w:t>
      </w:r>
      <w:bookmarkEnd w:id="386"/>
      <w:r>
        <w:rPr>
          <w:color w:val="000000"/>
          <w:spacing w:val="0"/>
          <w:w w:val="100"/>
          <w:position w:val="0"/>
        </w:rPr>
        <w:t>、员工持股计划的实施情况</w:t>
      </w:r>
      <w:bookmarkEnd w:id="384"/>
      <w:bookmarkEnd w:id="385"/>
      <w:bookmarkEnd w:id="387"/>
    </w:p>
    <w:p>
      <w:pPr>
        <w:pStyle w:val="Style13"/>
        <w:keepNext w:val="0"/>
        <w:keepLines w:val="0"/>
        <w:widowControl w:val="0"/>
        <w:shd w:val="clear" w:color="auto" w:fill="auto"/>
        <w:bidi w:val="0"/>
        <w:spacing w:before="0" w:after="200" w:line="240" w:lineRule="auto"/>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after="200" w:line="469" w:lineRule="exact"/>
        <w:ind w:left="0" w:right="0" w:firstLine="800"/>
        <w:jc w:val="both"/>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3</w:t>
      </w:r>
      <w:bookmarkEnd w:id="390"/>
      <w:r>
        <w:rPr>
          <w:color w:val="000000"/>
          <w:spacing w:val="0"/>
          <w:w w:val="100"/>
          <w:position w:val="0"/>
        </w:rPr>
        <w:t>、其他员工激励措施</w:t>
      </w:r>
      <w:bookmarkEnd w:id="388"/>
      <w:bookmarkEnd w:id="389"/>
      <w:bookmarkEnd w:id="391"/>
    </w:p>
    <w:p>
      <w:pPr>
        <w:pStyle w:val="Style13"/>
        <w:keepNext w:val="0"/>
        <w:keepLines w:val="0"/>
        <w:widowControl w:val="0"/>
        <w:shd w:val="clear" w:color="auto" w:fill="auto"/>
        <w:bidi w:val="0"/>
        <w:spacing w:before="0" w:after="200" w:line="469" w:lineRule="exact"/>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140" w:line="469" w:lineRule="exact"/>
        <w:ind w:left="0" w:right="0" w:firstLine="800"/>
        <w:jc w:val="both"/>
      </w:pPr>
      <w:r>
        <w:rPr>
          <w:b/>
          <w:bCs/>
          <w:color w:val="000000"/>
          <w:spacing w:val="0"/>
          <w:w w:val="100"/>
          <w:position w:val="0"/>
        </w:rPr>
        <w:t>十四、报告期内的内部控制制度建设及实施情况</w:t>
      </w:r>
    </w:p>
    <w:p>
      <w:pPr>
        <w:pStyle w:val="Style37"/>
        <w:keepNext/>
        <w:keepLines/>
        <w:widowControl w:val="0"/>
        <w:shd w:val="clear" w:color="auto" w:fill="auto"/>
        <w:bidi w:val="0"/>
        <w:spacing w:before="0" w:after="200" w:line="469" w:lineRule="exact"/>
        <w:ind w:left="0" w:right="0" w:firstLine="800"/>
        <w:jc w:val="both"/>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、内部控制建设及实施情况</w:t>
      </w:r>
      <w:bookmarkEnd w:id="392"/>
      <w:bookmarkEnd w:id="393"/>
      <w:bookmarkEnd w:id="395"/>
    </w:p>
    <w:p>
      <w:pPr>
        <w:pStyle w:val="Style13"/>
        <w:keepNext w:val="0"/>
        <w:keepLines w:val="0"/>
        <w:widowControl w:val="0"/>
        <w:shd w:val="clear" w:color="auto" w:fill="auto"/>
        <w:bidi w:val="0"/>
        <w:spacing w:before="0" w:after="0" w:line="469" w:lineRule="exact"/>
        <w:ind w:left="800" w:right="0" w:firstLine="460"/>
        <w:jc w:val="both"/>
      </w:pPr>
      <w:r>
        <w:rPr>
          <w:color w:val="000000"/>
          <w:spacing w:val="0"/>
          <w:w w:val="100"/>
          <w:position w:val="0"/>
        </w:rPr>
        <w:t>报告期内，公司严格依照《公司法》《证券法》《企业内部控制基本规范》及《企业内部控制 应用指引》等法律法规要求建立了较为完善的内控管理体系，并在此基础上结合行业特征及企业 经营实际，对内控制度进行持续优化，提高了企业决策效率，为企业经营管理的合法合规及资产 安全提供了保障，有效促进公司战略的稳步实施。</w:t>
      </w:r>
    </w:p>
    <w:p>
      <w:pPr>
        <w:pStyle w:val="Style13"/>
        <w:keepNext w:val="0"/>
        <w:keepLines w:val="0"/>
        <w:widowControl w:val="0"/>
        <w:shd w:val="clear" w:color="auto" w:fill="auto"/>
        <w:bidi w:val="0"/>
        <w:spacing w:before="0" w:after="40" w:line="469" w:lineRule="exact"/>
        <w:ind w:left="1260" w:right="0" w:firstLine="0"/>
        <w:jc w:val="both"/>
      </w:pPr>
      <w:r>
        <w:rPr>
          <w:color w:val="000000"/>
          <w:spacing w:val="0"/>
          <w:w w:val="100"/>
          <w:position w:val="0"/>
        </w:rPr>
        <w:t xml:space="preserve">公司内部控制体系结构合理，内部控制制度框架符合财政部、中国证监会等对内部控制体系 </w:t>
      </w:r>
      <w:r>
        <w:rPr>
          <w:color w:val="000000"/>
          <w:spacing w:val="0"/>
          <w:w w:val="100"/>
          <w:position w:val="0"/>
        </w:rPr>
        <w:t>完整性、合理性、有效性的要求，能够适应公司管理和发展的需要。公司不断健全内控体系，内 控运行机制有效，达到了内部控制预期目标，保障了公司及全体股东的利益。</w:t>
      </w:r>
    </w:p>
    <w:p>
      <w:pPr>
        <w:pStyle w:val="Style13"/>
        <w:keepNext w:val="0"/>
        <w:keepLines w:val="0"/>
        <w:widowControl w:val="0"/>
        <w:shd w:val="clear" w:color="auto" w:fill="auto"/>
        <w:bidi w:val="0"/>
        <w:spacing w:before="0" w:after="160" w:line="461" w:lineRule="exact"/>
        <w:ind w:left="780" w:right="0" w:firstLine="480"/>
        <w:jc w:val="both"/>
      </w:pPr>
      <w:r>
        <w:rPr>
          <w:color w:val="000000"/>
          <w:spacing w:val="0"/>
          <w:w w:val="100"/>
          <w:position w:val="0"/>
        </w:rPr>
        <w:t>公司第五届董事会第十三次会议审议通过了公司《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年度内部控制自我评价报告》，全文 详见巨潮资讯网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o</w:t>
      </w:r>
    </w:p>
    <w:p>
      <w:pPr>
        <w:pStyle w:val="Style37"/>
        <w:keepNext/>
        <w:keepLines/>
        <w:widowControl w:val="0"/>
        <w:shd w:val="clear" w:color="auto" w:fill="auto"/>
        <w:bidi w:val="0"/>
        <w:spacing w:before="0" w:after="360" w:line="461" w:lineRule="exact"/>
        <w:ind w:left="0" w:right="0" w:firstLine="780"/>
        <w:jc w:val="both"/>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、报告期内发现的内部控制重大缺陷的具体情况</w:t>
      </w:r>
      <w:bookmarkEnd w:id="396"/>
      <w:bookmarkEnd w:id="397"/>
      <w:bookmarkEnd w:id="399"/>
    </w:p>
    <w:p>
      <w:pPr>
        <w:pStyle w:val="Style13"/>
        <w:keepNext w:val="0"/>
        <w:keepLines w:val="0"/>
        <w:widowControl w:val="0"/>
        <w:shd w:val="clear" w:color="auto" w:fill="auto"/>
        <w:bidi w:val="0"/>
        <w:spacing w:before="0" w:after="0" w:line="437" w:lineRule="auto"/>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3"/>
        <w:keepNext/>
        <w:keepLines/>
        <w:widowControl w:val="0"/>
        <w:shd w:val="clear" w:color="auto" w:fill="auto"/>
        <w:bidi w:val="0"/>
        <w:spacing w:before="0" w:after="220" w:line="461" w:lineRule="exact"/>
        <w:ind w:left="0" w:right="0" w:firstLine="780"/>
        <w:jc w:val="both"/>
      </w:pPr>
      <w:bookmarkStart w:id="400" w:name="bookmark400"/>
      <w:bookmarkStart w:id="401" w:name="bookmark401"/>
      <w:bookmarkStart w:id="402" w:name="bookmark402"/>
      <w:r>
        <w:rPr>
          <w:color w:val="000000"/>
          <w:spacing w:val="0"/>
          <w:w w:val="100"/>
          <w:position w:val="0"/>
        </w:rPr>
        <w:t>十五、公司报告期内对子公司的管理控制情况</w:t>
      </w:r>
      <w:bookmarkEnd w:id="400"/>
      <w:bookmarkEnd w:id="401"/>
      <w:bookmarkEnd w:id="402"/>
    </w:p>
    <w:p>
      <w:pPr>
        <w:pStyle w:val="Style13"/>
        <w:keepNext w:val="0"/>
        <w:keepLines w:val="0"/>
        <w:widowControl w:val="0"/>
        <w:shd w:val="clear" w:color="auto" w:fill="auto"/>
        <w:bidi w:val="0"/>
        <w:spacing w:before="0" w:after="40" w:line="461" w:lineRule="exact"/>
        <w:ind w:left="780" w:right="0" w:firstLine="480"/>
        <w:jc w:val="both"/>
      </w:pPr>
      <w:r>
        <w:rPr>
          <w:color w:val="000000"/>
          <w:spacing w:val="0"/>
          <w:w w:val="100"/>
          <w:position w:val="0"/>
        </w:rPr>
        <w:t>为加强对子公司的治理结构、资产、资源的风险控制，提高公司整体运行效率和抗风险能力， 公司已依据《公司法》《证券法》及《公司章程》的相关规定，制定了《子公司管理制度》及子 公司层面的相关内部控制制度。</w:t>
      </w:r>
    </w:p>
    <w:p>
      <w:pPr>
        <w:pStyle w:val="Style13"/>
        <w:keepNext w:val="0"/>
        <w:keepLines w:val="0"/>
        <w:widowControl w:val="0"/>
        <w:shd w:val="clear" w:color="auto" w:fill="auto"/>
        <w:bidi w:val="0"/>
        <w:spacing w:before="0" w:after="220" w:line="461" w:lineRule="exact"/>
        <w:ind w:left="780" w:right="0" w:firstLine="480"/>
        <w:jc w:val="both"/>
      </w:pPr>
      <w:r>
        <w:rPr>
          <w:color w:val="000000"/>
          <w:spacing w:val="0"/>
          <w:w w:val="100"/>
          <w:position w:val="0"/>
        </w:rPr>
        <w:t>公司主要通过行使表决权以及向控股子公司委派董事、监事、高级管理人员和对经营、财务、 审计、重大投资、信息披露、法律事务及人力资源等重要事项的日常监管等途径行使股东权利， 实现对子公司的治理监控。</w:t>
      </w:r>
    </w:p>
    <w:p>
      <w:pPr>
        <w:pStyle w:val="Style30"/>
        <w:keepNext w:val="0"/>
        <w:keepLines w:val="0"/>
        <w:widowControl w:val="0"/>
        <w:shd w:val="clear" w:color="auto" w:fill="auto"/>
        <w:bidi w:val="0"/>
        <w:spacing w:before="0" w:after="0" w:line="240" w:lineRule="auto"/>
        <w:ind w:left="557" w:right="0" w:firstLine="0"/>
        <w:jc w:val="left"/>
        <w:rPr>
          <w:sz w:val="22"/>
          <w:szCs w:val="22"/>
        </w:rPr>
      </w:pPr>
      <w:r>
        <w:rPr>
          <w:color w:val="000000"/>
          <w:spacing w:val="0"/>
          <w:w w:val="100"/>
          <w:position w:val="0"/>
          <w:sz w:val="22"/>
          <w:szCs w:val="22"/>
        </w:rPr>
        <w:t>截至报告期末，公司对各控股子公司管控状况良好。</w:t>
      </w:r>
    </w:p>
    <w:tbl>
      <w:tblPr>
        <w:tblOverlap w:val="never"/>
        <w:jc w:val="center"/>
        <w:tblLayout w:type="fixed"/>
      </w:tblPr>
      <w:tblGrid>
        <w:gridCol w:w="1248"/>
        <w:gridCol w:w="1416"/>
        <w:gridCol w:w="1421"/>
        <w:gridCol w:w="1550"/>
        <w:gridCol w:w="1411"/>
        <w:gridCol w:w="1406"/>
        <w:gridCol w:w="1416"/>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75" w:lineRule="exact"/>
              <w:ind w:left="0" w:right="0" w:firstLine="0"/>
              <w:jc w:val="left"/>
            </w:pPr>
            <w:r>
              <w:rPr>
                <w:b/>
                <w:bCs/>
                <w:color w:val="000000"/>
                <w:spacing w:val="0"/>
                <w:w w:val="100"/>
                <w:position w:val="0"/>
              </w:rPr>
              <w:t>整合中遇到 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已采取的解</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466" w:lineRule="exact"/>
              <w:ind w:left="0" w:right="0" w:firstLine="0"/>
              <w:jc w:val="left"/>
            </w:pPr>
            <w:r>
              <w:rPr>
                <w:b/>
                <w:bCs/>
                <w:color w:val="000000"/>
                <w:spacing w:val="0"/>
                <w:w w:val="100"/>
                <w:position w:val="0"/>
              </w:rPr>
              <w:t>后续解决计 划</w:t>
            </w:r>
          </w:p>
        </w:tc>
      </w:tr>
      <w:tr>
        <w:trPr>
          <w:trHeight w:val="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13"/>
        <w:keepNext w:val="0"/>
        <w:keepLines w:val="0"/>
        <w:widowControl w:val="0"/>
        <w:shd w:val="clear" w:color="auto" w:fill="auto"/>
        <w:bidi w:val="0"/>
        <w:spacing w:before="0" w:after="360" w:line="240" w:lineRule="auto"/>
        <w:ind w:left="0" w:right="0" w:firstLine="780"/>
        <w:jc w:val="both"/>
      </w:pPr>
      <w:r>
        <w:rPr>
          <w:b/>
          <w:bCs/>
          <w:color w:val="000000"/>
          <w:spacing w:val="0"/>
          <w:w w:val="100"/>
          <w:position w:val="0"/>
        </w:rPr>
        <w:t>十六、内部控制自我评价报告或内部控制审计报告</w:t>
      </w:r>
    </w:p>
    <w:p>
      <w:pPr>
        <w:pStyle w:val="Style13"/>
        <w:keepNext w:val="0"/>
        <w:keepLines w:val="0"/>
        <w:widowControl w:val="0"/>
        <w:shd w:val="clear" w:color="auto" w:fill="auto"/>
        <w:bidi w:val="0"/>
        <w:spacing w:before="0" w:after="320" w:line="240" w:lineRule="auto"/>
        <w:ind w:left="0" w:right="0" w:firstLine="780"/>
        <w:jc w:val="both"/>
      </w:pPr>
      <w:bookmarkStart w:id="403" w:name="bookmark403"/>
      <w:r>
        <w:rPr>
          <w:rFonts w:ascii="Times New Roman" w:eastAsia="Times New Roman" w:hAnsi="Times New Roman" w:cs="Times New Roman"/>
          <w:b/>
          <w:bCs/>
          <w:color w:val="000000"/>
          <w:spacing w:val="0"/>
          <w:w w:val="100"/>
          <w:position w:val="0"/>
        </w:rPr>
        <w:t>1</w:t>
      </w:r>
      <w:bookmarkEnd w:id="403"/>
      <w:r>
        <w:rPr>
          <w:b/>
          <w:bCs/>
          <w:color w:val="000000"/>
          <w:spacing w:val="0"/>
          <w:w w:val="100"/>
          <w:position w:val="0"/>
        </w:rPr>
        <w:t>、内控自我评价报告</w:t>
      </w:r>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 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纳入评价范围单位营业总收入占 公司合并财务报表营业总收入的 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缺陷认定标准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财务报告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非财务报告</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57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62" w:val="left"/>
              </w:tabs>
              <w:bidi w:val="0"/>
              <w:spacing w:before="0" w:after="0" w:line="307" w:lineRule="exact"/>
              <w:ind w:left="0" w:right="0" w:firstLine="0"/>
              <w:jc w:val="left"/>
              <w:rPr>
                <w:sz w:val="20"/>
                <w:szCs w:val="20"/>
              </w:rPr>
            </w:pPr>
            <w:r>
              <w:rPr>
                <w:color w:val="000000"/>
                <w:spacing w:val="0"/>
                <w:w w:val="100"/>
                <w:position w:val="0"/>
                <w:sz w:val="20"/>
                <w:szCs w:val="20"/>
              </w:rPr>
              <w:t>（一）</w:t>
              <w:tab/>
              <w:t>重大缺陷是指以下任一情</w:t>
            </w:r>
          </w:p>
          <w:p>
            <w:pPr>
              <w:pStyle w:val="Style2"/>
              <w:keepNext w:val="0"/>
              <w:keepLines w:val="0"/>
              <w:widowControl w:val="0"/>
              <w:shd w:val="clear" w:color="auto" w:fill="auto"/>
              <w:tabs>
                <w:tab w:pos="1306" w:val="left"/>
              </w:tabs>
              <w:bidi w:val="0"/>
              <w:spacing w:before="0" w:after="0" w:line="307" w:lineRule="exact"/>
              <w:ind w:left="0" w:right="0" w:firstLine="0"/>
              <w:jc w:val="left"/>
              <w:rPr>
                <w:sz w:val="20"/>
                <w:szCs w:val="20"/>
              </w:rPr>
            </w:pPr>
            <w:r>
              <w:rPr>
                <w:color w:val="000000"/>
                <w:spacing w:val="0"/>
                <w:w w:val="100"/>
                <w:position w:val="0"/>
                <w:sz w:val="20"/>
                <w:szCs w:val="20"/>
              </w:rPr>
              <w:t>形：</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、董事、监事和高级管理人 员舞弊；</w:t>
              <w:tab/>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、注册会计师发现</w:t>
            </w:r>
          </w:p>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当期财务报告中的重大错报而公 司内部控制未识别；</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、公司审计 委员会和内部审计机构对内部控 制的监督无效；</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、控制环境无效。</w:t>
            </w:r>
          </w:p>
          <w:p>
            <w:pPr>
              <w:pStyle w:val="Style2"/>
              <w:keepNext w:val="0"/>
              <w:keepLines w:val="0"/>
              <w:widowControl w:val="0"/>
              <w:shd w:val="clear" w:color="auto" w:fill="auto"/>
              <w:tabs>
                <w:tab w:pos="778" w:val="left"/>
              </w:tabs>
              <w:bidi w:val="0"/>
              <w:spacing w:before="0" w:after="0" w:line="314" w:lineRule="exact"/>
              <w:ind w:left="0" w:right="0" w:firstLine="0"/>
              <w:jc w:val="left"/>
              <w:rPr>
                <w:sz w:val="20"/>
                <w:szCs w:val="20"/>
              </w:rPr>
            </w:pPr>
            <w:r>
              <w:rPr>
                <w:color w:val="000000"/>
                <w:spacing w:val="0"/>
                <w:w w:val="100"/>
                <w:position w:val="0"/>
                <w:sz w:val="20"/>
                <w:szCs w:val="20"/>
              </w:rPr>
              <w:t>（二）</w:t>
              <w:tab/>
              <w:t>重要缺陷是指以下任一情 形：</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、未依照公认会计准则选择 和应用会计政策；</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、未建立反舞 弊程序和控制措施；</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、对于非常 规或特殊交易的账务处理没有建 立相应的控制机制或没有实施且 没有相应的补偿性控制；</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对于 期末财务报告过程的控制存在一 项或多项缺陷且不能合理保证编 制的财务报表达到真实、准确的目 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994" w:val="left"/>
              </w:tabs>
              <w:bidi w:val="0"/>
              <w:spacing w:before="0" w:after="0" w:line="307" w:lineRule="exact"/>
              <w:ind w:left="0" w:right="0" w:firstLine="0"/>
              <w:jc w:val="both"/>
              <w:rPr>
                <w:sz w:val="20"/>
                <w:szCs w:val="20"/>
              </w:rPr>
            </w:pPr>
            <w:r>
              <w:rPr>
                <w:color w:val="000000"/>
                <w:spacing w:val="0"/>
                <w:w w:val="100"/>
                <w:position w:val="0"/>
                <w:sz w:val="20"/>
                <w:szCs w:val="20"/>
              </w:rPr>
              <w:t>（一）重大缺陷是指以下任一 情形：</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、董事、监事和高级管 理人员舞弊；</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、公司经营活动 严重违反国家法律法规、受到重 大刑事处罚；</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、内部控制评价 结果存在重大缺陷且未得到整 改。</w:t>
              <w:tab/>
              <w:t>（二）重要缺陷是指</w:t>
            </w:r>
          </w:p>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以下任一情形：</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、公司决策失 误对经营产生较大影响；</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、主 要业务制度存在重大缺陷；</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 内部控制评价结果存在重要缺 陷且未得到整改为重要缺陷。</w:t>
            </w:r>
          </w:p>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（三）其他控制缺陷，是指除 上述重大缺陷、重要缺陷之外的 缺陷。</w:t>
            </w:r>
          </w:p>
        </w:tc>
      </w:tr>
      <w:tr>
        <w:trPr>
          <w:trHeight w:val="360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62" w:val="left"/>
              </w:tabs>
              <w:bidi w:val="0"/>
              <w:spacing w:before="0" w:after="0" w:line="308" w:lineRule="exact"/>
              <w:ind w:left="0" w:right="0" w:firstLine="0"/>
              <w:jc w:val="left"/>
              <w:rPr>
                <w:sz w:val="20"/>
                <w:szCs w:val="20"/>
              </w:rPr>
            </w:pPr>
            <w:r>
              <w:rPr>
                <w:color w:val="000000"/>
                <w:spacing w:val="0"/>
                <w:w w:val="100"/>
                <w:position w:val="0"/>
                <w:sz w:val="20"/>
                <w:szCs w:val="20"/>
              </w:rPr>
              <w:t>（一）</w:t>
              <w:tab/>
              <w:t>重大缺陷是指以下任一情</w:t>
            </w:r>
          </w:p>
          <w:p>
            <w:pPr>
              <w:pStyle w:val="Style2"/>
              <w:keepNext w:val="0"/>
              <w:keepLines w:val="0"/>
              <w:widowControl w:val="0"/>
              <w:shd w:val="clear" w:color="auto" w:fill="auto"/>
              <w:tabs>
                <w:tab w:pos="3034" w:val="left"/>
              </w:tabs>
              <w:bidi w:val="0"/>
              <w:spacing w:before="0" w:after="0" w:line="308" w:lineRule="exact"/>
              <w:ind w:left="0" w:right="0" w:firstLine="0"/>
              <w:jc w:val="left"/>
              <w:rPr>
                <w:sz w:val="20"/>
                <w:szCs w:val="20"/>
              </w:rPr>
            </w:pPr>
            <w:r>
              <w:rPr>
                <w:color w:val="000000"/>
                <w:spacing w:val="0"/>
                <w:w w:val="100"/>
                <w:position w:val="0"/>
                <w:sz w:val="20"/>
                <w:szCs w:val="20"/>
              </w:rPr>
              <w:t>形：</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、资产总额错报大于</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r>
          </w:p>
          <w:p>
            <w:pPr>
              <w:pStyle w:val="Style2"/>
              <w:keepNext w:val="0"/>
              <w:keepLines w:val="0"/>
              <w:widowControl w:val="0"/>
              <w:shd w:val="clear" w:color="auto" w:fill="auto"/>
              <w:bidi w:val="0"/>
              <w:spacing w:before="0" w:after="0" w:line="308" w:lineRule="exact"/>
              <w:ind w:left="0" w:right="0" w:firstLine="0"/>
              <w:jc w:val="left"/>
              <w:rPr>
                <w:sz w:val="20"/>
                <w:szCs w:val="20"/>
              </w:rPr>
            </w:pPr>
            <w:r>
              <w:rPr>
                <w:color w:val="000000"/>
                <w:spacing w:val="0"/>
                <w:w w:val="100"/>
                <w:position w:val="0"/>
                <w:sz w:val="20"/>
                <w:szCs w:val="20"/>
              </w:rPr>
              <w:t>营业收入总额错报大于</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w:t>
            </w:r>
          </w:p>
          <w:p>
            <w:pPr>
              <w:pStyle w:val="Style2"/>
              <w:keepNext w:val="0"/>
              <w:keepLines w:val="0"/>
              <w:widowControl w:val="0"/>
              <w:shd w:val="clear" w:color="auto" w:fill="auto"/>
              <w:tabs>
                <w:tab w:pos="773" w:val="left"/>
              </w:tabs>
              <w:bidi w:val="0"/>
              <w:spacing w:before="0" w:after="60" w:line="314" w:lineRule="exact"/>
              <w:ind w:left="0" w:right="0" w:firstLine="0"/>
              <w:jc w:val="left"/>
              <w:rPr>
                <w:sz w:val="20"/>
                <w:szCs w:val="20"/>
              </w:rPr>
            </w:pPr>
            <w:r>
              <w:rPr>
                <w:color w:val="000000"/>
                <w:spacing w:val="0"/>
                <w:w w:val="100"/>
                <w:position w:val="0"/>
                <w:sz w:val="20"/>
                <w:szCs w:val="20"/>
              </w:rPr>
              <w:t>（二）</w:t>
              <w:tab/>
              <w:t>重要缺陷是指以下任一情 形：</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、资产总额错报小于等于</w:t>
            </w:r>
            <w:r>
              <w:rPr>
                <w:rFonts w:ascii="Times New Roman" w:eastAsia="Times New Roman" w:hAnsi="Times New Roman" w:cs="Times New Roman"/>
                <w:color w:val="000000"/>
                <w:spacing w:val="0"/>
                <w:w w:val="100"/>
                <w:position w:val="0"/>
                <w:sz w:val="22"/>
                <w:szCs w:val="22"/>
              </w:rPr>
              <w:t xml:space="preserve">5% </w:t>
            </w:r>
            <w:r>
              <w:rPr>
                <w:color w:val="000000"/>
                <w:spacing w:val="0"/>
                <w:w w:val="100"/>
                <w:position w:val="0"/>
                <w:sz w:val="20"/>
                <w:szCs w:val="20"/>
              </w:rPr>
              <w:t>大于</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、营业收入总额小于等 于</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大于</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r>
          </w:p>
          <w:p>
            <w:pPr>
              <w:pStyle w:val="Style2"/>
              <w:keepNext w:val="0"/>
              <w:keepLines w:val="0"/>
              <w:widowControl w:val="0"/>
              <w:shd w:val="clear" w:color="auto" w:fill="auto"/>
              <w:tabs>
                <w:tab w:pos="662" w:val="left"/>
              </w:tabs>
              <w:bidi w:val="0"/>
              <w:spacing w:before="0" w:after="0" w:line="302" w:lineRule="exact"/>
              <w:ind w:left="0" w:right="0" w:firstLine="0"/>
              <w:jc w:val="left"/>
              <w:rPr>
                <w:sz w:val="20"/>
                <w:szCs w:val="20"/>
              </w:rPr>
            </w:pPr>
            <w:r>
              <w:rPr>
                <w:color w:val="000000"/>
                <w:spacing w:val="0"/>
                <w:w w:val="100"/>
                <w:position w:val="0"/>
                <w:sz w:val="20"/>
                <w:szCs w:val="20"/>
              </w:rPr>
              <w:t>（三）</w:t>
              <w:tab/>
              <w:t>一般缺陷是指以下任一情</w:t>
            </w:r>
          </w:p>
          <w:p>
            <w:pPr>
              <w:pStyle w:val="Style2"/>
              <w:keepNext w:val="0"/>
              <w:keepLines w:val="0"/>
              <w:widowControl w:val="0"/>
              <w:shd w:val="clear" w:color="auto" w:fill="auto"/>
              <w:tabs>
                <w:tab w:pos="619" w:val="left"/>
              </w:tabs>
              <w:bidi w:val="0"/>
              <w:spacing w:before="0" w:after="60" w:line="302" w:lineRule="exact"/>
              <w:ind w:left="0" w:right="0" w:firstLine="0"/>
              <w:jc w:val="left"/>
              <w:rPr>
                <w:sz w:val="20"/>
                <w:szCs w:val="20"/>
              </w:rPr>
            </w:pPr>
            <w:r>
              <w:rPr>
                <w:color w:val="000000"/>
                <w:spacing w:val="0"/>
                <w:w w:val="100"/>
                <w:position w:val="0"/>
                <w:sz w:val="20"/>
                <w:szCs w:val="20"/>
              </w:rPr>
              <w:t>形：</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 xml:space="preserve">、资产总额错报小于等于 </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、营业收入总额小于等于</w:t>
            </w:r>
          </w:p>
          <w:p>
            <w:pPr>
              <w:pStyle w:val="Style2"/>
              <w:keepNext w:val="0"/>
              <w:keepLines w:val="0"/>
              <w:widowControl w:val="0"/>
              <w:shd w:val="clear" w:color="auto" w:fill="auto"/>
              <w:bidi w:val="0"/>
              <w:spacing w:before="0" w:after="40" w:line="288"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922" w:val="left"/>
              </w:tabs>
              <w:bidi w:val="0"/>
              <w:spacing w:before="0" w:after="0" w:line="305"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 xml:space="preserve">、重大缺陷是指对公司造成的 直接损失大于营业收入总额 </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、重要缺陷是指对公</w:t>
            </w:r>
          </w:p>
          <w:p>
            <w:pPr>
              <w:pStyle w:val="Style2"/>
              <w:keepNext w:val="0"/>
              <w:keepLines w:val="0"/>
              <w:widowControl w:val="0"/>
              <w:shd w:val="clear" w:color="auto" w:fill="auto"/>
              <w:tabs>
                <w:tab w:pos="1502" w:val="left"/>
              </w:tabs>
              <w:bidi w:val="0"/>
              <w:spacing w:before="0" w:after="0" w:line="305" w:lineRule="exact"/>
              <w:ind w:left="0" w:right="0" w:firstLine="0"/>
              <w:jc w:val="both"/>
              <w:rPr>
                <w:sz w:val="20"/>
                <w:szCs w:val="20"/>
              </w:rPr>
            </w:pPr>
            <w:r>
              <w:rPr>
                <w:color w:val="000000"/>
                <w:spacing w:val="0"/>
                <w:w w:val="100"/>
                <w:position w:val="0"/>
                <w:sz w:val="20"/>
                <w:szCs w:val="20"/>
              </w:rPr>
              <w:t>司造成的直接损失小于等于营 业收入总额</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大于营业收入 总额</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、一般缺陷是</w:t>
            </w:r>
          </w:p>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指对公司造成的直接损失小于 等于营业收入总额</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、内部控制审计报告或鉴证报告</w:t>
      </w:r>
    </w:p>
    <w:p>
      <w:pPr>
        <w:widowControl w:val="0"/>
        <w:spacing w:after="419" w:line="1" w:lineRule="exact"/>
      </w:pPr>
    </w:p>
    <w:p>
      <w:pPr>
        <w:pStyle w:val="Style13"/>
        <w:keepNext w:val="0"/>
        <w:keepLines w:val="0"/>
        <w:widowControl w:val="0"/>
        <w:shd w:val="clear" w:color="auto" w:fill="auto"/>
        <w:bidi w:val="0"/>
        <w:spacing w:before="0" w:after="420" w:line="240" w:lineRule="auto"/>
        <w:ind w:left="0" w:right="0" w:firstLine="7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after="420" w:line="240" w:lineRule="auto"/>
        <w:ind w:left="0" w:right="0" w:firstLine="760"/>
        <w:jc w:val="both"/>
      </w:pPr>
      <w:bookmarkStart w:id="404" w:name="bookmark404"/>
      <w:bookmarkStart w:id="405" w:name="bookmark405"/>
      <w:bookmarkStart w:id="406" w:name="bookmark406"/>
      <w:r>
        <w:rPr>
          <w:color w:val="000000"/>
          <w:spacing w:val="0"/>
          <w:w w:val="100"/>
          <w:position w:val="0"/>
        </w:rPr>
        <w:t>十七、上市公司治理专项行动自查问题整改情况</w:t>
      </w:r>
      <w:bookmarkEnd w:id="404"/>
      <w:bookmarkEnd w:id="405"/>
      <w:bookmarkEnd w:id="406"/>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根据中国证券监督管理委员会上市公司治理专项自查清单填报系统，公司本着实事求是的原 </w:t>
      </w:r>
      <w:r>
        <w:rPr>
          <w:color w:val="000000"/>
          <w:spacing w:val="0"/>
          <w:w w:val="100"/>
          <w:position w:val="0"/>
        </w:rPr>
        <w:t>则，严格对照《公司法》、《证券法》等有关法律、行政法规，以及《公司章程》、《董事会议事规 则》、《监事会议事规则》及专门委员会议事规则等内部规章制度，对照专项活动的自查事项进行 了自查，一共涉及七大方面共计</w:t>
      </w:r>
      <w:r>
        <w:rPr>
          <w:rFonts w:ascii="Times New Roman" w:eastAsia="Times New Roman" w:hAnsi="Times New Roman" w:cs="Times New Roman"/>
          <w:color w:val="000000"/>
          <w:spacing w:val="0"/>
          <w:w w:val="100"/>
          <w:position w:val="0"/>
        </w:rPr>
        <w:t>119</w:t>
      </w:r>
      <w:r>
        <w:rPr>
          <w:color w:val="000000"/>
          <w:spacing w:val="0"/>
          <w:w w:val="100"/>
          <w:position w:val="0"/>
        </w:rPr>
        <w:t>个问答，公司认真梳理填报，于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日完成专项自查 工作。</w:t>
      </w:r>
    </w:p>
    <w:p>
      <w:pPr>
        <w:pStyle w:val="Style13"/>
        <w:keepNext w:val="0"/>
        <w:keepLines w:val="0"/>
        <w:widowControl w:val="0"/>
        <w:shd w:val="clear" w:color="auto" w:fill="auto"/>
        <w:bidi w:val="0"/>
        <w:spacing w:before="0" w:after="0" w:line="472" w:lineRule="exact"/>
        <w:ind w:left="800" w:right="760" w:firstLine="460"/>
        <w:jc w:val="both"/>
      </w:pPr>
      <w:r>
        <w:rPr>
          <w:color w:val="000000"/>
          <w:spacing w:val="0"/>
          <w:w w:val="100"/>
          <w:position w:val="0"/>
        </w:rPr>
        <w:t>通过本次自查，公司认为公司治理符合《公司法》、《证券法》等法律、法规的要求，公司治 理结构较为完善，运作规范，不存在重大问题的失误。</w:t>
      </w:r>
    </w:p>
    <w:p>
      <w:pPr>
        <w:pStyle w:val="Style13"/>
        <w:keepNext w:val="0"/>
        <w:keepLines w:val="0"/>
        <w:widowControl w:val="0"/>
        <w:shd w:val="clear" w:color="auto" w:fill="auto"/>
        <w:bidi w:val="0"/>
        <w:spacing w:before="0" w:after="0" w:line="472" w:lineRule="exact"/>
        <w:ind w:left="800" w:right="760" w:firstLine="460"/>
        <w:jc w:val="both"/>
      </w:pPr>
      <w:r>
        <w:rPr>
          <w:color w:val="000000"/>
          <w:spacing w:val="0"/>
          <w:w w:val="100"/>
          <w:position w:val="0"/>
        </w:rPr>
        <w:t>公司存在一项需要整改的情况：需完善公司《内部控制制度》中关于内部控制缺陷评价的定 量标准和定性标准。</w:t>
      </w:r>
    </w:p>
    <w:p>
      <w:pPr>
        <w:pStyle w:val="Style13"/>
        <w:keepNext w:val="0"/>
        <w:keepLines w:val="0"/>
        <w:widowControl w:val="0"/>
        <w:shd w:val="clear" w:color="auto" w:fill="auto"/>
        <w:bidi w:val="0"/>
        <w:spacing w:before="0" w:after="0" w:line="478" w:lineRule="exact"/>
        <w:ind w:left="800" w:right="760" w:firstLine="460"/>
        <w:jc w:val="both"/>
        <w:sectPr>
          <w:footnotePr>
            <w:pos w:val="pageBottom"/>
            <w:numFmt w:val="decimal"/>
            <w:numRestart w:val="continuous"/>
          </w:footnotePr>
          <w:pgSz w:w="11900" w:h="16840"/>
          <w:pgMar w:top="1388" w:right="327" w:bottom="1474" w:left="327" w:header="0" w:footer="3" w:gutter="0"/>
          <w:cols w:space="720"/>
          <w:noEndnote/>
          <w:rtlGutter w:val="0"/>
          <w:docGrid w:linePitch="360"/>
        </w:sectPr>
      </w:pPr>
      <w:r>
        <w:rPr>
          <w:color w:val="000000"/>
          <w:spacing w:val="0"/>
          <w:w w:val="100"/>
          <w:position w:val="0"/>
        </w:rPr>
        <w:t>整改情况：公司于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日召开第四届董事会第二十六次会议，审议通过对《内部控 制制度》修订的议案，完成了对《内部控制制度》中内部控制缺陷评价的定量标准和定性标准的 修订。</w:t>
      </w:r>
    </w:p>
    <w:p>
      <w:pPr>
        <w:pStyle w:val="Style17"/>
        <w:keepNext/>
        <w:keepLines/>
        <w:widowControl w:val="0"/>
        <w:shd w:val="clear" w:color="auto" w:fill="auto"/>
        <w:bidi w:val="0"/>
        <w:spacing w:before="840" w:after="560" w:line="240" w:lineRule="auto"/>
        <w:ind w:left="0" w:right="0" w:firstLine="0"/>
        <w:jc w:val="center"/>
      </w:pPr>
      <w:bookmarkStart w:id="407" w:name="bookmark407"/>
      <w:bookmarkStart w:id="408" w:name="bookmark408"/>
      <w:bookmarkStart w:id="409" w:name="bookmark409"/>
      <w:r>
        <w:rPr>
          <w:color w:val="000000"/>
          <w:spacing w:val="0"/>
          <w:w w:val="100"/>
          <w:position w:val="0"/>
        </w:rPr>
        <w:t>第五节环境和社会责任</w:t>
      </w:r>
      <w:bookmarkEnd w:id="407"/>
      <w:bookmarkEnd w:id="408"/>
      <w:bookmarkEnd w:id="409"/>
    </w:p>
    <w:p>
      <w:pPr>
        <w:pStyle w:val="Style33"/>
        <w:keepNext/>
        <w:keepLines/>
        <w:widowControl w:val="0"/>
        <w:shd w:val="clear" w:color="auto" w:fill="auto"/>
        <w:bidi w:val="0"/>
        <w:spacing w:before="0" w:after="420" w:line="240" w:lineRule="auto"/>
        <w:ind w:left="1240" w:right="0" w:firstLine="0"/>
        <w:jc w:val="both"/>
      </w:pPr>
      <w:bookmarkStart w:id="410" w:name="bookmark410"/>
      <w:bookmarkStart w:id="411" w:name="bookmark411"/>
      <w:bookmarkStart w:id="412" w:name="bookmark412"/>
      <w:bookmarkStart w:id="413" w:name="bookmark413"/>
      <w:r>
        <w:rPr>
          <w:color w:val="000000"/>
          <w:spacing w:val="0"/>
          <w:w w:val="100"/>
          <w:position w:val="0"/>
        </w:rPr>
        <w:t>一</w:t>
      </w:r>
      <w:bookmarkEnd w:id="412"/>
      <w:r>
        <w:rPr>
          <w:color w:val="000000"/>
          <w:spacing w:val="0"/>
          <w:w w:val="100"/>
          <w:position w:val="0"/>
        </w:rPr>
        <w:t>、重大环保问题</w:t>
      </w:r>
      <w:bookmarkEnd w:id="410"/>
      <w:bookmarkEnd w:id="411"/>
      <w:bookmarkEnd w:id="413"/>
    </w:p>
    <w:p>
      <w:pPr>
        <w:pStyle w:val="Style13"/>
        <w:keepNext w:val="0"/>
        <w:keepLines w:val="0"/>
        <w:widowControl w:val="0"/>
        <w:shd w:val="clear" w:color="auto" w:fill="auto"/>
        <w:bidi w:val="0"/>
        <w:spacing w:before="0" w:after="240" w:line="240" w:lineRule="auto"/>
        <w:ind w:left="1240" w:right="0" w:firstLine="0"/>
        <w:jc w:val="both"/>
      </w:pPr>
      <w:r>
        <w:rPr>
          <w:color w:val="000000"/>
          <w:spacing w:val="0"/>
          <w:w w:val="100"/>
          <w:position w:val="0"/>
        </w:rPr>
        <w:t>上市公司及其子公司是否属于环境保护部门公布的重点排污单位</w:t>
      </w:r>
    </w:p>
    <w:p>
      <w:pPr>
        <w:pStyle w:val="Style13"/>
        <w:keepNext w:val="0"/>
        <w:keepLines w:val="0"/>
        <w:widowControl w:val="0"/>
        <w:shd w:val="clear" w:color="auto" w:fill="auto"/>
        <w:bidi w:val="0"/>
        <w:spacing w:before="0" w:after="240" w:line="240" w:lineRule="auto"/>
        <w:ind w:left="12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3"/>
        <w:keepNext w:val="0"/>
        <w:keepLines w:val="0"/>
        <w:widowControl w:val="0"/>
        <w:shd w:val="clear" w:color="auto" w:fill="auto"/>
        <w:bidi w:val="0"/>
        <w:spacing w:before="0" w:after="140" w:line="240" w:lineRule="auto"/>
        <w:ind w:left="1240" w:right="0" w:firstLine="0"/>
        <w:jc w:val="both"/>
      </w:pPr>
      <w:r>
        <w:rPr>
          <w:color w:val="000000"/>
          <w:spacing w:val="0"/>
          <w:w w:val="100"/>
          <w:position w:val="0"/>
        </w:rPr>
        <w:t>报告期内因环境问题受到行政处罚的情况</w:t>
      </w:r>
    </w:p>
    <w:tbl>
      <w:tblPr>
        <w:tblOverlap w:val="never"/>
        <w:jc w:val="right"/>
        <w:tblLayout w:type="fixed"/>
      </w:tblPr>
      <w:tblGrid>
        <w:gridCol w:w="1598"/>
        <w:gridCol w:w="1594"/>
        <w:gridCol w:w="1598"/>
        <w:gridCol w:w="1594"/>
        <w:gridCol w:w="1589"/>
        <w:gridCol w:w="160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公司或子公司名</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对上市公司生</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466" w:lineRule="exact"/>
              <w:ind w:left="0" w:right="0" w:firstLine="0"/>
              <w:jc w:val="center"/>
              <w:rPr>
                <w:sz w:val="20"/>
                <w:szCs w:val="20"/>
              </w:rPr>
            </w:pPr>
            <w:r>
              <w:rPr>
                <w:color w:val="000000"/>
                <w:spacing w:val="0"/>
                <w:w w:val="100"/>
                <w:position w:val="0"/>
                <w:sz w:val="20"/>
                <w:szCs w:val="20"/>
              </w:rPr>
              <w:t>公司的整改措 施</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13"/>
        <w:keepNext w:val="0"/>
        <w:keepLines w:val="0"/>
        <w:widowControl w:val="0"/>
        <w:shd w:val="clear" w:color="auto" w:fill="auto"/>
        <w:bidi w:val="0"/>
        <w:spacing w:before="0" w:after="40" w:line="468" w:lineRule="exact"/>
        <w:ind w:left="1240" w:right="0" w:firstLine="0"/>
        <w:jc w:val="both"/>
      </w:pPr>
      <w:r>
        <w:rPr>
          <w:color w:val="000000"/>
          <w:spacing w:val="0"/>
          <w:w w:val="100"/>
          <w:position w:val="0"/>
        </w:rPr>
        <w:t>参照重点排污单位披露的其他环境信息</w:t>
      </w:r>
    </w:p>
    <w:p>
      <w:pPr>
        <w:pStyle w:val="Style13"/>
        <w:keepNext w:val="0"/>
        <w:keepLines w:val="0"/>
        <w:widowControl w:val="0"/>
        <w:shd w:val="clear" w:color="auto" w:fill="auto"/>
        <w:bidi w:val="0"/>
        <w:spacing w:before="0" w:after="40" w:line="468" w:lineRule="exact"/>
        <w:ind w:left="1240" w:right="0" w:firstLine="0"/>
        <w:jc w:val="both"/>
      </w:pPr>
      <w:r>
        <w:rPr>
          <w:color w:val="000000"/>
          <w:spacing w:val="0"/>
          <w:w w:val="100"/>
          <w:position w:val="0"/>
        </w:rPr>
        <w:t>公司及子公司不属于环境保护部门公布的重点排污单位。</w:t>
      </w:r>
    </w:p>
    <w:p>
      <w:pPr>
        <w:pStyle w:val="Style13"/>
        <w:keepNext w:val="0"/>
        <w:keepLines w:val="0"/>
        <w:widowControl w:val="0"/>
        <w:shd w:val="clear" w:color="auto" w:fill="auto"/>
        <w:bidi w:val="0"/>
        <w:spacing w:before="0" w:after="240" w:line="468" w:lineRule="exact"/>
        <w:ind w:left="1240" w:right="0" w:firstLine="0"/>
        <w:jc w:val="both"/>
      </w:pPr>
      <w:r>
        <w:rPr>
          <w:color w:val="000000"/>
          <w:spacing w:val="0"/>
          <w:w w:val="100"/>
          <w:position w:val="0"/>
        </w:rPr>
        <w:t>在报告期内为减少其碳排放所采取的措施及效果</w:t>
      </w:r>
    </w:p>
    <w:p>
      <w:pPr>
        <w:pStyle w:val="Style13"/>
        <w:keepNext w:val="0"/>
        <w:keepLines w:val="0"/>
        <w:widowControl w:val="0"/>
        <w:shd w:val="clear" w:color="auto" w:fill="auto"/>
        <w:bidi w:val="0"/>
        <w:spacing w:before="0" w:after="0" w:line="444" w:lineRule="auto"/>
        <w:ind w:left="12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0" w:line="468" w:lineRule="exact"/>
        <w:ind w:left="1240" w:right="0" w:firstLine="0"/>
        <w:jc w:val="both"/>
      </w:pPr>
      <w:r>
        <w:rPr>
          <w:color w:val="000000"/>
          <w:spacing w:val="0"/>
          <w:w w:val="100"/>
          <w:position w:val="0"/>
        </w:rPr>
        <w:t>未披露其他环境信息的原因</w:t>
      </w:r>
    </w:p>
    <w:p>
      <w:pPr>
        <w:pStyle w:val="Style13"/>
        <w:keepNext w:val="0"/>
        <w:keepLines w:val="0"/>
        <w:widowControl w:val="0"/>
        <w:shd w:val="clear" w:color="auto" w:fill="auto"/>
        <w:bidi w:val="0"/>
        <w:spacing w:before="0" w:after="240" w:line="467" w:lineRule="exact"/>
        <w:ind w:left="1240" w:right="0" w:firstLine="460"/>
        <w:jc w:val="both"/>
      </w:pPr>
      <w:r>
        <w:rPr>
          <w:color w:val="000000"/>
          <w:spacing w:val="0"/>
          <w:w w:val="100"/>
          <w:position w:val="0"/>
        </w:rPr>
        <w:t>公司及其控股子公司在日常生产经营中遵守《中华人民共和国环境保护法》、《中华 人民共和国水污染防治法》、《中华人民共和国大气污染防治法》、《中华人民共和国环境 噪声污染防治法》、《中华人民共和国固体废物污染防治法》等环保方面的法律法规。报 告期内，公司未出现因环保违法违规而受到处罚的情况。</w:t>
      </w:r>
    </w:p>
    <w:p>
      <w:pPr>
        <w:pStyle w:val="Style33"/>
        <w:keepNext/>
        <w:keepLines/>
        <w:widowControl w:val="0"/>
        <w:shd w:val="clear" w:color="auto" w:fill="auto"/>
        <w:bidi w:val="0"/>
        <w:spacing w:before="0" w:after="420" w:line="468" w:lineRule="exact"/>
        <w:ind w:left="1240" w:right="0" w:firstLine="0"/>
        <w:jc w:val="both"/>
      </w:pPr>
      <w:bookmarkStart w:id="414" w:name="bookmark414"/>
      <w:bookmarkStart w:id="415" w:name="bookmark415"/>
      <w:bookmarkStart w:id="416" w:name="bookmark416"/>
      <w:bookmarkStart w:id="417" w:name="bookmark417"/>
      <w:r>
        <w:rPr>
          <w:color w:val="000000"/>
          <w:spacing w:val="0"/>
          <w:w w:val="100"/>
          <w:position w:val="0"/>
        </w:rPr>
        <w:t>二</w:t>
      </w:r>
      <w:bookmarkEnd w:id="416"/>
      <w:r>
        <w:rPr>
          <w:color w:val="000000"/>
          <w:spacing w:val="0"/>
          <w:w w:val="100"/>
          <w:position w:val="0"/>
        </w:rPr>
        <w:t>、社会责任情况</w:t>
      </w:r>
      <w:bookmarkEnd w:id="414"/>
      <w:bookmarkEnd w:id="415"/>
      <w:bookmarkEnd w:id="417"/>
    </w:p>
    <w:p>
      <w:pPr>
        <w:pStyle w:val="Style13"/>
        <w:keepNext w:val="0"/>
        <w:keepLines w:val="0"/>
        <w:widowControl w:val="0"/>
        <w:shd w:val="clear" w:color="auto" w:fill="auto"/>
        <w:bidi w:val="0"/>
        <w:spacing w:before="0" w:after="0" w:line="444" w:lineRule="auto"/>
        <w:ind w:left="1700" w:right="0" w:firstLine="0"/>
        <w:jc w:val="both"/>
      </w:pPr>
      <w:bookmarkStart w:id="418" w:name="bookmark418"/>
      <w:r>
        <w:rPr>
          <w:rFonts w:ascii="Times New Roman" w:eastAsia="Times New Roman" w:hAnsi="Times New Roman" w:cs="Times New Roman"/>
          <w:color w:val="000000"/>
          <w:spacing w:val="0"/>
          <w:w w:val="100"/>
          <w:position w:val="0"/>
        </w:rPr>
        <w:t>1</w:t>
      </w:r>
      <w:bookmarkEnd w:id="418"/>
      <w:r>
        <w:rPr>
          <w:color w:val="000000"/>
          <w:spacing w:val="0"/>
          <w:w w:val="100"/>
          <w:position w:val="0"/>
        </w:rPr>
        <w:t>、股东权益保护</w:t>
      </w:r>
    </w:p>
    <w:p>
      <w:pPr>
        <w:pStyle w:val="Style13"/>
        <w:keepNext w:val="0"/>
        <w:keepLines w:val="0"/>
        <w:widowControl w:val="0"/>
        <w:shd w:val="clear" w:color="auto" w:fill="auto"/>
        <w:bidi w:val="0"/>
        <w:spacing w:before="0" w:after="0" w:line="468" w:lineRule="exact"/>
        <w:ind w:left="1240" w:right="0" w:firstLine="460"/>
        <w:jc w:val="both"/>
      </w:pPr>
      <w:r>
        <w:rPr>
          <w:color w:val="000000"/>
          <w:spacing w:val="0"/>
          <w:w w:val="100"/>
          <w:position w:val="0"/>
        </w:rPr>
        <w:t xml:space="preserve">公司严格按照《公司法》、《证券法》、《上市公司治理准则》等法律法规和规范性文 件的要求，不断完善公司治理机制，建立健全公司内部管理和控制制度，组织协调各职 能部门工作，持续深入开展公司治理活动，促进了公司规范运作，提高了公司治理水平。 同时，公司严格按照《公司章程》的规定和要求，规范股东大会的召集、召开及表决程 序，通过现场、网络等合法有效的方式，让更多的股东特别是中小股东能够参加股东大 会，确保股东对公司重大事项的知情权、参与权和表决权。公司认真履行信息披露义务， </w:t>
      </w:r>
      <w:r>
        <w:rPr>
          <w:color w:val="000000"/>
          <w:spacing w:val="0"/>
          <w:w w:val="100"/>
          <w:position w:val="0"/>
        </w:rPr>
        <w:t>保证信息披露质量，确保所有投资者公平地获取公司信息，通过业绩说明会、投资者 咨询专线、传真和电子信箱等多个交流平台，保持与投资者的沟通，建立良好的投资关 系互动。</w:t>
      </w:r>
    </w:p>
    <w:p>
      <w:pPr>
        <w:pStyle w:val="Style13"/>
        <w:keepNext w:val="0"/>
        <w:keepLines w:val="0"/>
        <w:widowControl w:val="0"/>
        <w:shd w:val="clear" w:color="auto" w:fill="auto"/>
        <w:tabs>
          <w:tab w:pos="2050" w:val="left"/>
        </w:tabs>
        <w:bidi w:val="0"/>
        <w:spacing w:before="0" w:after="0" w:line="468" w:lineRule="exact"/>
        <w:ind w:left="1700" w:right="0" w:firstLine="0"/>
        <w:jc w:val="both"/>
      </w:pPr>
      <w:bookmarkStart w:id="419" w:name="bookmark419"/>
      <w:r>
        <w:rPr>
          <w:rFonts w:ascii="Times New Roman" w:eastAsia="Times New Roman" w:hAnsi="Times New Roman" w:cs="Times New Roman"/>
          <w:color w:val="000000"/>
          <w:spacing w:val="0"/>
          <w:w w:val="100"/>
          <w:position w:val="0"/>
        </w:rPr>
        <w:t>2</w:t>
      </w:r>
      <w:bookmarkEnd w:id="419"/>
      <w:r>
        <w:rPr>
          <w:color w:val="000000"/>
          <w:spacing w:val="0"/>
          <w:w w:val="100"/>
          <w:position w:val="0"/>
        </w:rPr>
        <w:t>、</w:t>
        <w:tab/>
        <w:t>职工权益保护</w:t>
      </w:r>
    </w:p>
    <w:p>
      <w:pPr>
        <w:pStyle w:val="Style13"/>
        <w:keepNext w:val="0"/>
        <w:keepLines w:val="0"/>
        <w:widowControl w:val="0"/>
        <w:shd w:val="clear" w:color="auto" w:fill="auto"/>
        <w:bidi w:val="0"/>
        <w:spacing w:before="0" w:after="0" w:line="468" w:lineRule="exact"/>
        <w:ind w:left="1240" w:right="0" w:firstLine="460"/>
        <w:jc w:val="both"/>
      </w:pPr>
      <w:r>
        <w:rPr>
          <w:color w:val="000000"/>
          <w:spacing w:val="0"/>
          <w:w w:val="100"/>
          <w:position w:val="0"/>
        </w:rPr>
        <w:t xml:space="preserve">公司企业文化建设始终秉承“以人为本”的理念，依法规范员工与企业的关系， 严格遵循公开、公正、公平、择优聘用的原则，人才培养注重能力素质、兼顾业绩效率， 建立有效的任职资格体系，着力为员工提供公平的工作环境、积极向上且具有活力的文 化氛围、完备的福利薪酬体系以及广阔的职业发展通道，实现了企业与员工的共同发展。 </w:t>
      </w:r>
      <w:r>
        <w:rPr>
          <w:rFonts w:ascii="Times New Roman" w:eastAsia="Times New Roman" w:hAnsi="Times New Roman" w:cs="Times New Roman"/>
          <w:color w:val="000000"/>
          <w:spacing w:val="0"/>
          <w:w w:val="100"/>
          <w:position w:val="0"/>
        </w:rPr>
        <w:t>2021</w:t>
      </w:r>
      <w:r>
        <w:rPr>
          <w:color w:val="000000"/>
          <w:spacing w:val="0"/>
          <w:w w:val="100"/>
          <w:position w:val="0"/>
        </w:rPr>
        <w:t>年，公司组织系列企业文化建设活动，定期举办员工生日会、各部门团建等活动， 以加强跨部门沟通、凝心聚力。同时，为了调动全体员工的学习热情，营造良好的培训 氛围，充分挖掘企业内部培训资源，逐步打造学习型组织，公司围绕员工关注的热点、 感兴趣的话题开展各类培训。同时，公司制定了相应的制度支持员工参加各项培训，帮 助员工提升自身素质和综合能力，为员工发展提供广阔的舞台和更多的机会，实现了员 工与企业的共同成长。</w:t>
      </w:r>
    </w:p>
    <w:p>
      <w:pPr>
        <w:pStyle w:val="Style13"/>
        <w:keepNext w:val="0"/>
        <w:keepLines w:val="0"/>
        <w:widowControl w:val="0"/>
        <w:shd w:val="clear" w:color="auto" w:fill="auto"/>
        <w:tabs>
          <w:tab w:pos="2050" w:val="left"/>
        </w:tabs>
        <w:bidi w:val="0"/>
        <w:spacing w:before="0" w:after="0" w:line="468" w:lineRule="exact"/>
        <w:ind w:left="1700" w:right="0" w:firstLine="0"/>
        <w:jc w:val="both"/>
      </w:pPr>
      <w:bookmarkStart w:id="420" w:name="bookmark420"/>
      <w:r>
        <w:rPr>
          <w:rFonts w:ascii="Times New Roman" w:eastAsia="Times New Roman" w:hAnsi="Times New Roman" w:cs="Times New Roman"/>
          <w:color w:val="000000"/>
          <w:spacing w:val="0"/>
          <w:w w:val="100"/>
          <w:position w:val="0"/>
        </w:rPr>
        <w:t>3</w:t>
      </w:r>
      <w:bookmarkEnd w:id="420"/>
      <w:r>
        <w:rPr>
          <w:color w:val="000000"/>
          <w:spacing w:val="0"/>
          <w:w w:val="100"/>
          <w:position w:val="0"/>
        </w:rPr>
        <w:t>、</w:t>
        <w:tab/>
        <w:t>供应商、客户和消费者权益保护</w:t>
      </w:r>
    </w:p>
    <w:p>
      <w:pPr>
        <w:pStyle w:val="Style13"/>
        <w:keepNext w:val="0"/>
        <w:keepLines w:val="0"/>
        <w:widowControl w:val="0"/>
        <w:shd w:val="clear" w:color="auto" w:fill="auto"/>
        <w:bidi w:val="0"/>
        <w:spacing w:before="0" w:after="0" w:line="468" w:lineRule="exact"/>
        <w:ind w:left="1240" w:right="0" w:firstLine="460"/>
        <w:jc w:val="both"/>
      </w:pPr>
      <w:r>
        <w:rPr>
          <w:color w:val="000000"/>
          <w:spacing w:val="0"/>
          <w:w w:val="100"/>
          <w:position w:val="0"/>
        </w:rPr>
        <w:t>公司注重供应链体系建设，不断完善采购流程与机制，对供应链岗位职责和人员行 为规范、采购流程和付款、采购招标、采购合同评审和会签等方面做出了严格的规范， 并使用采购管理系统提升采购的效率和透明度，在公平公正、充分竞争的基础上择优选 择供应商，保证采购成本和质量的控制。</w:t>
      </w:r>
    </w:p>
    <w:p>
      <w:pPr>
        <w:pStyle w:val="Style13"/>
        <w:keepNext w:val="0"/>
        <w:keepLines w:val="0"/>
        <w:widowControl w:val="0"/>
        <w:shd w:val="clear" w:color="auto" w:fill="auto"/>
        <w:bidi w:val="0"/>
        <w:spacing w:before="0" w:after="220" w:line="468" w:lineRule="exact"/>
        <w:ind w:left="1240" w:right="0" w:firstLine="460"/>
        <w:jc w:val="both"/>
      </w:pPr>
      <w:r>
        <w:rPr>
          <w:color w:val="000000"/>
          <w:spacing w:val="0"/>
          <w:w w:val="100"/>
          <w:position w:val="0"/>
        </w:rPr>
        <w:t>公司以客户满意为宗旨，高度重视交付给客户的产品质量，坚持“积极倾听客户需 求；认真构建产品质量、承诺及时交付；为顾客提供满意服务；实现与客户共赢”的质 量方针，要求交付客户的产品务必满足相关质量目标，并将目标层层分解、具体落实到 每个部门，每个员工。同时，公司建立了客户质量信息反馈处理制度，并与客户积极沟 通产品质量标准，了解客户产品质量需求，及时处理客户的产品质量反馈信息，提高客 户对产品质量的满意度。</w:t>
      </w:r>
    </w:p>
    <w:p>
      <w:pPr>
        <w:pStyle w:val="Style33"/>
        <w:keepNext/>
        <w:keepLines/>
        <w:widowControl w:val="0"/>
        <w:shd w:val="clear" w:color="auto" w:fill="auto"/>
        <w:bidi w:val="0"/>
        <w:spacing w:before="0" w:after="220" w:line="468" w:lineRule="exact"/>
        <w:ind w:left="1240" w:right="0" w:firstLine="0"/>
        <w:jc w:val="both"/>
      </w:pPr>
      <w:bookmarkStart w:id="421" w:name="bookmark421"/>
      <w:bookmarkStart w:id="422" w:name="bookmark422"/>
      <w:bookmarkStart w:id="423" w:name="bookmark423"/>
      <w:bookmarkStart w:id="424" w:name="bookmark424"/>
      <w:r>
        <w:rPr>
          <w:color w:val="000000"/>
          <w:spacing w:val="0"/>
          <w:w w:val="100"/>
          <w:position w:val="0"/>
        </w:rPr>
        <w:t>三</w:t>
      </w:r>
      <w:bookmarkEnd w:id="423"/>
      <w:r>
        <w:rPr>
          <w:color w:val="000000"/>
          <w:spacing w:val="0"/>
          <w:w w:val="100"/>
          <w:position w:val="0"/>
        </w:rPr>
        <w:t>、巩固拓展脱贫攻坚成果、乡村振兴的情况</w:t>
      </w:r>
      <w:bookmarkEnd w:id="421"/>
      <w:bookmarkEnd w:id="422"/>
      <w:bookmarkEnd w:id="424"/>
    </w:p>
    <w:p>
      <w:pPr>
        <w:pStyle w:val="Style13"/>
        <w:keepNext w:val="0"/>
        <w:keepLines w:val="0"/>
        <w:widowControl w:val="0"/>
        <w:shd w:val="clear" w:color="auto" w:fill="auto"/>
        <w:bidi w:val="0"/>
        <w:spacing w:before="0" w:after="100" w:line="468" w:lineRule="exact"/>
        <w:ind w:left="1700" w:right="0" w:firstLine="0"/>
        <w:jc w:val="both"/>
      </w:pPr>
      <w:r>
        <w:rPr>
          <w:color w:val="000000"/>
          <w:spacing w:val="0"/>
          <w:w w:val="100"/>
          <w:position w:val="0"/>
        </w:rPr>
        <w:t>报告期内公司暂未开展巩固拓展脱贫攻坚成果、乡村振兴工作。</w:t>
      </w:r>
      <w:r>
        <w:br w:type="page"/>
      </w:r>
    </w:p>
    <w:p>
      <w:pPr>
        <w:pStyle w:val="Style17"/>
        <w:keepNext/>
        <w:keepLines/>
        <w:widowControl w:val="0"/>
        <w:shd w:val="clear" w:color="auto" w:fill="auto"/>
        <w:bidi w:val="0"/>
        <w:spacing w:before="0" w:after="480" w:line="240" w:lineRule="auto"/>
        <w:ind w:left="0" w:right="0" w:firstLine="0"/>
        <w:jc w:val="center"/>
      </w:pPr>
      <w:bookmarkStart w:id="425" w:name="bookmark425"/>
      <w:bookmarkStart w:id="426" w:name="bookmark426"/>
      <w:bookmarkStart w:id="427" w:name="bookmark427"/>
      <w:r>
        <w:rPr>
          <w:color w:val="000000"/>
          <w:spacing w:val="0"/>
          <w:w w:val="100"/>
          <w:position w:val="0"/>
        </w:rPr>
        <w:t>第六节重要事项</w:t>
      </w:r>
      <w:bookmarkEnd w:id="425"/>
      <w:bookmarkEnd w:id="426"/>
      <w:bookmarkEnd w:id="427"/>
    </w:p>
    <w:p>
      <w:pPr>
        <w:pStyle w:val="Style33"/>
        <w:keepNext/>
        <w:keepLines/>
        <w:widowControl w:val="0"/>
        <w:shd w:val="clear" w:color="auto" w:fill="auto"/>
        <w:bidi w:val="0"/>
        <w:spacing w:before="0" w:after="280" w:line="331" w:lineRule="exact"/>
        <w:ind w:left="0" w:right="0" w:firstLine="780"/>
        <w:jc w:val="left"/>
      </w:pPr>
      <w:bookmarkStart w:id="428" w:name="bookmark428"/>
      <w:bookmarkStart w:id="429" w:name="bookmark429"/>
      <w:bookmarkStart w:id="430" w:name="bookmark430"/>
      <w:bookmarkStart w:id="431" w:name="bookmark431"/>
      <w:r>
        <w:rPr>
          <w:color w:val="000000"/>
          <w:spacing w:val="0"/>
          <w:w w:val="100"/>
          <w:position w:val="0"/>
        </w:rPr>
        <w:t>一</w:t>
      </w:r>
      <w:bookmarkEnd w:id="430"/>
      <w:r>
        <w:rPr>
          <w:color w:val="000000"/>
          <w:spacing w:val="0"/>
          <w:w w:val="100"/>
          <w:position w:val="0"/>
        </w:rPr>
        <w:t>、承诺事项履行情况</w:t>
      </w:r>
      <w:bookmarkEnd w:id="428"/>
      <w:bookmarkEnd w:id="429"/>
      <w:bookmarkEnd w:id="431"/>
    </w:p>
    <w:p>
      <w:pPr>
        <w:pStyle w:val="Style37"/>
        <w:keepNext/>
        <w:keepLines/>
        <w:widowControl w:val="0"/>
        <w:shd w:val="clear" w:color="auto" w:fill="auto"/>
        <w:bidi w:val="0"/>
        <w:spacing w:before="0" w:after="380" w:line="331" w:lineRule="exact"/>
        <w:ind w:left="780" w:right="0" w:firstLine="0"/>
        <w:jc w:val="both"/>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、公司实际控制人、股东、关联方、收购人以及公司等承诺相关方在报告期内履行完毕及截至 报告期末尚未履行完毕的承诺事项</w:t>
      </w:r>
      <w:bookmarkEnd w:id="432"/>
      <w:bookmarkEnd w:id="433"/>
      <w:bookmarkEnd w:id="435"/>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寸</w:t>
      </w:r>
      <w:r>
        <w:rPr>
          <w:color w:val="000000"/>
          <w:spacing w:val="0"/>
          <w:w w:val="100"/>
          <w:position w:val="0"/>
          <w:sz w:val="22"/>
          <w:szCs w:val="22"/>
        </w:rPr>
        <w:t>适用</w:t>
      </w:r>
      <w:r>
        <w:rPr>
          <w:color w:val="000000"/>
          <w:spacing w:val="0"/>
          <w:w w:val="100"/>
          <w:position w:val="0"/>
          <w:sz w:val="22"/>
          <w:szCs w:val="22"/>
        </w:rPr>
        <w:t>口</w:t>
      </w:r>
      <w:r>
        <w:rPr>
          <w:color w:val="000000"/>
          <w:spacing w:val="0"/>
          <w:w w:val="100"/>
          <w:position w:val="0"/>
          <w:sz w:val="22"/>
          <w:szCs w:val="22"/>
        </w:rPr>
        <w:t>不适用</w:t>
      </w:r>
    </w:p>
    <w:tbl>
      <w:tblPr>
        <w:tblOverlap w:val="never"/>
        <w:jc w:val="center"/>
        <w:tblLayout w:type="fixed"/>
      </w:tblPr>
      <w:tblGrid>
        <w:gridCol w:w="1819"/>
        <w:gridCol w:w="850"/>
        <w:gridCol w:w="994"/>
        <w:gridCol w:w="2549"/>
        <w:gridCol w:w="1277"/>
        <w:gridCol w:w="1277"/>
        <w:gridCol w:w="1070"/>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履行情况</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资产重组时所作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鲍海 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业绩承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年度斯 诺实业实现的扣除非经 常性损益后归属于母公 司股东的净利润不低于 人民币</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0"/>
                <w:szCs w:val="20"/>
              </w:rPr>
              <w:t>亿元、</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0"/>
                <w:szCs w:val="20"/>
              </w:rPr>
              <w:t>亿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2018-01-05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尚未完 成</w:t>
            </w:r>
          </w:p>
        </w:tc>
      </w:tr>
      <w:tr>
        <w:trPr>
          <w:trHeight w:val="320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股权激励承诺 （</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年限制性 股票激励计划首</w:t>
            </w:r>
          </w:p>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次授予部分）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激励 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股权激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公司因信息披露文件中 有虚假记载、误导性陈述 或者重大遗漏，导致不符 合授予权益或行使权益 安排的，激励对象应当自 相关信息披露文件被确 认存在虚假记载、误导性 陈述或者重大遗漏后，将 由股权激励计划所获得 的全部利益返还公司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限制性股</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票激励计</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划实施期</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正常履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行中</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国民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股权激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公司承诺不为激励对象 依本激励计划获取有关 权益提供贷款以及其他 任何形式的财务资助，包 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限制性股</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票激励计</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划实施期</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正常履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行中</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承诺是否及时履 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鲍海友</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年度业绩承诺尚未完成。</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如承诺超期未履 行完毕的，应当详 细说明未完成履 行的具体原因及 下一步的工作计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根据《股权收购协议》及公司</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年第一次临时股东大会审议通过并同意签订的《关 于</w:t>
            </w:r>
            <w:r>
              <w:rPr>
                <w:color w:val="000000"/>
                <w:spacing w:val="0"/>
                <w:w w:val="100"/>
                <w:position w:val="0"/>
                <w:sz w:val="22"/>
                <w:szCs w:val="22"/>
              </w:rPr>
              <w:t>〈</w:t>
            </w:r>
            <w:r>
              <w:rPr>
                <w:color w:val="000000"/>
                <w:spacing w:val="0"/>
                <w:w w:val="100"/>
                <w:position w:val="0"/>
                <w:sz w:val="20"/>
                <w:szCs w:val="20"/>
              </w:rPr>
              <w:t>深圳市斯诺实业发展股份有限公司之股权收购协议</w:t>
            </w:r>
            <w:r>
              <w:rPr>
                <w:color w:val="000000"/>
                <w:spacing w:val="0"/>
                <w:w w:val="100"/>
                <w:position w:val="0"/>
                <w:sz w:val="22"/>
                <w:szCs w:val="22"/>
              </w:rPr>
              <w:t>〉</w:t>
            </w:r>
            <w:r>
              <w:rPr>
                <w:color w:val="000000"/>
                <w:spacing w:val="0"/>
                <w:w w:val="100"/>
                <w:position w:val="0"/>
                <w:sz w:val="20"/>
                <w:szCs w:val="20"/>
              </w:rPr>
              <w:t>补充协议》（以下简称《补充 协议》），将斯诺实业股权收购总对价由</w:t>
            </w:r>
            <w:r>
              <w:rPr>
                <w:rFonts w:ascii="Times New Roman" w:eastAsia="Times New Roman" w:hAnsi="Times New Roman" w:cs="Times New Roman"/>
                <w:color w:val="000000"/>
                <w:spacing w:val="0"/>
                <w:w w:val="100"/>
                <w:position w:val="0"/>
                <w:sz w:val="22"/>
                <w:szCs w:val="22"/>
              </w:rPr>
              <w:t>13.36</w:t>
            </w:r>
            <w:r>
              <w:rPr>
                <w:color w:val="000000"/>
                <w:spacing w:val="0"/>
                <w:w w:val="100"/>
                <w:position w:val="0"/>
                <w:sz w:val="20"/>
                <w:szCs w:val="20"/>
              </w:rPr>
              <w:t>亿元调整为</w:t>
            </w:r>
            <w:r>
              <w:rPr>
                <w:rFonts w:ascii="Times New Roman" w:eastAsia="Times New Roman" w:hAnsi="Times New Roman" w:cs="Times New Roman"/>
                <w:color w:val="000000"/>
                <w:spacing w:val="0"/>
                <w:w w:val="100"/>
                <w:position w:val="0"/>
                <w:sz w:val="22"/>
                <w:szCs w:val="22"/>
              </w:rPr>
              <w:t>6.65</w:t>
            </w:r>
            <w:r>
              <w:rPr>
                <w:color w:val="000000"/>
                <w:spacing w:val="0"/>
                <w:w w:val="100"/>
                <w:position w:val="0"/>
                <w:sz w:val="20"/>
                <w:szCs w:val="20"/>
              </w:rPr>
              <w:t xml:space="preserve">亿元，业绩承诺方鲍 海友因未实现约定的业绩承诺而承担的业绩补偿金额，合计不超过股权收购总对价 </w:t>
            </w:r>
            <w:r>
              <w:rPr>
                <w:rFonts w:ascii="Times New Roman" w:eastAsia="Times New Roman" w:hAnsi="Times New Roman" w:cs="Times New Roman"/>
                <w:color w:val="000000"/>
                <w:spacing w:val="0"/>
                <w:w w:val="100"/>
                <w:position w:val="0"/>
                <w:sz w:val="22"/>
                <w:szCs w:val="22"/>
              </w:rPr>
              <w:t>6.65</w:t>
            </w:r>
            <w:r>
              <w:rPr>
                <w:color w:val="000000"/>
                <w:spacing w:val="0"/>
                <w:w w:val="100"/>
                <w:position w:val="0"/>
                <w:sz w:val="20"/>
                <w:szCs w:val="20"/>
              </w:rPr>
              <w:t>亿元。</w:t>
            </w:r>
          </w:p>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斯诺实业</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0"/>
                <w:szCs w:val="20"/>
              </w:rPr>
              <w:t>年度扣除非经常性损益后的净利润为</w:t>
            </w:r>
            <w:r>
              <w:rPr>
                <w:rFonts w:ascii="Times New Roman" w:eastAsia="Times New Roman" w:hAnsi="Times New Roman" w:cs="Times New Roman"/>
                <w:color w:val="000000"/>
                <w:spacing w:val="0"/>
                <w:w w:val="100"/>
                <w:position w:val="0"/>
                <w:sz w:val="22"/>
                <w:szCs w:val="22"/>
              </w:rPr>
              <w:t>-47,775.73</w:t>
            </w:r>
            <w:r>
              <w:rPr>
                <w:color w:val="000000"/>
                <w:spacing w:val="0"/>
                <w:w w:val="100"/>
                <w:position w:val="0"/>
                <w:sz w:val="20"/>
                <w:szCs w:val="20"/>
              </w:rPr>
              <w:t>万元，未完成业绩承 诺，差异较大导致业绩承诺方应承担的业绩补偿金额已触及业绩补偿上限，即业绩</w:t>
            </w:r>
          </w:p>
        </w:tc>
      </w:tr>
    </w:tbl>
    <w:tbl>
      <w:tblPr>
        <w:tblOverlap w:val="never"/>
        <w:jc w:val="center"/>
        <w:tblLayout w:type="fixed"/>
      </w:tblPr>
      <w:tblGrid>
        <w:gridCol w:w="1843"/>
        <w:gridCol w:w="801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490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承诺方应承担的业绩补偿金额为</w:t>
            </w:r>
            <w:r>
              <w:rPr>
                <w:rFonts w:ascii="Times New Roman" w:eastAsia="Times New Roman" w:hAnsi="Times New Roman" w:cs="Times New Roman"/>
                <w:color w:val="000000"/>
                <w:spacing w:val="0"/>
                <w:w w:val="100"/>
                <w:position w:val="0"/>
                <w:sz w:val="22"/>
                <w:szCs w:val="22"/>
              </w:rPr>
              <w:t>6.65</w:t>
            </w:r>
            <w:r>
              <w:rPr>
                <w:color w:val="000000"/>
                <w:spacing w:val="0"/>
                <w:w w:val="100"/>
                <w:position w:val="0"/>
                <w:sz w:val="20"/>
                <w:szCs w:val="20"/>
              </w:rPr>
              <w:t>亿元。</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年，业绩承诺方以其对斯诺实业的债权</w:t>
            </w:r>
            <w:r>
              <w:rPr>
                <w:rFonts w:ascii="Times New Roman" w:eastAsia="Times New Roman" w:hAnsi="Times New Roman" w:cs="Times New Roman"/>
                <w:color w:val="000000"/>
                <w:spacing w:val="0"/>
                <w:w w:val="100"/>
                <w:position w:val="0"/>
                <w:sz w:val="22"/>
                <w:szCs w:val="22"/>
              </w:rPr>
              <w:t>2291.05</w:t>
            </w:r>
            <w:r>
              <w:rPr>
                <w:color w:val="000000"/>
                <w:spacing w:val="0"/>
                <w:w w:val="100"/>
                <w:position w:val="0"/>
                <w:sz w:val="20"/>
                <w:szCs w:val="20"/>
              </w:rPr>
              <w:t>万元对公司进行补偿；</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月，公司已向深圳市中级人民法院提起诉讼，要求业绩承诺方履行相关业绩补偿 承诺，该案已于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月进入法院强制执行程序。</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0"/>
                <w:szCs w:val="20"/>
              </w:rPr>
              <w:t>日，法院将 业绩承诺方持有的斯诺实业</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0"/>
                <w:szCs w:val="20"/>
              </w:rPr>
              <w:t>股权在法院司法拍卖平台上进行公开拍卖，国民科 技以</w:t>
            </w:r>
            <w:r>
              <w:rPr>
                <w:rFonts w:ascii="Times New Roman" w:eastAsia="Times New Roman" w:hAnsi="Times New Roman" w:cs="Times New Roman"/>
                <w:color w:val="000000"/>
                <w:spacing w:val="0"/>
                <w:w w:val="100"/>
                <w:position w:val="0"/>
                <w:sz w:val="22"/>
                <w:szCs w:val="22"/>
              </w:rPr>
              <w:t>2,500.25</w:t>
            </w:r>
            <w:r>
              <w:rPr>
                <w:color w:val="000000"/>
                <w:spacing w:val="0"/>
                <w:w w:val="100"/>
                <w:position w:val="0"/>
                <w:sz w:val="20"/>
                <w:szCs w:val="20"/>
              </w:rPr>
              <w:t>万元的成交价格竞得。国民科技及国民投资作为强制执行案件申请执 行人竞拍成功，以对业绩承诺方鲍海友享有的债权抵扣竞拍款，业绩承诺方鲍海友 对公司的业绩补偿款减少</w:t>
            </w:r>
            <w:r>
              <w:rPr>
                <w:rFonts w:ascii="Times New Roman" w:eastAsia="Times New Roman" w:hAnsi="Times New Roman" w:cs="Times New Roman"/>
                <w:color w:val="000000"/>
                <w:spacing w:val="0"/>
                <w:w w:val="100"/>
                <w:position w:val="0"/>
                <w:sz w:val="22"/>
                <w:szCs w:val="22"/>
              </w:rPr>
              <w:t>2,500.25</w:t>
            </w:r>
            <w:r>
              <w:rPr>
                <w:color w:val="000000"/>
                <w:spacing w:val="0"/>
                <w:w w:val="100"/>
                <w:position w:val="0"/>
                <w:sz w:val="20"/>
                <w:szCs w:val="20"/>
              </w:rPr>
              <w:t>万元。</w:t>
            </w:r>
          </w:p>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0"/>
                <w:szCs w:val="20"/>
              </w:rPr>
              <w:t>日，国民投资收到法院从鲍海友银行账户划扣的业绩补偿款</w:t>
            </w:r>
            <w:r>
              <w:rPr>
                <w:rFonts w:ascii="Times New Roman" w:eastAsia="Times New Roman" w:hAnsi="Times New Roman" w:cs="Times New Roman"/>
                <w:color w:val="000000"/>
                <w:spacing w:val="0"/>
                <w:w w:val="100"/>
                <w:position w:val="0"/>
                <w:sz w:val="22"/>
                <w:szCs w:val="22"/>
              </w:rPr>
              <w:t>47.20</w:t>
            </w:r>
            <w:r>
              <w:rPr>
                <w:color w:val="000000"/>
                <w:spacing w:val="0"/>
                <w:w w:val="100"/>
                <w:position w:val="0"/>
                <w:sz w:val="20"/>
                <w:szCs w:val="20"/>
              </w:rPr>
              <w:t>万 元。</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由于业绩承诺方目前无其他可供执行的财产，深圳市中级人民法院已裁定终结强制 执行程序。终结执行程序期间，公司享有继续要求业绩承诺方清偿债务的权利，业 绩承诺方负有继续向公司履行的义务。</w:t>
            </w:r>
          </w:p>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截至本报告披露日，业绩承诺方尚欠公司业绩补偿款</w:t>
            </w:r>
            <w:r>
              <w:rPr>
                <w:rFonts w:ascii="Times New Roman" w:eastAsia="Times New Roman" w:hAnsi="Times New Roman" w:cs="Times New Roman"/>
                <w:color w:val="000000"/>
                <w:spacing w:val="0"/>
                <w:w w:val="100"/>
                <w:position w:val="0"/>
                <w:sz w:val="22"/>
                <w:szCs w:val="22"/>
              </w:rPr>
              <w:t>6.17</w:t>
            </w:r>
            <w:r>
              <w:rPr>
                <w:color w:val="000000"/>
                <w:spacing w:val="0"/>
                <w:w w:val="100"/>
                <w:position w:val="0"/>
                <w:sz w:val="20"/>
                <w:szCs w:val="20"/>
              </w:rPr>
              <w:t>亿元。公司持续关注该事 项。</w:t>
            </w:r>
          </w:p>
        </w:tc>
      </w:tr>
    </w:tbl>
    <w:p>
      <w:pPr>
        <w:widowControl w:val="0"/>
        <w:spacing w:after="239" w:line="1" w:lineRule="exact"/>
      </w:pPr>
    </w:p>
    <w:p>
      <w:pPr>
        <w:pStyle w:val="Style37"/>
        <w:keepNext/>
        <w:keepLines/>
        <w:widowControl w:val="0"/>
        <w:shd w:val="clear" w:color="auto" w:fill="auto"/>
        <w:bidi w:val="0"/>
        <w:spacing w:before="0" w:after="420" w:line="326" w:lineRule="exact"/>
        <w:ind w:left="760" w:right="0" w:firstLine="2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2</w:t>
      </w:r>
      <w:bookmarkEnd w:id="438"/>
      <w:r>
        <w:rPr>
          <w:color w:val="000000"/>
          <w:spacing w:val="0"/>
          <w:w w:val="100"/>
          <w:position w:val="0"/>
        </w:rPr>
        <w:t>、公司资产或项目存在盈利预测，且报告期仍处在盈利预测期间，公司就资产或项目达到原盈 利预测及其原因做出说明</w:t>
      </w:r>
      <w:bookmarkEnd w:id="436"/>
      <w:bookmarkEnd w:id="437"/>
      <w:bookmarkEnd w:id="439"/>
    </w:p>
    <w:p>
      <w:pPr>
        <w:pStyle w:val="Style13"/>
        <w:keepNext w:val="0"/>
        <w:keepLines w:val="0"/>
        <w:widowControl w:val="0"/>
        <w:shd w:val="clear" w:color="auto" w:fill="auto"/>
        <w:bidi w:val="0"/>
        <w:spacing w:before="0" w:after="240" w:line="240" w:lineRule="auto"/>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0" w:firstLine="760"/>
        <w:jc w:val="left"/>
      </w:pPr>
      <w:r>
        <w:rPr>
          <w:color w:val="000000"/>
          <w:spacing w:val="0"/>
          <w:w w:val="100"/>
          <w:position w:val="0"/>
        </w:rPr>
        <w:t>公司股东、交易对手方对公司或相关资产年度经营业绩作出的承诺情况</w:t>
      </w:r>
    </w:p>
    <w:p>
      <w:pPr>
        <w:pStyle w:val="Style13"/>
        <w:keepNext w:val="0"/>
        <w:keepLines w:val="0"/>
        <w:widowControl w:val="0"/>
        <w:shd w:val="clear" w:color="auto" w:fill="auto"/>
        <w:bidi w:val="0"/>
        <w:spacing w:before="0" w:after="420" w:line="240" w:lineRule="auto"/>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tabs>
          <w:tab w:pos="1277" w:val="left"/>
        </w:tabs>
        <w:bidi w:val="0"/>
        <w:spacing w:before="0" w:after="420" w:line="240" w:lineRule="auto"/>
        <w:ind w:left="0" w:right="0" w:firstLine="760"/>
        <w:jc w:val="left"/>
      </w:pPr>
      <w:bookmarkStart w:id="440" w:name="bookmark440"/>
      <w:bookmarkStart w:id="441" w:name="bookmark441"/>
      <w:bookmarkStart w:id="442" w:name="bookmark442"/>
      <w:bookmarkStart w:id="443" w:name="bookmark443"/>
      <w:r>
        <w:rPr>
          <w:color w:val="000000"/>
          <w:spacing w:val="0"/>
          <w:w w:val="100"/>
          <w:position w:val="0"/>
        </w:rPr>
        <w:t>二</w:t>
      </w:r>
      <w:bookmarkEnd w:id="442"/>
      <w:r>
        <w:rPr>
          <w:color w:val="000000"/>
          <w:spacing w:val="0"/>
          <w:w w:val="100"/>
          <w:position w:val="0"/>
        </w:rPr>
        <w:t>、</w:t>
        <w:tab/>
        <w:t>控股股东及其他关联方对上市公司的非经营性占用资金情况</w:t>
      </w:r>
      <w:bookmarkEnd w:id="440"/>
      <w:bookmarkEnd w:id="441"/>
      <w:bookmarkEnd w:id="443"/>
    </w:p>
    <w:p>
      <w:pPr>
        <w:pStyle w:val="Style13"/>
        <w:keepNext w:val="0"/>
        <w:keepLines w:val="0"/>
        <w:widowControl w:val="0"/>
        <w:shd w:val="clear" w:color="auto" w:fill="auto"/>
        <w:bidi w:val="0"/>
        <w:spacing w:before="0" w:after="240" w:line="240" w:lineRule="auto"/>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20" w:line="240" w:lineRule="auto"/>
        <w:ind w:left="0" w:right="0" w:firstLine="760"/>
        <w:jc w:val="left"/>
      </w:pPr>
      <w:r>
        <w:rPr>
          <w:color w:val="000000"/>
          <w:spacing w:val="0"/>
          <w:w w:val="100"/>
          <w:position w:val="0"/>
        </w:rPr>
        <w:t>公司报告期不存在控股股东及其他关联方对上市公司的非经营性占用资金。</w:t>
      </w:r>
    </w:p>
    <w:p>
      <w:pPr>
        <w:pStyle w:val="Style33"/>
        <w:keepNext/>
        <w:keepLines/>
        <w:widowControl w:val="0"/>
        <w:shd w:val="clear" w:color="auto" w:fill="auto"/>
        <w:tabs>
          <w:tab w:pos="1282" w:val="left"/>
        </w:tabs>
        <w:bidi w:val="0"/>
        <w:spacing w:before="0" w:after="420" w:line="240" w:lineRule="auto"/>
        <w:ind w:left="0" w:right="0" w:firstLine="760"/>
        <w:jc w:val="left"/>
      </w:pPr>
      <w:bookmarkStart w:id="444" w:name="bookmark444"/>
      <w:bookmarkStart w:id="445" w:name="bookmark445"/>
      <w:bookmarkStart w:id="446" w:name="bookmark446"/>
      <w:bookmarkStart w:id="447" w:name="bookmark447"/>
      <w:r>
        <w:rPr>
          <w:color w:val="000000"/>
          <w:spacing w:val="0"/>
          <w:w w:val="100"/>
          <w:position w:val="0"/>
        </w:rPr>
        <w:t>三</w:t>
      </w:r>
      <w:bookmarkEnd w:id="446"/>
      <w:r>
        <w:rPr>
          <w:color w:val="000000"/>
          <w:spacing w:val="0"/>
          <w:w w:val="100"/>
          <w:position w:val="0"/>
        </w:rPr>
        <w:t>、</w:t>
        <w:tab/>
        <w:t>违规对外担保情况</w:t>
      </w:r>
      <w:bookmarkEnd w:id="444"/>
      <w:bookmarkEnd w:id="445"/>
      <w:bookmarkEnd w:id="447"/>
    </w:p>
    <w:p>
      <w:pPr>
        <w:pStyle w:val="Style13"/>
        <w:keepNext w:val="0"/>
        <w:keepLines w:val="0"/>
        <w:widowControl w:val="0"/>
        <w:shd w:val="clear" w:color="auto" w:fill="auto"/>
        <w:bidi w:val="0"/>
        <w:spacing w:before="0" w:after="240" w:line="240" w:lineRule="auto"/>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20" w:line="240" w:lineRule="auto"/>
        <w:ind w:left="0" w:right="0" w:firstLine="760"/>
        <w:jc w:val="left"/>
      </w:pPr>
      <w:r>
        <w:rPr>
          <w:color w:val="000000"/>
          <w:spacing w:val="0"/>
          <w:w w:val="100"/>
          <w:position w:val="0"/>
        </w:rPr>
        <w:t>公司报告期无违规对外担保情况。</w:t>
      </w:r>
    </w:p>
    <w:p>
      <w:pPr>
        <w:pStyle w:val="Style33"/>
        <w:keepNext/>
        <w:keepLines/>
        <w:widowControl w:val="0"/>
        <w:shd w:val="clear" w:color="auto" w:fill="auto"/>
        <w:tabs>
          <w:tab w:pos="1282" w:val="left"/>
        </w:tabs>
        <w:bidi w:val="0"/>
        <w:spacing w:before="0" w:after="420" w:line="240" w:lineRule="auto"/>
        <w:ind w:left="0" w:right="0" w:firstLine="760"/>
        <w:jc w:val="left"/>
      </w:pPr>
      <w:bookmarkStart w:id="448" w:name="bookmark448"/>
      <w:bookmarkStart w:id="449" w:name="bookmark449"/>
      <w:bookmarkStart w:id="450" w:name="bookmark450"/>
      <w:bookmarkStart w:id="451" w:name="bookmark451"/>
      <w:r>
        <w:rPr>
          <w:color w:val="000000"/>
          <w:spacing w:val="0"/>
          <w:w w:val="100"/>
          <w:position w:val="0"/>
        </w:rPr>
        <w:t>四</w:t>
      </w:r>
      <w:bookmarkEnd w:id="450"/>
      <w:r>
        <w:rPr>
          <w:color w:val="000000"/>
          <w:spacing w:val="0"/>
          <w:w w:val="100"/>
          <w:position w:val="0"/>
        </w:rPr>
        <w:t>、</w:t>
        <w:tab/>
        <w:t>董事会对最近一期“非标准审计报告”相关情况的说明</w:t>
      </w:r>
      <w:bookmarkEnd w:id="448"/>
      <w:bookmarkEnd w:id="449"/>
      <w:bookmarkEnd w:id="451"/>
    </w:p>
    <w:p>
      <w:pPr>
        <w:pStyle w:val="Style13"/>
        <w:keepNext w:val="0"/>
        <w:keepLines w:val="0"/>
        <w:widowControl w:val="0"/>
        <w:shd w:val="clear" w:color="auto" w:fill="auto"/>
        <w:bidi w:val="0"/>
        <w:spacing w:before="0" w:after="420" w:line="240" w:lineRule="auto"/>
        <w:ind w:left="0" w:right="0" w:firstLine="7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20" w:line="331" w:lineRule="exact"/>
        <w:ind w:left="740" w:right="0" w:firstLine="40"/>
        <w:jc w:val="both"/>
      </w:pPr>
      <w:bookmarkStart w:id="452" w:name="bookmark452"/>
      <w:r>
        <w:rPr>
          <w:b/>
          <w:bCs/>
          <w:color w:val="000000"/>
          <w:spacing w:val="0"/>
          <w:w w:val="100"/>
          <w:position w:val="0"/>
        </w:rPr>
        <w:t>五</w:t>
      </w:r>
      <w:bookmarkEnd w:id="452"/>
      <w:r>
        <w:rPr>
          <w:b/>
          <w:bCs/>
          <w:color w:val="000000"/>
          <w:spacing w:val="0"/>
          <w:w w:val="100"/>
          <w:position w:val="0"/>
        </w:rPr>
        <w:t>、董事会、监事会、独立董事（如有）对会计师事务所本报告期“非标准审计报告”的说 明</w:t>
      </w:r>
    </w:p>
    <w:p>
      <w:pPr>
        <w:pStyle w:val="Style13"/>
        <w:keepNext w:val="0"/>
        <w:keepLines w:val="0"/>
        <w:widowControl w:val="0"/>
        <w:shd w:val="clear" w:color="auto" w:fill="auto"/>
        <w:bidi w:val="0"/>
        <w:spacing w:before="0" w:after="200" w:line="240" w:lineRule="auto"/>
        <w:ind w:left="0" w:right="0" w:firstLine="7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after="200" w:line="474" w:lineRule="exact"/>
        <w:ind w:left="0" w:right="0" w:firstLine="740"/>
        <w:jc w:val="both"/>
      </w:pPr>
      <w:bookmarkStart w:id="453" w:name="bookmark453"/>
      <w:bookmarkStart w:id="454" w:name="bookmark454"/>
      <w:bookmarkStart w:id="455" w:name="bookmark455"/>
      <w:bookmarkStart w:id="456" w:name="bookmark456"/>
      <w:r>
        <w:rPr>
          <w:color w:val="000000"/>
          <w:spacing w:val="0"/>
          <w:w w:val="100"/>
          <w:position w:val="0"/>
        </w:rPr>
        <w:t>六</w:t>
      </w:r>
      <w:bookmarkEnd w:id="455"/>
      <w:r>
        <w:rPr>
          <w:color w:val="000000"/>
          <w:spacing w:val="0"/>
          <w:w w:val="100"/>
          <w:position w:val="0"/>
        </w:rPr>
        <w:t>、董事会关于报告期会计政策、会计估计变更或重大会计差错更正的说明</w:t>
      </w:r>
      <w:bookmarkEnd w:id="453"/>
      <w:bookmarkEnd w:id="454"/>
      <w:bookmarkEnd w:id="456"/>
    </w:p>
    <w:p>
      <w:pPr>
        <w:pStyle w:val="Style13"/>
        <w:keepNext w:val="0"/>
        <w:keepLines w:val="0"/>
        <w:widowControl w:val="0"/>
        <w:shd w:val="clear" w:color="auto" w:fill="auto"/>
        <w:bidi w:val="0"/>
        <w:spacing w:before="0" w:after="40" w:line="474" w:lineRule="exact"/>
        <w:ind w:left="0" w:right="0" w:firstLine="7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0" w:line="474" w:lineRule="exact"/>
        <w:ind w:left="1260" w:right="0" w:firstLine="0"/>
        <w:jc w:val="both"/>
      </w:pPr>
      <w:r>
        <w:rPr>
          <w:color w:val="000000"/>
          <w:spacing w:val="0"/>
          <w:w w:val="100"/>
          <w:position w:val="0"/>
        </w:rPr>
        <w:t>会计政策变更：执行新租赁准则</w:t>
      </w:r>
    </w:p>
    <w:p>
      <w:pPr>
        <w:pStyle w:val="Style13"/>
        <w:keepNext w:val="0"/>
        <w:keepLines w:val="0"/>
        <w:widowControl w:val="0"/>
        <w:shd w:val="clear" w:color="auto" w:fill="auto"/>
        <w:bidi w:val="0"/>
        <w:spacing w:before="0" w:after="100" w:line="474" w:lineRule="exact"/>
        <w:ind w:left="740" w:right="0" w:firstLine="520"/>
        <w:jc w:val="both"/>
      </w:pPr>
      <w:r>
        <w:rPr>
          <w:color w:val="000000"/>
          <w:spacing w:val="0"/>
          <w:w w:val="100"/>
          <w:position w:val="0"/>
        </w:rPr>
        <w:t>财政部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日发布了修订后的《企业会计准则第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租赁》（财会</w:t>
      </w:r>
      <w:r>
        <w:rPr>
          <w:rFonts w:ascii="Times New Roman" w:eastAsia="Times New Roman" w:hAnsi="Times New Roman" w:cs="Times New Roman"/>
          <w:color w:val="000000"/>
          <w:spacing w:val="0"/>
          <w:w w:val="100"/>
          <w:position w:val="0"/>
        </w:rPr>
        <w:t>[2018]35</w:t>
      </w:r>
      <w:r>
        <w:rPr>
          <w:color w:val="000000"/>
          <w:spacing w:val="0"/>
          <w:w w:val="100"/>
          <w:position w:val="0"/>
        </w:rPr>
        <w:t>号）（以 下简称“新租赁准则”），本公司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日起执行新租赁准则。根据新租赁准则的相关规定， 本公司对于首次执行本准则的累积影响数，调整首次执行本准则当年年初留存收益及财务报表其 他相关项目金额，不调整可比期间信息。执行新租赁准则对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年期初报表项目影响如下：</w:t>
      </w:r>
    </w:p>
    <w:tbl>
      <w:tblPr>
        <w:tblOverlap w:val="never"/>
        <w:jc w:val="center"/>
        <w:tblLayout w:type="fixed"/>
      </w:tblPr>
      <w:tblGrid>
        <w:gridCol w:w="3043"/>
        <w:gridCol w:w="2990"/>
        <w:gridCol w:w="3024"/>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52,417,638.02</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6,610,849.57</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45,806,788.45</w:t>
            </w:r>
          </w:p>
        </w:tc>
      </w:tr>
    </w:tbl>
    <w:p>
      <w:pPr>
        <w:widowControl w:val="0"/>
        <w:spacing w:after="99" w:line="1" w:lineRule="exact"/>
      </w:pPr>
    </w:p>
    <w:p>
      <w:pPr>
        <w:pStyle w:val="Style33"/>
        <w:keepNext/>
        <w:keepLines/>
        <w:widowControl w:val="0"/>
        <w:shd w:val="clear" w:color="auto" w:fill="auto"/>
        <w:tabs>
          <w:tab w:pos="1262" w:val="left"/>
        </w:tabs>
        <w:bidi w:val="0"/>
        <w:spacing w:before="0" w:after="200" w:line="463" w:lineRule="exact"/>
        <w:ind w:left="0" w:right="0" w:firstLine="740"/>
        <w:jc w:val="both"/>
      </w:pPr>
      <w:bookmarkStart w:id="457" w:name="bookmark457"/>
      <w:bookmarkStart w:id="458" w:name="bookmark458"/>
      <w:bookmarkStart w:id="459" w:name="bookmark459"/>
      <w:bookmarkStart w:id="460" w:name="bookmark460"/>
      <w:r>
        <w:rPr>
          <w:color w:val="000000"/>
          <w:spacing w:val="0"/>
          <w:w w:val="100"/>
          <w:position w:val="0"/>
        </w:rPr>
        <w:t>七</w:t>
      </w:r>
      <w:bookmarkEnd w:id="459"/>
      <w:r>
        <w:rPr>
          <w:color w:val="000000"/>
          <w:spacing w:val="0"/>
          <w:w w:val="100"/>
          <w:position w:val="0"/>
        </w:rPr>
        <w:t>、</w:t>
        <w:tab/>
        <w:t>与上年度财务报告相比，合并报表范围发生变化的情况说明</w:t>
      </w:r>
      <w:bookmarkEnd w:id="457"/>
      <w:bookmarkEnd w:id="458"/>
      <w:bookmarkEnd w:id="460"/>
    </w:p>
    <w:p>
      <w:pPr>
        <w:pStyle w:val="Style13"/>
        <w:keepNext w:val="0"/>
        <w:keepLines w:val="0"/>
        <w:widowControl w:val="0"/>
        <w:shd w:val="clear" w:color="auto" w:fill="auto"/>
        <w:bidi w:val="0"/>
        <w:spacing w:before="0" w:after="40" w:line="463" w:lineRule="exact"/>
        <w:ind w:left="0" w:right="0" w:firstLine="7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00" w:line="463" w:lineRule="exact"/>
        <w:ind w:left="740" w:right="0" w:firstLine="520"/>
        <w:jc w:val="both"/>
      </w:pPr>
      <w:r>
        <w:rPr>
          <w:color w:val="000000"/>
          <w:spacing w:val="0"/>
          <w:w w:val="100"/>
          <w:position w:val="0"/>
        </w:rPr>
        <w:t>本年度合并范围比上年度增加</w:t>
      </w:r>
      <w:r>
        <w:rPr>
          <w:rFonts w:ascii="Times New Roman" w:eastAsia="Times New Roman" w:hAnsi="Times New Roman" w:cs="Times New Roman"/>
          <w:color w:val="000000"/>
          <w:spacing w:val="0"/>
          <w:w w:val="100"/>
          <w:position w:val="0"/>
        </w:rPr>
        <w:t>1</w:t>
      </w:r>
      <w:r>
        <w:rPr>
          <w:color w:val="000000"/>
          <w:spacing w:val="0"/>
          <w:w w:val="100"/>
          <w:position w:val="0"/>
        </w:rPr>
        <w:t>户，新注册成立全资子公司广东国民新能源科技有限公司; 减少</w:t>
      </w:r>
      <w:r>
        <w:rPr>
          <w:rFonts w:ascii="Times New Roman" w:eastAsia="Times New Roman" w:hAnsi="Times New Roman" w:cs="Times New Roman"/>
          <w:color w:val="000000"/>
          <w:spacing w:val="0"/>
          <w:w w:val="100"/>
          <w:position w:val="0"/>
        </w:rPr>
        <w:t>3</w:t>
      </w:r>
      <w:r>
        <w:rPr>
          <w:color w:val="000000"/>
          <w:spacing w:val="0"/>
          <w:w w:val="100"/>
          <w:position w:val="0"/>
        </w:rPr>
        <w:t xml:space="preserve">户，分别是江西斯诺石墨新材料有限公司、陕西斯诺新材料科技有限公司完成注销登记， </w:t>
      </w:r>
      <w:r>
        <w:rPr>
          <w:rFonts w:ascii="Times New Roman" w:eastAsia="Times New Roman" w:hAnsi="Times New Roman" w:cs="Times New Roman"/>
          <w:color w:val="000000"/>
          <w:spacing w:val="0"/>
          <w:w w:val="100"/>
          <w:position w:val="0"/>
        </w:rPr>
        <w:t>Nations Holdings Limited</w:t>
      </w:r>
      <w:r>
        <w:rPr>
          <w:color w:val="000000"/>
          <w:spacing w:val="0"/>
          <w:w w:val="100"/>
          <w:position w:val="0"/>
        </w:rPr>
        <w:t>清算完毕、完成注销。</w:t>
      </w:r>
    </w:p>
    <w:p>
      <w:pPr>
        <w:pStyle w:val="Style33"/>
        <w:keepNext/>
        <w:keepLines/>
        <w:widowControl w:val="0"/>
        <w:shd w:val="clear" w:color="auto" w:fill="auto"/>
        <w:tabs>
          <w:tab w:pos="1262" w:val="left"/>
        </w:tabs>
        <w:bidi w:val="0"/>
        <w:spacing w:before="0" w:after="420" w:line="463" w:lineRule="exact"/>
        <w:ind w:left="0" w:right="0" w:firstLine="740"/>
        <w:jc w:val="both"/>
      </w:pPr>
      <w:bookmarkStart w:id="461" w:name="bookmark461"/>
      <w:bookmarkStart w:id="462" w:name="bookmark462"/>
      <w:bookmarkStart w:id="463" w:name="bookmark463"/>
      <w:bookmarkStart w:id="464" w:name="bookmark464"/>
      <w:r>
        <w:rPr>
          <w:color w:val="000000"/>
          <w:spacing w:val="0"/>
          <w:w w:val="100"/>
          <w:position w:val="0"/>
        </w:rPr>
        <w:t>八</w:t>
      </w:r>
      <w:bookmarkEnd w:id="463"/>
      <w:r>
        <w:rPr>
          <w:color w:val="000000"/>
          <w:spacing w:val="0"/>
          <w:w w:val="100"/>
          <w:position w:val="0"/>
        </w:rPr>
        <w:t>、</w:t>
        <w:tab/>
        <w:t>聘任、解聘会计师事务所情况</w:t>
      </w:r>
      <w:bookmarkEnd w:id="461"/>
      <w:bookmarkEnd w:id="462"/>
      <w:bookmarkEnd w:id="464"/>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现聘任的会计事务所</w:t>
      </w:r>
    </w:p>
    <w:tbl>
      <w:tblPr>
        <w:tblOverlap w:val="never"/>
        <w:jc w:val="center"/>
        <w:tblLayout w:type="fixed"/>
      </w:tblPr>
      <w:tblGrid>
        <w:gridCol w:w="4973"/>
        <w:gridCol w:w="44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周书奕、马福珠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境外会计师事务所报酬（万元）（如有）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tbl>
      <w:tblPr>
        <w:tblOverlap w:val="never"/>
        <w:jc w:val="center"/>
        <w:tblLayout w:type="fixed"/>
      </w:tblPr>
      <w:tblGrid>
        <w:gridCol w:w="4973"/>
        <w:gridCol w:w="44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境外会计师事务所注册会计师审计服务的连续年限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是否改聘会计师事务所</w:t>
      </w:r>
    </w:p>
    <w:p>
      <w:pPr>
        <w:widowControl w:val="0"/>
        <w:spacing w:after="219" w:line="1" w:lineRule="exact"/>
      </w:pPr>
    </w:p>
    <w:p>
      <w:pPr>
        <w:pStyle w:val="Style13"/>
        <w:keepNext w:val="0"/>
        <w:keepLines w:val="0"/>
        <w:widowControl w:val="0"/>
        <w:shd w:val="clear" w:color="auto" w:fill="auto"/>
        <w:bidi w:val="0"/>
        <w:spacing w:before="0" w:after="220" w:line="240" w:lineRule="auto"/>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3"/>
        <w:keepNext w:val="0"/>
        <w:keepLines w:val="0"/>
        <w:widowControl w:val="0"/>
        <w:shd w:val="clear" w:color="auto" w:fill="auto"/>
        <w:bidi w:val="0"/>
        <w:spacing w:before="0" w:after="220" w:line="240" w:lineRule="auto"/>
        <w:ind w:left="0" w:right="0" w:firstLine="780"/>
        <w:jc w:val="both"/>
      </w:pPr>
      <w:r>
        <w:rPr>
          <w:color w:val="000000"/>
          <w:spacing w:val="0"/>
          <w:w w:val="100"/>
          <w:position w:val="0"/>
        </w:rPr>
        <w:t>聘请内部控制审计会计师事务所、财务顾问或保荐人情况</w:t>
      </w:r>
    </w:p>
    <w:p>
      <w:pPr>
        <w:pStyle w:val="Style13"/>
        <w:keepNext w:val="0"/>
        <w:keepLines w:val="0"/>
        <w:widowControl w:val="0"/>
        <w:shd w:val="clear" w:color="auto" w:fill="auto"/>
        <w:bidi w:val="0"/>
        <w:spacing w:before="0" w:after="420" w:line="240" w:lineRule="auto"/>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after="420" w:line="240" w:lineRule="auto"/>
        <w:ind w:left="0" w:right="0" w:firstLine="780"/>
        <w:jc w:val="left"/>
      </w:pPr>
      <w:bookmarkStart w:id="465" w:name="bookmark465"/>
      <w:bookmarkStart w:id="466" w:name="bookmark466"/>
      <w:bookmarkStart w:id="467" w:name="bookmark467"/>
      <w:bookmarkStart w:id="468" w:name="bookmark468"/>
      <w:r>
        <w:rPr>
          <w:color w:val="000000"/>
          <w:spacing w:val="0"/>
          <w:w w:val="100"/>
          <w:position w:val="0"/>
        </w:rPr>
        <w:t>九</w:t>
      </w:r>
      <w:bookmarkEnd w:id="467"/>
      <w:r>
        <w:rPr>
          <w:color w:val="000000"/>
          <w:spacing w:val="0"/>
          <w:w w:val="100"/>
          <w:position w:val="0"/>
        </w:rPr>
        <w:t>、年度报告披露后面临退市情况</w:t>
      </w:r>
      <w:bookmarkEnd w:id="465"/>
      <w:bookmarkEnd w:id="466"/>
      <w:bookmarkEnd w:id="468"/>
    </w:p>
    <w:p>
      <w:pPr>
        <w:pStyle w:val="Style13"/>
        <w:keepNext w:val="0"/>
        <w:keepLines w:val="0"/>
        <w:widowControl w:val="0"/>
        <w:shd w:val="clear" w:color="auto" w:fill="auto"/>
        <w:bidi w:val="0"/>
        <w:spacing w:before="0" w:after="42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after="420" w:line="240" w:lineRule="auto"/>
        <w:ind w:left="0" w:right="0" w:firstLine="780"/>
        <w:jc w:val="left"/>
      </w:pPr>
      <w:bookmarkStart w:id="469" w:name="bookmark469"/>
      <w:bookmarkStart w:id="470" w:name="bookmark470"/>
      <w:bookmarkStart w:id="471" w:name="bookmark471"/>
      <w:r>
        <w:rPr>
          <w:color w:val="000000"/>
          <w:spacing w:val="0"/>
          <w:w w:val="100"/>
          <w:position w:val="0"/>
        </w:rPr>
        <w:t>十、破产重整相关事项</w:t>
      </w:r>
      <w:bookmarkEnd w:id="469"/>
      <w:bookmarkEnd w:id="470"/>
      <w:bookmarkEnd w:id="471"/>
    </w:p>
    <w:p>
      <w:pPr>
        <w:pStyle w:val="Style13"/>
        <w:keepNext w:val="0"/>
        <w:keepLines w:val="0"/>
        <w:widowControl w:val="0"/>
        <w:shd w:val="clear" w:color="auto" w:fill="auto"/>
        <w:bidi w:val="0"/>
        <w:spacing w:before="0" w:after="22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20" w:line="240" w:lineRule="auto"/>
        <w:ind w:left="0" w:right="0" w:firstLine="780"/>
        <w:jc w:val="left"/>
      </w:pPr>
      <w:r>
        <w:rPr>
          <w:color w:val="000000"/>
          <w:spacing w:val="0"/>
          <w:w w:val="100"/>
          <w:position w:val="0"/>
        </w:rPr>
        <w:t>公司报告期未发生破产重整相关事项。</w:t>
      </w:r>
    </w:p>
    <w:p>
      <w:pPr>
        <w:pStyle w:val="Style33"/>
        <w:keepNext/>
        <w:keepLines/>
        <w:widowControl w:val="0"/>
        <w:shd w:val="clear" w:color="auto" w:fill="auto"/>
        <w:bidi w:val="0"/>
        <w:spacing w:before="0" w:after="420" w:line="240" w:lineRule="auto"/>
        <w:ind w:left="0" w:right="0" w:firstLine="780"/>
        <w:jc w:val="both"/>
      </w:pPr>
      <w:bookmarkStart w:id="472" w:name="bookmark472"/>
      <w:bookmarkStart w:id="473" w:name="bookmark473"/>
      <w:bookmarkStart w:id="474" w:name="bookmark474"/>
      <w:r>
        <w:rPr>
          <w:color w:val="000000"/>
          <w:spacing w:val="0"/>
          <w:w w:val="100"/>
          <w:position w:val="0"/>
        </w:rPr>
        <w:t>十一、重大诉讼、仲裁事项</w:t>
      </w:r>
      <w:bookmarkEnd w:id="472"/>
      <w:bookmarkEnd w:id="473"/>
      <w:bookmarkEnd w:id="474"/>
    </w:p>
    <w:p>
      <w:pPr>
        <w:pStyle w:val="Style13"/>
        <w:keepNext w:val="0"/>
        <w:keepLines w:val="0"/>
        <w:widowControl w:val="0"/>
        <w:shd w:val="clear" w:color="auto" w:fill="auto"/>
        <w:bidi w:val="0"/>
        <w:spacing w:before="0" w:after="220" w:line="240" w:lineRule="auto"/>
        <w:ind w:left="0" w:right="0" w:firstLine="780"/>
        <w:jc w:val="left"/>
      </w:pPr>
      <w:r>
        <w:rPr>
          <w:color w:val="000000"/>
          <w:spacing w:val="0"/>
          <w:w w:val="100"/>
          <w:position w:val="0"/>
        </w:rPr>
        <w:t>重大诉讼、仲裁事项</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寸</w:t>
      </w:r>
      <w:r>
        <w:rPr>
          <w:color w:val="000000"/>
          <w:spacing w:val="0"/>
          <w:w w:val="100"/>
          <w:position w:val="0"/>
          <w:sz w:val="22"/>
          <w:szCs w:val="22"/>
        </w:rPr>
        <w:t>适用</w:t>
      </w:r>
      <w:r>
        <w:rPr>
          <w:color w:val="000000"/>
          <w:spacing w:val="0"/>
          <w:w w:val="100"/>
          <w:position w:val="0"/>
          <w:sz w:val="22"/>
          <w:szCs w:val="22"/>
        </w:rPr>
        <w:t>口</w:t>
      </w:r>
      <w:r>
        <w:rPr>
          <w:color w:val="000000"/>
          <w:spacing w:val="0"/>
          <w:w w:val="100"/>
          <w:position w:val="0"/>
          <w:sz w:val="22"/>
          <w:szCs w:val="22"/>
        </w:rPr>
        <w:t>不适用</w:t>
      </w:r>
    </w:p>
    <w:tbl>
      <w:tblPr>
        <w:tblOverlap w:val="never"/>
        <w:jc w:val="center"/>
        <w:tblLayout w:type="fixed"/>
      </w:tblPr>
      <w:tblGrid>
        <w:gridCol w:w="1459"/>
        <w:gridCol w:w="1085"/>
        <w:gridCol w:w="725"/>
        <w:gridCol w:w="1493"/>
        <w:gridCol w:w="1397"/>
        <w:gridCol w:w="1262"/>
        <w:gridCol w:w="1080"/>
        <w:gridCol w:w="109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基 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涉案金额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是否形</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成预计</w:t>
            </w:r>
          </w:p>
          <w:p>
            <w:pPr>
              <w:pStyle w:val="Style2"/>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进 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仲裁</w:t>
            </w:r>
            <w:r>
              <w:rPr>
                <w:color w:val="000000"/>
                <w:spacing w:val="0"/>
                <w:w w:val="100"/>
                <w:position w:val="0"/>
              </w:rPr>
              <w:t>）</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判决执行情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披露索引</w:t>
            </w:r>
          </w:p>
        </w:tc>
      </w:tr>
      <w:tr>
        <w:trPr>
          <w:trHeight w:val="411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公司全资子公 司国民科技、 国民投资就要 求斯诺实业业 绩承诺方鲍海 友履行相关业 绩补偿承诺事 项向深圳市中 级人民法院提 起诉讼</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亿元及其 相应违约 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311" w:lineRule="exact"/>
              <w:ind w:left="0" w:right="0" w:firstLine="0"/>
              <w:jc w:val="both"/>
              <w:rPr>
                <w:sz w:val="20"/>
                <w:szCs w:val="20"/>
              </w:rPr>
            </w:pPr>
            <w:r>
              <w:rPr>
                <w:color w:val="000000"/>
                <w:spacing w:val="0"/>
                <w:w w:val="100"/>
                <w:position w:val="0"/>
                <w:sz w:val="20"/>
                <w:szCs w:val="20"/>
              </w:rPr>
              <w:t>被执行人鲍海 友持有的斯诺 实业</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0"/>
                <w:szCs w:val="20"/>
              </w:rPr>
              <w:t>的股 权已由国民科 技竞得用于抵 偿业绩补偿。</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2"/>
                <w:szCs w:val="22"/>
              </w:rPr>
              <w:t xml:space="preserve">4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sz w:val="20"/>
                <w:szCs w:val="20"/>
              </w:rPr>
              <w:t xml:space="preserve">日，国民投资收 到法院从鲍海 友银行账户划 扣的业绩补偿 </w:t>
            </w:r>
            <w:r>
              <w:rPr>
                <w:rFonts w:ascii="Times New Roman" w:eastAsia="Times New Roman" w:hAnsi="Times New Roman" w:cs="Times New Roman"/>
                <w:color w:val="000000"/>
                <w:spacing w:val="0"/>
                <w:w w:val="100"/>
                <w:position w:val="0"/>
                <w:sz w:val="22"/>
                <w:szCs w:val="22"/>
              </w:rPr>
              <w:t>47.20</w:t>
            </w:r>
            <w:r>
              <w:rPr>
                <w:color w:val="000000"/>
                <w:spacing w:val="0"/>
                <w:w w:val="100"/>
                <w:position w:val="0"/>
                <w:sz w:val="20"/>
                <w:szCs w:val="2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收回部分业绩 补偿。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008" w:val="left"/>
              </w:tabs>
              <w:bidi w:val="0"/>
              <w:spacing w:before="0" w:after="0" w:line="314" w:lineRule="exact"/>
              <w:ind w:left="0" w:right="0" w:firstLine="0"/>
              <w:jc w:val="both"/>
              <w:rPr>
                <w:sz w:val="20"/>
                <w:szCs w:val="20"/>
              </w:rPr>
            </w:pPr>
            <w:r>
              <w:rPr>
                <w:color w:val="000000"/>
                <w:spacing w:val="0"/>
                <w:w w:val="100"/>
                <w:position w:val="0"/>
                <w:sz w:val="20"/>
                <w:szCs w:val="20"/>
              </w:rPr>
              <w:t>公司从本次 执行程序中 实际受偿人 民</w:t>
              <w:tab/>
              <w:t>币</w:t>
            </w:r>
          </w:p>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 xml:space="preserve">2,547.45 </w:t>
            </w:r>
            <w:r>
              <w:rPr>
                <w:color w:val="000000"/>
                <w:spacing w:val="0"/>
                <w:w w:val="100"/>
                <w:position w:val="0"/>
                <w:sz w:val="20"/>
                <w:szCs w:val="20"/>
              </w:rPr>
              <w:t>万 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2019-09-2</w:t>
            </w:r>
          </w:p>
          <w:p>
            <w:pPr>
              <w:pStyle w:val="Style2"/>
              <w:keepNext w:val="0"/>
              <w:keepLines w:val="0"/>
              <w:widowControl w:val="0"/>
              <w:shd w:val="clear" w:color="auto" w:fill="auto"/>
              <w:tabs>
                <w:tab w:pos="787" w:val="left"/>
              </w:tabs>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7</w:t>
              <w:tab/>
            </w:r>
            <w:r>
              <w:rPr>
                <w:color w:val="000000"/>
                <w:spacing w:val="0"/>
                <w:w w:val="100"/>
                <w:position w:val="0"/>
                <w:sz w:val="20"/>
                <w:szCs w:val="20"/>
              </w:rPr>
              <w:t>、</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2019-10-1</w:t>
            </w:r>
          </w:p>
          <w:p>
            <w:pPr>
              <w:pStyle w:val="Style2"/>
              <w:keepNext w:val="0"/>
              <w:keepLines w:val="0"/>
              <w:widowControl w:val="0"/>
              <w:numPr>
                <w:ilvl w:val="0"/>
                <w:numId w:val="7"/>
              </w:numPr>
              <w:shd w:val="clear" w:color="auto" w:fill="auto"/>
              <w:tabs>
                <w:tab w:pos="811" w:val="left"/>
              </w:tabs>
              <w:bidi w:val="0"/>
              <w:spacing w:before="0" w:after="40" w:line="240" w:lineRule="auto"/>
              <w:ind w:left="0" w:right="0" w:firstLine="0"/>
              <w:jc w:val="left"/>
              <w:rPr>
                <w:sz w:val="20"/>
                <w:szCs w:val="20"/>
              </w:rPr>
            </w:pPr>
            <w:r>
              <w:rPr>
                <w:color w:val="000000"/>
                <w:spacing w:val="0"/>
                <w:w w:val="100"/>
                <w:position w:val="0"/>
                <w:sz w:val="20"/>
                <w:szCs w:val="20"/>
              </w:rPr>
              <w:t>、</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2019-11-19</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w:t>
            </w:r>
          </w:p>
          <w:p>
            <w:pPr>
              <w:pStyle w:val="Style2"/>
              <w:keepNext w:val="0"/>
              <w:keepLines w:val="0"/>
              <w:widowControl w:val="0"/>
              <w:numPr>
                <w:ilvl w:val="0"/>
                <w:numId w:val="9"/>
              </w:numPr>
              <w:shd w:val="clear" w:color="auto" w:fill="auto"/>
              <w:tabs>
                <w:tab w:pos="533"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12-0</w:t>
            </w:r>
          </w:p>
          <w:p>
            <w:pPr>
              <w:pStyle w:val="Style2"/>
              <w:keepNext w:val="0"/>
              <w:keepLines w:val="0"/>
              <w:widowControl w:val="0"/>
              <w:numPr>
                <w:ilvl w:val="0"/>
                <w:numId w:val="7"/>
              </w:numPr>
              <w:shd w:val="clear" w:color="auto" w:fill="auto"/>
              <w:tabs>
                <w:tab w:pos="811" w:val="left"/>
              </w:tabs>
              <w:bidi w:val="0"/>
              <w:spacing w:before="0" w:after="40" w:line="240" w:lineRule="auto"/>
              <w:ind w:left="0" w:right="0" w:firstLine="0"/>
              <w:jc w:val="left"/>
              <w:rPr>
                <w:sz w:val="20"/>
                <w:szCs w:val="20"/>
              </w:rPr>
            </w:pPr>
            <w:r>
              <w:rPr>
                <w:color w:val="000000"/>
                <w:spacing w:val="0"/>
                <w:w w:val="100"/>
                <w:position w:val="0"/>
                <w:sz w:val="20"/>
                <w:szCs w:val="20"/>
              </w:rPr>
              <w:t>、</w:t>
            </w:r>
          </w:p>
          <w:p>
            <w:pPr>
              <w:pStyle w:val="Style2"/>
              <w:keepNext w:val="0"/>
              <w:keepLines w:val="0"/>
              <w:widowControl w:val="0"/>
              <w:numPr>
                <w:ilvl w:val="0"/>
                <w:numId w:val="9"/>
              </w:numPr>
              <w:shd w:val="clear" w:color="auto" w:fill="auto"/>
              <w:tabs>
                <w:tab w:pos="533"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12-0</w:t>
            </w:r>
          </w:p>
          <w:p>
            <w:pPr>
              <w:pStyle w:val="Style2"/>
              <w:keepNext w:val="0"/>
              <w:keepLines w:val="0"/>
              <w:widowControl w:val="0"/>
              <w:numPr>
                <w:ilvl w:val="0"/>
                <w:numId w:val="11"/>
              </w:numPr>
              <w:shd w:val="clear" w:color="auto" w:fill="auto"/>
              <w:tabs>
                <w:tab w:pos="811" w:val="left"/>
              </w:tabs>
              <w:bidi w:val="0"/>
              <w:spacing w:before="0" w:after="40" w:line="240" w:lineRule="auto"/>
              <w:ind w:left="0" w:right="0" w:firstLine="0"/>
              <w:jc w:val="left"/>
              <w:rPr>
                <w:sz w:val="20"/>
                <w:szCs w:val="20"/>
              </w:rPr>
            </w:pPr>
            <w:r>
              <w:rPr>
                <w:color w:val="000000"/>
                <w:spacing w:val="0"/>
                <w:w w:val="100"/>
                <w:position w:val="0"/>
                <w:sz w:val="20"/>
                <w:szCs w:val="20"/>
              </w:rPr>
              <w:t>、</w:t>
            </w:r>
          </w:p>
          <w:p>
            <w:pPr>
              <w:pStyle w:val="Style2"/>
              <w:keepNext w:val="0"/>
              <w:keepLines w:val="0"/>
              <w:widowControl w:val="0"/>
              <w:numPr>
                <w:ilvl w:val="0"/>
                <w:numId w:val="9"/>
              </w:numPr>
              <w:shd w:val="clear" w:color="auto" w:fill="auto"/>
              <w:tabs>
                <w:tab w:pos="514"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01-1</w:t>
            </w:r>
          </w:p>
          <w:p>
            <w:pPr>
              <w:pStyle w:val="Style2"/>
              <w:keepNext w:val="0"/>
              <w:keepLines w:val="0"/>
              <w:widowControl w:val="0"/>
              <w:numPr>
                <w:ilvl w:val="0"/>
                <w:numId w:val="11"/>
              </w:numPr>
              <w:shd w:val="clear" w:color="auto" w:fill="auto"/>
              <w:tabs>
                <w:tab w:pos="811" w:val="left"/>
              </w:tabs>
              <w:bidi w:val="0"/>
              <w:spacing w:before="0" w:after="40" w:line="240" w:lineRule="auto"/>
              <w:ind w:left="0" w:right="0" w:firstLine="0"/>
              <w:jc w:val="left"/>
              <w:rPr>
                <w:sz w:val="20"/>
                <w:szCs w:val="20"/>
              </w:rPr>
            </w:pPr>
            <w:r>
              <w:rPr>
                <w:color w:val="000000"/>
                <w:spacing w:val="0"/>
                <w:w w:val="100"/>
                <w:position w:val="0"/>
                <w:sz w:val="20"/>
                <w:szCs w:val="20"/>
              </w:rPr>
              <w:t>、</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2021-01-2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60" w:line="240" w:lineRule="auto"/>
              <w:ind w:left="0" w:right="0" w:firstLine="0"/>
              <w:jc w:val="left"/>
              <w:rPr>
                <w:sz w:val="20"/>
                <w:szCs w:val="20"/>
              </w:rPr>
            </w:pPr>
            <w:r>
              <w:rPr>
                <w:color w:val="000000"/>
                <w:spacing w:val="0"/>
                <w:w w:val="100"/>
                <w:position w:val="0"/>
                <w:sz w:val="20"/>
                <w:szCs w:val="20"/>
              </w:rPr>
              <w:t>巨潮资讯</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网公告编</w:t>
            </w:r>
          </w:p>
          <w:p>
            <w:pPr>
              <w:pStyle w:val="Style2"/>
              <w:keepNext w:val="0"/>
              <w:keepLines w:val="0"/>
              <w:widowControl w:val="0"/>
              <w:shd w:val="clear" w:color="auto" w:fill="auto"/>
              <w:tabs>
                <w:tab w:pos="806" w:val="left"/>
              </w:tabs>
              <w:bidi w:val="0"/>
              <w:spacing w:before="0" w:after="60" w:line="240" w:lineRule="auto"/>
              <w:ind w:left="0" w:right="0" w:firstLine="0"/>
              <w:jc w:val="left"/>
              <w:rPr>
                <w:sz w:val="20"/>
                <w:szCs w:val="20"/>
              </w:rPr>
            </w:pPr>
            <w:r>
              <w:rPr>
                <w:color w:val="000000"/>
                <w:spacing w:val="0"/>
                <w:w w:val="100"/>
                <w:position w:val="0"/>
                <w:sz w:val="20"/>
                <w:szCs w:val="20"/>
              </w:rPr>
              <w:t>号</w:t>
              <w:tab/>
              <w:t>：</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2019-057</w:t>
            </w:r>
            <w:r>
              <w:rPr>
                <w:color w:val="000000"/>
                <w:spacing w:val="0"/>
                <w:w w:val="100"/>
                <w:position w:val="0"/>
                <w:sz w:val="20"/>
                <w:szCs w:val="20"/>
              </w:rPr>
              <w:t>、</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2019-068</w:t>
            </w:r>
            <w:r>
              <w:rPr>
                <w:color w:val="000000"/>
                <w:spacing w:val="0"/>
                <w:w w:val="100"/>
                <w:position w:val="0"/>
                <w:sz w:val="20"/>
                <w:szCs w:val="20"/>
              </w:rPr>
              <w:t>、</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2019-078</w:t>
            </w:r>
            <w:r>
              <w:rPr>
                <w:color w:val="000000"/>
                <w:spacing w:val="0"/>
                <w:w w:val="100"/>
                <w:position w:val="0"/>
                <w:sz w:val="20"/>
                <w:szCs w:val="20"/>
              </w:rPr>
              <w:t>、</w:t>
            </w:r>
          </w:p>
          <w:p>
            <w:pPr>
              <w:pStyle w:val="Style2"/>
              <w:keepNext w:val="0"/>
              <w:keepLines w:val="0"/>
              <w:widowControl w:val="0"/>
              <w:numPr>
                <w:ilvl w:val="0"/>
                <w:numId w:val="13"/>
              </w:numPr>
              <w:shd w:val="clear" w:color="auto" w:fill="auto"/>
              <w:tabs>
                <w:tab w:pos="514"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086</w:t>
            </w:r>
            <w:r>
              <w:rPr>
                <w:color w:val="000000"/>
                <w:spacing w:val="0"/>
                <w:w w:val="100"/>
                <w:position w:val="0"/>
                <w:sz w:val="20"/>
                <w:szCs w:val="20"/>
              </w:rPr>
              <w:t>、</w:t>
            </w:r>
          </w:p>
          <w:p>
            <w:pPr>
              <w:pStyle w:val="Style2"/>
              <w:keepNext w:val="0"/>
              <w:keepLines w:val="0"/>
              <w:widowControl w:val="0"/>
              <w:numPr>
                <w:ilvl w:val="0"/>
                <w:numId w:val="13"/>
              </w:numPr>
              <w:shd w:val="clear" w:color="auto" w:fill="auto"/>
              <w:tabs>
                <w:tab w:pos="514"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074</w:t>
            </w:r>
            <w:r>
              <w:rPr>
                <w:color w:val="000000"/>
                <w:spacing w:val="0"/>
                <w:w w:val="100"/>
                <w:position w:val="0"/>
                <w:sz w:val="20"/>
                <w:szCs w:val="20"/>
              </w:rPr>
              <w:t>、</w:t>
            </w:r>
          </w:p>
          <w:p>
            <w:pPr>
              <w:pStyle w:val="Style2"/>
              <w:keepNext w:val="0"/>
              <w:keepLines w:val="0"/>
              <w:widowControl w:val="0"/>
              <w:numPr>
                <w:ilvl w:val="0"/>
                <w:numId w:val="13"/>
              </w:numPr>
              <w:shd w:val="clear" w:color="auto" w:fill="auto"/>
              <w:tabs>
                <w:tab w:pos="514"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003</w:t>
            </w:r>
            <w:r>
              <w:rPr>
                <w:color w:val="000000"/>
                <w:spacing w:val="0"/>
                <w:w w:val="100"/>
                <w:position w:val="0"/>
                <w:sz w:val="20"/>
                <w:szCs w:val="20"/>
              </w:rPr>
              <w:t>、</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2021-005</w:t>
            </w:r>
            <w:r>
              <w:rPr>
                <w:color w:val="000000"/>
                <w:spacing w:val="0"/>
                <w:w w:val="100"/>
                <w:position w:val="0"/>
                <w:sz w:val="20"/>
                <w:szCs w:val="20"/>
              </w:rPr>
              <w:t>、</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2021-009</w:t>
            </w:r>
          </w:p>
        </w:tc>
      </w:tr>
    </w:tbl>
    <w:p>
      <w:pPr>
        <w:spacing w:lineRule="exact" w:line="1"/>
        <w:rPr>
          <w:sz w:val="2"/>
          <w:szCs w:val="2"/>
        </w:rPr>
      </w:pPr>
      <w:r>
        <w:br w:type="page"/>
      </w:r>
    </w:p>
    <w:tbl>
      <w:tblPr>
        <w:tblOverlap w:val="never"/>
        <w:jc w:val="center"/>
        <w:tblLayout w:type="fixed"/>
      </w:tblPr>
      <w:tblGrid>
        <w:gridCol w:w="1459"/>
        <w:gridCol w:w="1085"/>
        <w:gridCol w:w="725"/>
        <w:gridCol w:w="1493"/>
        <w:gridCol w:w="1397"/>
        <w:gridCol w:w="1262"/>
        <w:gridCol w:w="1080"/>
        <w:gridCol w:w="109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同时，经法院查 控，被执行人目 前无其他可供 执行的财产，本 次执行程序予 以终结。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tabs>
                <w:tab w:pos="811" w:val="left"/>
              </w:tabs>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6</w:t>
              <w:tab/>
            </w:r>
            <w:r>
              <w:rPr>
                <w:color w:val="000000"/>
                <w:spacing w:val="0"/>
                <w:w w:val="100"/>
                <w:position w:val="0"/>
                <w:sz w:val="20"/>
                <w:szCs w:val="20"/>
              </w:rPr>
              <w:t>、</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2021-04-1</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970" w:val="left"/>
              </w:tabs>
              <w:bidi w:val="0"/>
              <w:spacing w:before="0" w:after="60" w:line="311" w:lineRule="exact"/>
              <w:ind w:left="0" w:right="0" w:firstLine="0"/>
              <w:jc w:val="both"/>
            </w:pPr>
            <w:r>
              <w:rPr>
                <w:color w:val="000000"/>
                <w:spacing w:val="0"/>
                <w:w w:val="100"/>
                <w:position w:val="0"/>
                <w:sz w:val="20"/>
                <w:szCs w:val="20"/>
              </w:rPr>
              <w:t>国民投资就被 投资企业深圳 国泰旗兴产业 投资基金管理 中心（有限合 伙）全资子公 司资金被挪用 事项向</w:t>
            </w:r>
            <w:r>
              <w:rPr>
                <w:rFonts w:ascii="Times New Roman" w:eastAsia="Times New Roman" w:hAnsi="Times New Roman" w:cs="Times New Roman"/>
                <w:color w:val="000000"/>
                <w:spacing w:val="0"/>
                <w:w w:val="100"/>
                <w:position w:val="0"/>
              </w:rPr>
              <w:t>THE HIGH COURT OF</w:t>
              <w:tab/>
              <w:t>THE</w:t>
            </w:r>
          </w:p>
          <w:p>
            <w:pPr>
              <w:pStyle w:val="Style2"/>
              <w:keepNext w:val="0"/>
              <w:keepLines w:val="0"/>
              <w:widowControl w:val="0"/>
              <w:shd w:val="clear" w:color="auto" w:fill="auto"/>
              <w:bidi w:val="0"/>
              <w:spacing w:before="0" w:after="0" w:line="295" w:lineRule="auto"/>
              <w:ind w:left="0" w:right="0" w:firstLine="0"/>
              <w:jc w:val="both"/>
            </w:pPr>
            <w:r>
              <w:rPr>
                <w:rFonts w:ascii="Times New Roman" w:eastAsia="Times New Roman" w:hAnsi="Times New Roman" w:cs="Times New Roman"/>
                <w:color w:val="000000"/>
                <w:spacing w:val="0"/>
                <w:w w:val="100"/>
                <w:position w:val="0"/>
              </w:rPr>
              <w:t>REPUBLIC OF</w:t>
            </w:r>
          </w:p>
          <w:p>
            <w:pPr>
              <w:pStyle w:val="Style2"/>
              <w:keepNext w:val="0"/>
              <w:keepLines w:val="0"/>
              <w:widowControl w:val="0"/>
              <w:shd w:val="clear" w:color="auto" w:fill="auto"/>
              <w:bidi w:val="0"/>
              <w:spacing w:before="0" w:after="0" w:line="311"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 xml:space="preserve">SINGAPORE </w:t>
            </w:r>
            <w:r>
              <w:rPr>
                <w:color w:val="000000"/>
                <w:spacing w:val="0"/>
                <w:w w:val="100"/>
                <w:position w:val="0"/>
                <w:sz w:val="20"/>
                <w:szCs w:val="20"/>
              </w:rPr>
              <w:t>提起诉讼</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约</w:t>
            </w:r>
            <w:r>
              <w:rPr>
                <w:rFonts w:ascii="Times New Roman" w:eastAsia="Times New Roman" w:hAnsi="Times New Roman" w:cs="Times New Roman"/>
                <w:color w:val="000000"/>
                <w:spacing w:val="0"/>
                <w:w w:val="100"/>
                <w:position w:val="0"/>
                <w:sz w:val="22"/>
                <w:szCs w:val="22"/>
              </w:rPr>
              <w:t>3500</w:t>
            </w:r>
            <w:r>
              <w:rPr>
                <w:color w:val="000000"/>
                <w:spacing w:val="0"/>
                <w:w w:val="100"/>
                <w:position w:val="0"/>
                <w:sz w:val="20"/>
                <w:szCs w:val="20"/>
              </w:rPr>
              <w:t>万</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美元及其</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给公司造</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成的损失</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正在进行程序 性相关事项的 审理，尚未进入 案件实体审理 阶段</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暂无</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暂无</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2021-07-0</w:t>
            </w:r>
          </w:p>
          <w:p>
            <w:pPr>
              <w:pStyle w:val="Style2"/>
              <w:keepNext w:val="0"/>
              <w:keepLines w:val="0"/>
              <w:widowControl w:val="0"/>
              <w:shd w:val="clear" w:color="auto" w:fill="auto"/>
              <w:tabs>
                <w:tab w:pos="811" w:val="left"/>
              </w:tabs>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9</w:t>
              <w:tab/>
            </w:r>
            <w:r>
              <w:rPr>
                <w:color w:val="000000"/>
                <w:spacing w:val="0"/>
                <w:w w:val="100"/>
                <w:position w:val="0"/>
                <w:sz w:val="20"/>
                <w:szCs w:val="20"/>
              </w:rPr>
              <w:t>、</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2021-08-0</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60" w:line="240" w:lineRule="auto"/>
              <w:ind w:left="0" w:right="0" w:firstLine="0"/>
              <w:jc w:val="left"/>
              <w:rPr>
                <w:sz w:val="20"/>
                <w:szCs w:val="20"/>
              </w:rPr>
            </w:pPr>
            <w:r>
              <w:rPr>
                <w:color w:val="000000"/>
                <w:spacing w:val="0"/>
                <w:w w:val="100"/>
                <w:position w:val="0"/>
                <w:sz w:val="20"/>
                <w:szCs w:val="20"/>
              </w:rPr>
              <w:t>巨潮资讯</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网公告编</w:t>
            </w:r>
          </w:p>
          <w:p>
            <w:pPr>
              <w:pStyle w:val="Style2"/>
              <w:keepNext w:val="0"/>
              <w:keepLines w:val="0"/>
              <w:widowControl w:val="0"/>
              <w:shd w:val="clear" w:color="auto" w:fill="auto"/>
              <w:tabs>
                <w:tab w:pos="806" w:val="left"/>
              </w:tabs>
              <w:bidi w:val="0"/>
              <w:spacing w:before="0" w:after="60" w:line="240" w:lineRule="auto"/>
              <w:ind w:left="0" w:right="0" w:firstLine="0"/>
              <w:jc w:val="left"/>
              <w:rPr>
                <w:sz w:val="20"/>
                <w:szCs w:val="20"/>
              </w:rPr>
            </w:pPr>
            <w:r>
              <w:rPr>
                <w:color w:val="000000"/>
                <w:spacing w:val="0"/>
                <w:w w:val="100"/>
                <w:position w:val="0"/>
                <w:sz w:val="20"/>
                <w:szCs w:val="20"/>
              </w:rPr>
              <w:t>号</w:t>
              <w:tab/>
              <w:t>：</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2021-058</w:t>
            </w:r>
            <w:r>
              <w:rPr>
                <w:color w:val="000000"/>
                <w:spacing w:val="0"/>
                <w:w w:val="100"/>
                <w:position w:val="0"/>
                <w:sz w:val="20"/>
                <w:szCs w:val="20"/>
              </w:rPr>
              <w:t>、</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2021-078</w:t>
            </w:r>
          </w:p>
        </w:tc>
      </w:tr>
    </w:tbl>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其他诉讼、仲裁事项</w:t>
      </w:r>
    </w:p>
    <w:p>
      <w:pPr>
        <w:widowControl w:val="0"/>
        <w:spacing w:after="179" w:line="1" w:lineRule="exact"/>
      </w:pP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寸</w:t>
      </w:r>
      <w:r>
        <w:rPr>
          <w:color w:val="000000"/>
          <w:spacing w:val="0"/>
          <w:w w:val="100"/>
          <w:position w:val="0"/>
          <w:sz w:val="22"/>
          <w:szCs w:val="22"/>
        </w:rPr>
        <w:t>适用</w:t>
      </w:r>
      <w:r>
        <w:rPr>
          <w:color w:val="000000"/>
          <w:spacing w:val="0"/>
          <w:w w:val="100"/>
          <w:position w:val="0"/>
          <w:sz w:val="22"/>
          <w:szCs w:val="22"/>
        </w:rPr>
        <w:t>口</w:t>
      </w:r>
      <w:r>
        <w:rPr>
          <w:color w:val="000000"/>
          <w:spacing w:val="0"/>
          <w:w w:val="100"/>
          <w:position w:val="0"/>
          <w:sz w:val="22"/>
          <w:szCs w:val="22"/>
        </w:rPr>
        <w:t>不适用</w:t>
      </w:r>
    </w:p>
    <w:tbl>
      <w:tblPr>
        <w:tblOverlap w:val="never"/>
        <w:jc w:val="center"/>
        <w:tblLayout w:type="fixed"/>
      </w:tblPr>
      <w:tblGrid>
        <w:gridCol w:w="1459"/>
        <w:gridCol w:w="1085"/>
        <w:gridCol w:w="1267"/>
        <w:gridCol w:w="950"/>
        <w:gridCol w:w="1397"/>
        <w:gridCol w:w="1262"/>
        <w:gridCol w:w="1080"/>
        <w:gridCol w:w="109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基 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涉案金额</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仲</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仲裁</w:t>
            </w:r>
            <w:r>
              <w:rPr>
                <w:color w:val="000000"/>
                <w:spacing w:val="0"/>
                <w:w w:val="100"/>
                <w:position w:val="0"/>
              </w:rPr>
              <w:t>）</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判决执行情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未达到重大的 诉讼、仲裁事 项汇总</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4,398.86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对公司无重大 影响</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暂无</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截至本报告期末，公司及子公司除重大诉讼事项外其他诉讼、仲裁事项中，我方作为原告的案件</w:t>
      </w:r>
    </w:p>
    <w:p>
      <w:pPr>
        <w:widowControl w:val="0"/>
        <w:spacing w:after="179" w:line="1" w:lineRule="exact"/>
      </w:pPr>
    </w:p>
    <w:p>
      <w:pPr>
        <w:pStyle w:val="Style13"/>
        <w:keepNext w:val="0"/>
        <w:keepLines w:val="0"/>
        <w:widowControl w:val="0"/>
        <w:shd w:val="clear" w:color="auto" w:fill="auto"/>
        <w:bidi w:val="0"/>
        <w:spacing w:before="0" w:after="400" w:line="240" w:lineRule="auto"/>
        <w:ind w:left="0" w:right="0" w:firstLine="780"/>
        <w:jc w:val="left"/>
      </w:pPr>
      <w:r>
        <w:rPr>
          <w:color w:val="000000"/>
          <w:spacing w:val="0"/>
          <w:w w:val="100"/>
          <w:position w:val="0"/>
        </w:rPr>
        <w:t>涉及金额</w:t>
      </w:r>
      <w:r>
        <w:rPr>
          <w:rFonts w:ascii="Times New Roman" w:eastAsia="Times New Roman" w:hAnsi="Times New Roman" w:cs="Times New Roman"/>
          <w:color w:val="000000"/>
          <w:spacing w:val="0"/>
          <w:w w:val="100"/>
          <w:position w:val="0"/>
        </w:rPr>
        <w:t>3,905.69</w:t>
      </w:r>
      <w:r>
        <w:rPr>
          <w:color w:val="000000"/>
          <w:spacing w:val="0"/>
          <w:w w:val="100"/>
          <w:position w:val="0"/>
        </w:rPr>
        <w:t>万元；我方作为被告的案件涉及金额为</w:t>
      </w:r>
      <w:r>
        <w:rPr>
          <w:rFonts w:ascii="Times New Roman" w:eastAsia="Times New Roman" w:hAnsi="Times New Roman" w:cs="Times New Roman"/>
          <w:color w:val="000000"/>
          <w:spacing w:val="0"/>
          <w:w w:val="100"/>
          <w:position w:val="0"/>
        </w:rPr>
        <w:t>493.17</w:t>
      </w:r>
      <w:r>
        <w:rPr>
          <w:color w:val="000000"/>
          <w:spacing w:val="0"/>
          <w:w w:val="100"/>
          <w:position w:val="0"/>
        </w:rPr>
        <w:t>万元。</w:t>
      </w:r>
    </w:p>
    <w:p>
      <w:pPr>
        <w:pStyle w:val="Style33"/>
        <w:keepNext/>
        <w:keepLines/>
        <w:widowControl w:val="0"/>
        <w:shd w:val="clear" w:color="auto" w:fill="auto"/>
        <w:bidi w:val="0"/>
        <w:spacing w:before="0" w:after="400" w:line="240" w:lineRule="auto"/>
        <w:ind w:left="0" w:right="0" w:firstLine="780"/>
        <w:jc w:val="left"/>
      </w:pPr>
      <w:bookmarkStart w:id="475" w:name="bookmark475"/>
      <w:bookmarkStart w:id="476" w:name="bookmark476"/>
      <w:bookmarkStart w:id="477" w:name="bookmark477"/>
      <w:r>
        <w:rPr>
          <w:color w:val="000000"/>
          <w:spacing w:val="0"/>
          <w:w w:val="100"/>
          <w:position w:val="0"/>
        </w:rPr>
        <w:t>十二、处罚及整改情况</w:t>
      </w:r>
      <w:bookmarkEnd w:id="475"/>
      <w:bookmarkEnd w:id="476"/>
      <w:bookmarkEnd w:id="477"/>
    </w:p>
    <w:p>
      <w:pPr>
        <w:pStyle w:val="Style30"/>
        <w:keepNext w:val="0"/>
        <w:keepLines w:val="0"/>
        <w:widowControl w:val="0"/>
        <w:shd w:val="clear" w:color="auto" w:fill="auto"/>
        <w:bidi w:val="0"/>
        <w:spacing w:before="0" w:after="0" w:line="240" w:lineRule="auto"/>
        <w:ind w:left="134" w:right="0" w:firstLine="0"/>
        <w:jc w:val="left"/>
        <w:rPr>
          <w:sz w:val="22"/>
          <w:szCs w:val="22"/>
        </w:rPr>
      </w:pPr>
      <w:r>
        <w:rPr>
          <w:color w:val="000000"/>
          <w:spacing w:val="0"/>
          <w:w w:val="100"/>
          <w:position w:val="0"/>
          <w:sz w:val="22"/>
          <w:szCs w:val="22"/>
        </w:rPr>
        <w:t>寸</w:t>
      </w:r>
      <w:r>
        <w:rPr>
          <w:color w:val="000000"/>
          <w:spacing w:val="0"/>
          <w:w w:val="100"/>
          <w:position w:val="0"/>
          <w:sz w:val="22"/>
          <w:szCs w:val="22"/>
        </w:rPr>
        <w:t>适用</w:t>
      </w:r>
      <w:r>
        <w:rPr>
          <w:color w:val="000000"/>
          <w:spacing w:val="0"/>
          <w:w w:val="100"/>
          <w:position w:val="0"/>
          <w:sz w:val="22"/>
          <w:szCs w:val="22"/>
        </w:rPr>
        <w:t>口</w:t>
      </w:r>
      <w:r>
        <w:rPr>
          <w:color w:val="000000"/>
          <w:spacing w:val="0"/>
          <w:w w:val="100"/>
          <w:position w:val="0"/>
          <w:sz w:val="22"/>
          <w:szCs w:val="22"/>
        </w:rPr>
        <w:t>不适用</w:t>
      </w:r>
    </w:p>
    <w:tbl>
      <w:tblPr>
        <w:tblOverlap w:val="never"/>
        <w:jc w:val="center"/>
        <w:tblLayout w:type="fixed"/>
      </w:tblPr>
      <w:tblGrid>
        <w:gridCol w:w="1378"/>
        <w:gridCol w:w="619"/>
        <w:gridCol w:w="2549"/>
        <w:gridCol w:w="1133"/>
        <w:gridCol w:w="1022"/>
        <w:gridCol w:w="1104"/>
        <w:gridCol w:w="21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名称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调查处罚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结论（如</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披露索引</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国民技术股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公司全资子公司国民科技 在</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0"/>
                <w:szCs w:val="20"/>
              </w:rPr>
              <w:t>年与部分客户的系 统集成业务构成虚构应收 账款回收，影响到公司相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中国证监</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会采取行</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政监管措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http: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22"/>
                <w:szCs w:val="22"/>
              </w:rPr>
              <w:t>www.cninfO</w:t>
            </w:r>
            <w:r>
              <w:fldChar w:fldCharType="end"/>
            </w:r>
            <w:r>
              <w:rPr>
                <w:rFonts w:ascii="Times New Roman" w:eastAsia="Times New Roman" w:hAnsi="Times New Roman" w:cs="Times New Roman"/>
                <w:color w:val="000000"/>
                <w:spacing w:val="0"/>
                <w:w w:val="100"/>
                <w:position w:val="0"/>
                <w:sz w:val="22"/>
                <w:szCs w:val="22"/>
              </w:rPr>
              <w:t xml:space="preserve"> .c om.cn</w:t>
            </w:r>
            <w:r>
              <w:rPr>
                <w:color w:val="000000"/>
                <w:spacing w:val="0"/>
                <w:w w:val="100"/>
                <w:position w:val="0"/>
                <w:sz w:val="20"/>
                <w:szCs w:val="20"/>
              </w:rPr>
              <w:t>）</w:t>
            </w:r>
            <w:r>
              <w:rPr>
                <w:color w:val="000000"/>
                <w:spacing w:val="0"/>
                <w:w w:val="100"/>
                <w:position w:val="0"/>
                <w:sz w:val="20"/>
                <w:szCs w:val="20"/>
              </w:rPr>
              <w:t>《关于收到中 国证券监督管理委员</w:t>
            </w:r>
          </w:p>
        </w:tc>
      </w:tr>
    </w:tbl>
    <w:tbl>
      <w:tblPr>
        <w:tblOverlap w:val="never"/>
        <w:jc w:val="center"/>
        <w:tblLayout w:type="fixed"/>
      </w:tblPr>
      <w:tblGrid>
        <w:gridCol w:w="1378"/>
        <w:gridCol w:w="619"/>
        <w:gridCol w:w="2549"/>
        <w:gridCol w:w="1133"/>
        <w:gridCol w:w="1022"/>
        <w:gridCol w:w="1104"/>
        <w:gridCol w:w="2136"/>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关定期报告信息披露的准 确性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 xml:space="preserve">会深圳监管局行政监 管措施决定书的公 告》（公告编号： </w:t>
            </w:r>
            <w:r>
              <w:rPr>
                <w:rFonts w:ascii="Times New Roman" w:eastAsia="Times New Roman" w:hAnsi="Times New Roman" w:cs="Times New Roman"/>
                <w:color w:val="000000"/>
                <w:spacing w:val="0"/>
                <w:w w:val="100"/>
                <w:position w:val="0"/>
                <w:sz w:val="22"/>
                <w:szCs w:val="22"/>
              </w:rPr>
              <w:t>2021-092</w:t>
            </w:r>
            <w:r>
              <w:rPr>
                <w:color w:val="000000"/>
                <w:spacing w:val="0"/>
                <w:w w:val="100"/>
                <w:position w:val="0"/>
                <w:sz w:val="20"/>
                <w:szCs w:val="20"/>
              </w:rPr>
              <w:t>）</w:t>
            </w:r>
          </w:p>
        </w:tc>
      </w:tr>
    </w:tbl>
    <w:p>
      <w:pPr>
        <w:pStyle w:val="Style13"/>
        <w:keepNext w:val="0"/>
        <w:keepLines w:val="0"/>
        <w:widowControl w:val="0"/>
        <w:shd w:val="clear" w:color="auto" w:fill="auto"/>
        <w:bidi w:val="0"/>
        <w:spacing w:before="0" w:after="0" w:line="469" w:lineRule="exact"/>
        <w:ind w:left="0" w:right="0" w:firstLine="800"/>
        <w:jc w:val="both"/>
      </w:pPr>
      <w:r>
        <w:rPr>
          <w:color w:val="000000"/>
          <w:spacing w:val="0"/>
          <w:w w:val="100"/>
          <w:position w:val="0"/>
        </w:rPr>
        <w:t>整改情况说明</w:t>
      </w:r>
    </w:p>
    <w:p>
      <w:pPr>
        <w:pStyle w:val="Style13"/>
        <w:keepNext w:val="0"/>
        <w:keepLines w:val="0"/>
        <w:widowControl w:val="0"/>
        <w:shd w:val="clear" w:color="auto" w:fill="auto"/>
        <w:bidi w:val="0"/>
        <w:spacing w:before="0" w:after="0" w:line="469" w:lineRule="exact"/>
        <w:ind w:left="0" w:right="0" w:firstLine="8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0" w:line="470" w:lineRule="exact"/>
        <w:ind w:left="800" w:right="0" w:firstLine="0"/>
        <w:jc w:val="both"/>
      </w:pPr>
      <w:r>
        <w:rPr>
          <w:b/>
          <w:bCs/>
          <w:color w:val="000000"/>
          <w:spacing w:val="0"/>
          <w:w w:val="100"/>
          <w:position w:val="0"/>
        </w:rPr>
        <w:t>要求一：你公司应根据合同协议有关条款，切实采取有效措施对相关应收款项进行追偿，积极维 护上市公司及全体股东利益。</w:t>
      </w:r>
    </w:p>
    <w:p>
      <w:pPr>
        <w:pStyle w:val="Style13"/>
        <w:keepNext w:val="0"/>
        <w:keepLines w:val="0"/>
        <w:widowControl w:val="0"/>
        <w:shd w:val="clear" w:color="auto" w:fill="auto"/>
        <w:bidi w:val="0"/>
        <w:spacing w:before="0" w:after="0" w:line="469" w:lineRule="exact"/>
        <w:ind w:left="0" w:right="0" w:firstLine="800"/>
        <w:jc w:val="both"/>
      </w:pPr>
      <w:r>
        <w:rPr>
          <w:b/>
          <w:bCs/>
          <w:color w:val="000000"/>
          <w:spacing w:val="0"/>
          <w:w w:val="100"/>
          <w:position w:val="0"/>
        </w:rPr>
        <w:t>整改情况说明：</w:t>
      </w:r>
    </w:p>
    <w:p>
      <w:pPr>
        <w:pStyle w:val="Style13"/>
        <w:keepNext w:val="0"/>
        <w:keepLines w:val="0"/>
        <w:widowControl w:val="0"/>
        <w:shd w:val="clear" w:color="auto" w:fill="auto"/>
        <w:bidi w:val="0"/>
        <w:spacing w:before="0" w:after="0" w:line="469" w:lineRule="exact"/>
        <w:ind w:left="800" w:right="0" w:firstLine="460"/>
        <w:jc w:val="both"/>
      </w:pPr>
      <w:r>
        <w:rPr>
          <w:color w:val="000000"/>
          <w:spacing w:val="0"/>
          <w:w w:val="100"/>
          <w:position w:val="0"/>
        </w:rPr>
        <w:t>公司依据法律及合同协议条款持续积极追偿相关应收款项，并与欠款方进一步沟通，再次向 欠款方明确必须快速、完整解决全部欠款问题的要求。</w:t>
      </w:r>
    </w:p>
    <w:p>
      <w:pPr>
        <w:pStyle w:val="Style13"/>
        <w:keepNext w:val="0"/>
        <w:keepLines w:val="0"/>
        <w:widowControl w:val="0"/>
        <w:shd w:val="clear" w:color="auto" w:fill="auto"/>
        <w:bidi w:val="0"/>
        <w:spacing w:before="0" w:after="0" w:line="469" w:lineRule="exact"/>
        <w:ind w:left="800" w:right="0" w:firstLine="460"/>
        <w:jc w:val="both"/>
      </w:pPr>
      <w:r>
        <w:rPr>
          <w:color w:val="000000"/>
          <w:spacing w:val="0"/>
          <w:w w:val="100"/>
          <w:position w:val="0"/>
        </w:rPr>
        <w:t>欠款方已向公司出具了还款承诺函，承诺最迟于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月底前还清全部欠款。截至目前， 已向公司归还了全部款项。</w:t>
      </w:r>
    </w:p>
    <w:p>
      <w:pPr>
        <w:pStyle w:val="Style13"/>
        <w:keepNext w:val="0"/>
        <w:keepLines w:val="0"/>
        <w:widowControl w:val="0"/>
        <w:shd w:val="clear" w:color="auto" w:fill="auto"/>
        <w:bidi w:val="0"/>
        <w:spacing w:before="0" w:after="0" w:line="469" w:lineRule="exact"/>
        <w:ind w:left="800" w:right="0" w:firstLine="460"/>
        <w:jc w:val="both"/>
      </w:pPr>
      <w:r>
        <w:rPr>
          <w:color w:val="000000"/>
          <w:spacing w:val="0"/>
          <w:w w:val="100"/>
          <w:position w:val="0"/>
        </w:rPr>
        <w:t>公司责成法务负责人、国民科技负责人负责催收，整改工作小组将持续跟踪督促欠款方的回 款工作，确保还款承诺不折不扣地执行，切实维护上市公司及全体股东利益。</w:t>
      </w:r>
    </w:p>
    <w:p>
      <w:pPr>
        <w:pStyle w:val="Style13"/>
        <w:keepNext w:val="0"/>
        <w:keepLines w:val="0"/>
        <w:widowControl w:val="0"/>
        <w:shd w:val="clear" w:color="auto" w:fill="auto"/>
        <w:bidi w:val="0"/>
        <w:spacing w:before="0" w:after="0" w:line="469" w:lineRule="exact"/>
        <w:ind w:left="1260" w:right="0" w:firstLine="0"/>
        <w:jc w:val="both"/>
      </w:pPr>
      <w:r>
        <w:rPr>
          <w:color w:val="000000"/>
          <w:spacing w:val="0"/>
          <w:w w:val="100"/>
          <w:position w:val="0"/>
        </w:rPr>
        <w:t>整改第一责任人：董事长</w:t>
      </w:r>
    </w:p>
    <w:p>
      <w:pPr>
        <w:pStyle w:val="Style13"/>
        <w:keepNext w:val="0"/>
        <w:keepLines w:val="0"/>
        <w:widowControl w:val="0"/>
        <w:shd w:val="clear" w:color="auto" w:fill="auto"/>
        <w:bidi w:val="0"/>
        <w:spacing w:before="0" w:after="0" w:line="469" w:lineRule="exact"/>
        <w:ind w:left="1260" w:right="0" w:firstLine="0"/>
        <w:jc w:val="both"/>
      </w:pPr>
      <w:r>
        <w:rPr>
          <w:color w:val="000000"/>
          <w:spacing w:val="0"/>
          <w:w w:val="100"/>
          <w:position w:val="0"/>
        </w:rPr>
        <w:t>整改负责人：法务负责人、国民科技公司负责人</w:t>
      </w:r>
    </w:p>
    <w:p>
      <w:pPr>
        <w:pStyle w:val="Style13"/>
        <w:keepNext w:val="0"/>
        <w:keepLines w:val="0"/>
        <w:widowControl w:val="0"/>
        <w:shd w:val="clear" w:color="auto" w:fill="auto"/>
        <w:bidi w:val="0"/>
        <w:spacing w:before="0" w:after="0" w:line="469" w:lineRule="exact"/>
        <w:ind w:left="1260" w:right="0" w:firstLine="0"/>
        <w:jc w:val="both"/>
      </w:pPr>
      <w:r>
        <w:rPr>
          <w:color w:val="000000"/>
          <w:spacing w:val="0"/>
          <w:w w:val="100"/>
          <w:position w:val="0"/>
        </w:rPr>
        <w:t>整改部门：法务部、计划财务部、国民科技公司</w:t>
      </w:r>
    </w:p>
    <w:p>
      <w:pPr>
        <w:pStyle w:val="Style13"/>
        <w:keepNext w:val="0"/>
        <w:keepLines w:val="0"/>
        <w:widowControl w:val="0"/>
        <w:shd w:val="clear" w:color="auto" w:fill="auto"/>
        <w:bidi w:val="0"/>
        <w:spacing w:before="0" w:after="0" w:line="469" w:lineRule="exact"/>
        <w:ind w:left="1260" w:right="0" w:firstLine="0"/>
        <w:jc w:val="both"/>
      </w:pPr>
      <w:r>
        <w:rPr>
          <w:color w:val="000000"/>
          <w:spacing w:val="0"/>
          <w:w w:val="100"/>
          <w:position w:val="0"/>
        </w:rPr>
        <w:t>该项工作已整改完成。</w:t>
      </w:r>
    </w:p>
    <w:p>
      <w:pPr>
        <w:pStyle w:val="Style13"/>
        <w:keepNext w:val="0"/>
        <w:keepLines w:val="0"/>
        <w:widowControl w:val="0"/>
        <w:shd w:val="clear" w:color="auto" w:fill="auto"/>
        <w:bidi w:val="0"/>
        <w:spacing w:before="0" w:after="0" w:line="473" w:lineRule="exact"/>
        <w:ind w:left="800" w:right="0" w:firstLine="0"/>
        <w:jc w:val="both"/>
      </w:pPr>
      <w:r>
        <w:rPr>
          <w:b/>
          <w:bCs/>
          <w:color w:val="000000"/>
          <w:spacing w:val="0"/>
          <w:w w:val="100"/>
          <w:position w:val="0"/>
        </w:rPr>
        <w:t>要求二：你公司全体董事、监事和高级管理人员应切实提高规范运作意识，严格遵守财务会计核 算和信息披露规则规定，对公司资金管理、信息披露等方面存在的不规范情况进行全面梳理，制 定整改计划，采取有效措施进行整改，切实提高公司规范运作水平。</w:t>
      </w:r>
    </w:p>
    <w:p>
      <w:pPr>
        <w:pStyle w:val="Style13"/>
        <w:keepNext w:val="0"/>
        <w:keepLines w:val="0"/>
        <w:widowControl w:val="0"/>
        <w:shd w:val="clear" w:color="auto" w:fill="auto"/>
        <w:bidi w:val="0"/>
        <w:spacing w:before="0" w:after="0" w:line="469" w:lineRule="exact"/>
        <w:ind w:left="0" w:right="0" w:firstLine="800"/>
        <w:jc w:val="both"/>
      </w:pPr>
      <w:r>
        <w:rPr>
          <w:b/>
          <w:bCs/>
          <w:color w:val="000000"/>
          <w:spacing w:val="0"/>
          <w:w w:val="100"/>
          <w:position w:val="0"/>
        </w:rPr>
        <w:t>整改情况说明：</w:t>
      </w:r>
    </w:p>
    <w:p>
      <w:pPr>
        <w:pStyle w:val="Style13"/>
        <w:keepNext w:val="0"/>
        <w:keepLines w:val="0"/>
        <w:widowControl w:val="0"/>
        <w:shd w:val="clear" w:color="auto" w:fill="auto"/>
        <w:bidi w:val="0"/>
        <w:spacing w:before="0" w:after="0" w:line="469" w:lineRule="exact"/>
        <w:ind w:left="1260" w:right="0" w:firstLine="0"/>
        <w:jc w:val="both"/>
      </w:pPr>
      <w:r>
        <w:rPr>
          <w:color w:val="000000"/>
          <w:spacing w:val="0"/>
          <w:w w:val="100"/>
          <w:position w:val="0"/>
        </w:rPr>
        <w:t>针对上述要求，公司将采取如下整改措施：</w:t>
      </w:r>
    </w:p>
    <w:p>
      <w:pPr>
        <w:pStyle w:val="Style37"/>
        <w:keepNext/>
        <w:keepLines/>
        <w:widowControl w:val="0"/>
        <w:shd w:val="clear" w:color="auto" w:fill="auto"/>
        <w:bidi w:val="0"/>
        <w:spacing w:before="0" w:after="0" w:line="469" w:lineRule="exact"/>
        <w:ind w:left="0" w:right="0" w:firstLine="800"/>
        <w:jc w:val="both"/>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、专项整改工作</w:t>
      </w:r>
      <w:bookmarkEnd w:id="478"/>
      <w:bookmarkEnd w:id="479"/>
      <w:bookmarkEnd w:id="481"/>
    </w:p>
    <w:p>
      <w:pPr>
        <w:pStyle w:val="Style13"/>
        <w:keepNext w:val="0"/>
        <w:keepLines w:val="0"/>
        <w:widowControl w:val="0"/>
        <w:shd w:val="clear" w:color="auto" w:fill="auto"/>
        <w:bidi w:val="0"/>
        <w:spacing w:before="0" w:after="0" w:line="467" w:lineRule="exact"/>
        <w:ind w:left="1260" w:right="0" w:firstLine="0"/>
        <w:jc w:val="both"/>
      </w:pPr>
      <w:bookmarkStart w:id="482" w:name="bookmark482"/>
      <w:r>
        <w:rPr>
          <w:color w:val="000000"/>
          <w:spacing w:val="0"/>
          <w:w w:val="100"/>
          <w:position w:val="0"/>
        </w:rPr>
        <w:t>（</w:t>
      </w:r>
      <w:bookmarkEnd w:id="482"/>
      <w:r>
        <w:rPr>
          <w:rFonts w:ascii="Times New Roman" w:eastAsia="Times New Roman" w:hAnsi="Times New Roman" w:cs="Times New Roman"/>
          <w:color w:val="000000"/>
          <w:spacing w:val="0"/>
          <w:w w:val="100"/>
          <w:position w:val="0"/>
        </w:rPr>
        <w:t>1</w:t>
      </w:r>
      <w:r>
        <w:rPr>
          <w:color w:val="000000"/>
          <w:spacing w:val="0"/>
          <w:w w:val="100"/>
          <w:position w:val="0"/>
        </w:rPr>
        <w:t>）对管理层进行培训，提高规范意识，加强内控的执行。</w:t>
      </w:r>
    </w:p>
    <w:p>
      <w:pPr>
        <w:pStyle w:val="Style13"/>
        <w:keepNext w:val="0"/>
        <w:keepLines w:val="0"/>
        <w:widowControl w:val="0"/>
        <w:shd w:val="clear" w:color="auto" w:fill="auto"/>
        <w:bidi w:val="0"/>
        <w:spacing w:before="0" w:after="0" w:line="467" w:lineRule="exact"/>
        <w:ind w:left="800" w:right="0" w:firstLine="460"/>
        <w:jc w:val="both"/>
      </w:pPr>
      <w:r>
        <w:rPr>
          <w:color w:val="000000"/>
          <w:spacing w:val="0"/>
          <w:w w:val="100"/>
          <w:position w:val="0"/>
        </w:rPr>
        <w:t>公司要求全体董事、监事和高级管理人员持续加强对证券法律法规的学习，不断提升规范运 作意识，提升公司治理和规范运作水平。同时，公司将进一步强化对董事、监事和高级管理人员 及相关职能部门人员在公司规范运作、信息披露管理等方面开展培训和学习的组织工作，定期开 展专题培训活动，积极组织相关人员参加深圳证监局和深圳证券交易所等监管部门组织的各项有</w:t>
      </w:r>
    </w:p>
    <w:p>
      <w:pPr>
        <w:pStyle w:val="Style13"/>
        <w:keepNext w:val="0"/>
        <w:keepLines w:val="0"/>
        <w:widowControl w:val="0"/>
        <w:shd w:val="clear" w:color="auto" w:fill="auto"/>
        <w:bidi w:val="0"/>
        <w:spacing w:before="0" w:after="0" w:line="471" w:lineRule="exact"/>
        <w:ind w:left="0" w:right="0" w:firstLine="800"/>
        <w:jc w:val="both"/>
      </w:pPr>
      <w:r>
        <w:rPr>
          <w:color w:val="000000"/>
          <w:spacing w:val="0"/>
          <w:w w:val="100"/>
          <w:position w:val="0"/>
        </w:rPr>
        <w:t>关规范运作、财务核算、内部控制和信息披露等方面的培训。</w:t>
      </w:r>
    </w:p>
    <w:p>
      <w:pPr>
        <w:pStyle w:val="Style13"/>
        <w:keepNext w:val="0"/>
        <w:keepLines w:val="0"/>
        <w:widowControl w:val="0"/>
        <w:shd w:val="clear" w:color="auto" w:fill="auto"/>
        <w:tabs>
          <w:tab w:pos="1898" w:val="left"/>
        </w:tabs>
        <w:bidi w:val="0"/>
        <w:spacing w:before="0" w:after="0" w:line="471" w:lineRule="exact"/>
        <w:ind w:left="800" w:right="0" w:firstLine="460"/>
        <w:jc w:val="both"/>
      </w:pPr>
      <w:bookmarkStart w:id="483" w:name="bookmark483"/>
      <w:r>
        <w:rPr>
          <w:color w:val="000000"/>
          <w:spacing w:val="0"/>
          <w:w w:val="100"/>
          <w:position w:val="0"/>
        </w:rPr>
        <w:t>（</w:t>
      </w:r>
      <w:bookmarkEnd w:id="483"/>
      <w:r>
        <w:rPr>
          <w:rFonts w:ascii="Times New Roman" w:eastAsia="Times New Roman" w:hAnsi="Times New Roman" w:cs="Times New Roman"/>
          <w:color w:val="000000"/>
          <w:spacing w:val="0"/>
          <w:w w:val="100"/>
          <w:position w:val="0"/>
        </w:rPr>
        <w:t>2</w:t>
      </w:r>
      <w:r>
        <w:rPr>
          <w:color w:val="000000"/>
          <w:spacing w:val="0"/>
          <w:w w:val="100"/>
          <w:position w:val="0"/>
        </w:rPr>
        <w:t>）</w:t>
        <w:tab/>
        <w:t>针对此次出现的问题，公司专门组织修订了《公司内部信息披露管理制度》，编制了《公 司信息披露管理规范指引》，对具有信息披露职责，可能接触信息披露工作的各级负责人及员工 进行了制度讲解，并根据当前年度实际情况，按年度发布信息披露工作的规范指引，要求认真学 习并予以反馈，落实信息披露各个层级的责任人，进一步提升公司各部门、各关键岗位对信息披 露工作的理解以及规范处理能力，做好信息不漏报、不虚报、不瞒报的基础信息管理工作。推动 公司信息披露工作有提前量、有准确度，做到完整、准确、及时。</w:t>
      </w:r>
    </w:p>
    <w:p>
      <w:pPr>
        <w:pStyle w:val="Style13"/>
        <w:keepNext w:val="0"/>
        <w:keepLines w:val="0"/>
        <w:widowControl w:val="0"/>
        <w:shd w:val="clear" w:color="auto" w:fill="auto"/>
        <w:tabs>
          <w:tab w:pos="1898" w:val="left"/>
        </w:tabs>
        <w:bidi w:val="0"/>
        <w:spacing w:before="0" w:after="0" w:line="471" w:lineRule="exact"/>
        <w:ind w:left="800" w:right="0" w:firstLine="460"/>
        <w:jc w:val="both"/>
      </w:pPr>
      <w:bookmarkStart w:id="484" w:name="bookmark484"/>
      <w:r>
        <w:rPr>
          <w:color w:val="000000"/>
          <w:spacing w:val="0"/>
          <w:w w:val="100"/>
          <w:position w:val="0"/>
        </w:rPr>
        <w:t>（</w:t>
      </w:r>
      <w:bookmarkEnd w:id="484"/>
      <w:r>
        <w:rPr>
          <w:rFonts w:ascii="Times New Roman" w:eastAsia="Times New Roman" w:hAnsi="Times New Roman" w:cs="Times New Roman"/>
          <w:color w:val="000000"/>
          <w:spacing w:val="0"/>
          <w:w w:val="100"/>
          <w:position w:val="0"/>
        </w:rPr>
        <w:t>3</w:t>
      </w:r>
      <w:r>
        <w:rPr>
          <w:color w:val="000000"/>
          <w:spacing w:val="0"/>
          <w:w w:val="100"/>
          <w:position w:val="0"/>
        </w:rPr>
        <w:t>）</w:t>
        <w:tab/>
        <w:t>根据此次出现的问题，公司认真分析和反思了在资金管理、客户服务、业务发展等方 面问题与差距，重点开展了以下工作：</w:t>
      </w:r>
    </w:p>
    <w:p>
      <w:pPr>
        <w:pStyle w:val="Style13"/>
        <w:keepNext w:val="0"/>
        <w:keepLines w:val="0"/>
        <w:widowControl w:val="0"/>
        <w:shd w:val="clear" w:color="auto" w:fill="auto"/>
        <w:tabs>
          <w:tab w:pos="1638" w:val="left"/>
        </w:tabs>
        <w:bidi w:val="0"/>
        <w:spacing w:before="0" w:after="0" w:line="471" w:lineRule="exact"/>
        <w:ind w:left="800" w:right="740" w:firstLine="460"/>
        <w:jc w:val="both"/>
      </w:pPr>
      <w:bookmarkStart w:id="485" w:name="bookmark485"/>
      <w:r>
        <w:rPr>
          <w:rFonts w:ascii="Times New Roman" w:eastAsia="Times New Roman" w:hAnsi="Times New Roman" w:cs="Times New Roman"/>
          <w:color w:val="000000"/>
          <w:spacing w:val="0"/>
          <w:w w:val="100"/>
          <w:position w:val="0"/>
        </w:rPr>
        <w:t>a</w:t>
      </w:r>
      <w:bookmarkEnd w:id="485"/>
      <w:r>
        <w:rPr>
          <w:color w:val="000000"/>
          <w:spacing w:val="0"/>
          <w:w w:val="100"/>
          <w:position w:val="0"/>
        </w:rPr>
        <w:t>、</w:t>
        <w:tab/>
      </w:r>
      <w:r>
        <w:rPr>
          <w:color w:val="000000"/>
          <w:spacing w:val="0"/>
          <w:w w:val="100"/>
          <w:position w:val="0"/>
        </w:rPr>
        <w:t>进一步加强对销售业务的风险控制管理，完善销售业务风险评估及客户信用管理。重新 梳理并修订公司针对客户信用管理的制度。更深度赋予计划财务部门责任与权力，使其更早介入 客户服务工作，实行动态、全过程参与客户服务，与公司销售部门共同为客户做好服务的同时， 通过事前、事中、事后的持续信用评估，对公司销售工作决策提供依据，最大限度控制资金和业 务风险；</w:t>
      </w:r>
    </w:p>
    <w:p>
      <w:pPr>
        <w:pStyle w:val="Style13"/>
        <w:keepNext w:val="0"/>
        <w:keepLines w:val="0"/>
        <w:widowControl w:val="0"/>
        <w:shd w:val="clear" w:color="auto" w:fill="auto"/>
        <w:tabs>
          <w:tab w:pos="1653" w:val="left"/>
        </w:tabs>
        <w:bidi w:val="0"/>
        <w:spacing w:before="0" w:after="0" w:line="471" w:lineRule="exact"/>
        <w:ind w:left="800" w:right="740" w:firstLine="460"/>
        <w:jc w:val="both"/>
      </w:pPr>
      <w:bookmarkStart w:id="486" w:name="bookmark486"/>
      <w:r>
        <w:rPr>
          <w:rFonts w:ascii="Times New Roman" w:eastAsia="Times New Roman" w:hAnsi="Times New Roman" w:cs="Times New Roman"/>
          <w:color w:val="000000"/>
          <w:spacing w:val="0"/>
          <w:w w:val="100"/>
          <w:position w:val="0"/>
        </w:rPr>
        <w:t>b</w:t>
      </w:r>
      <w:bookmarkEnd w:id="486"/>
      <w:r>
        <w:rPr>
          <w:color w:val="000000"/>
          <w:spacing w:val="0"/>
          <w:w w:val="100"/>
          <w:position w:val="0"/>
        </w:rPr>
        <w:t>、</w:t>
        <w:tab/>
      </w:r>
      <w:r>
        <w:rPr>
          <w:color w:val="000000"/>
          <w:spacing w:val="0"/>
          <w:w w:val="100"/>
          <w:position w:val="0"/>
        </w:rPr>
        <w:t>进一步严格应收款项额度与催收管理。强化公司针对客户应收账款的程制度化、程序化 管理。对于出现逾期的情况，定期发专门文件到公司营销部门，并要求针对这些情况按期限予以 反馈，提出解决措施及时限。除日常催收外，根据谨慎性原则，由计划财务部门依据逾期应收账 款的性质及处理进展，采取有限交易、停止继续交易、联合法务部门、营销部门采取法律措施等;</w:t>
      </w:r>
    </w:p>
    <w:p>
      <w:pPr>
        <w:pStyle w:val="Style13"/>
        <w:keepNext w:val="0"/>
        <w:keepLines w:val="0"/>
        <w:widowControl w:val="0"/>
        <w:shd w:val="clear" w:color="auto" w:fill="auto"/>
        <w:tabs>
          <w:tab w:pos="1662" w:val="left"/>
        </w:tabs>
        <w:bidi w:val="0"/>
        <w:spacing w:before="0" w:after="0" w:line="471" w:lineRule="exact"/>
        <w:ind w:left="800" w:right="0" w:firstLine="460"/>
        <w:jc w:val="both"/>
      </w:pPr>
      <w:bookmarkStart w:id="487" w:name="bookmark487"/>
      <w:r>
        <w:rPr>
          <w:rFonts w:ascii="Times New Roman" w:eastAsia="Times New Roman" w:hAnsi="Times New Roman" w:cs="Times New Roman"/>
          <w:color w:val="000000"/>
          <w:spacing w:val="0"/>
          <w:w w:val="100"/>
          <w:position w:val="0"/>
        </w:rPr>
        <w:t>c</w:t>
      </w:r>
      <w:bookmarkEnd w:id="487"/>
      <w:r>
        <w:rPr>
          <w:color w:val="000000"/>
          <w:spacing w:val="0"/>
          <w:w w:val="100"/>
          <w:position w:val="0"/>
        </w:rPr>
        <w:t>、</w:t>
        <w:tab/>
      </w:r>
      <w:r>
        <w:rPr>
          <w:color w:val="000000"/>
          <w:spacing w:val="0"/>
          <w:w w:val="100"/>
          <w:position w:val="0"/>
        </w:rPr>
        <w:t>进一步完善公司内控制度，强化子公司的风险管控。通过梳理上市公司日常经营中可能 遇到的各种风险，针对子公司不同类别的主营业务特点，将母公司相关管理制度垂直部署到子公 司，明确参照执行的具体要求。督促并检查子公司根据自身实际情况，制定自身的风险防控制度。</w:t>
      </w:r>
    </w:p>
    <w:p>
      <w:pPr>
        <w:pStyle w:val="Style13"/>
        <w:keepNext w:val="0"/>
        <w:keepLines w:val="0"/>
        <w:widowControl w:val="0"/>
        <w:shd w:val="clear" w:color="auto" w:fill="auto"/>
        <w:bidi w:val="0"/>
        <w:spacing w:before="0" w:after="0" w:line="471" w:lineRule="exact"/>
        <w:ind w:left="1260" w:right="0" w:firstLine="0"/>
        <w:jc w:val="both"/>
      </w:pPr>
      <w:r>
        <w:rPr>
          <w:color w:val="000000"/>
          <w:spacing w:val="0"/>
          <w:w w:val="100"/>
          <w:position w:val="0"/>
        </w:rPr>
        <w:t>整改第一责任人：董事长</w:t>
      </w:r>
    </w:p>
    <w:p>
      <w:pPr>
        <w:pStyle w:val="Style13"/>
        <w:keepNext w:val="0"/>
        <w:keepLines w:val="0"/>
        <w:widowControl w:val="0"/>
        <w:shd w:val="clear" w:color="auto" w:fill="auto"/>
        <w:bidi w:val="0"/>
        <w:spacing w:before="0" w:after="0" w:line="471" w:lineRule="exact"/>
        <w:ind w:left="1260" w:right="0" w:firstLine="0"/>
        <w:jc w:val="both"/>
      </w:pPr>
      <w:r>
        <w:rPr>
          <w:color w:val="000000"/>
          <w:spacing w:val="0"/>
          <w:w w:val="100"/>
          <w:position w:val="0"/>
        </w:rPr>
        <w:t>整改负责人：财务总监、董事会秘书</w:t>
      </w:r>
    </w:p>
    <w:p>
      <w:pPr>
        <w:pStyle w:val="Style13"/>
        <w:keepNext w:val="0"/>
        <w:keepLines w:val="0"/>
        <w:widowControl w:val="0"/>
        <w:shd w:val="clear" w:color="auto" w:fill="auto"/>
        <w:bidi w:val="0"/>
        <w:spacing w:before="0" w:after="0" w:line="471" w:lineRule="exact"/>
        <w:ind w:left="1260" w:right="0" w:firstLine="0"/>
        <w:jc w:val="both"/>
      </w:pPr>
      <w:r>
        <w:rPr>
          <w:color w:val="000000"/>
          <w:spacing w:val="0"/>
          <w:w w:val="100"/>
          <w:position w:val="0"/>
        </w:rPr>
        <w:t>主要整改部门：计划财务部、证券事务部</w:t>
      </w:r>
    </w:p>
    <w:p>
      <w:pPr>
        <w:pStyle w:val="Style13"/>
        <w:keepNext w:val="0"/>
        <w:keepLines w:val="0"/>
        <w:widowControl w:val="0"/>
        <w:shd w:val="clear" w:color="auto" w:fill="auto"/>
        <w:bidi w:val="0"/>
        <w:spacing w:before="0" w:after="0" w:line="471" w:lineRule="exact"/>
        <w:ind w:left="1260" w:right="0" w:firstLine="0"/>
        <w:jc w:val="both"/>
      </w:pPr>
      <w:r>
        <w:rPr>
          <w:color w:val="000000"/>
          <w:spacing w:val="0"/>
          <w:w w:val="100"/>
          <w:position w:val="0"/>
        </w:rPr>
        <w:t>参与整改部门及人员：全体管理层、全公司各部门、子公司</w:t>
      </w:r>
    </w:p>
    <w:p>
      <w:pPr>
        <w:pStyle w:val="Style13"/>
        <w:keepNext w:val="0"/>
        <w:keepLines w:val="0"/>
        <w:widowControl w:val="0"/>
        <w:shd w:val="clear" w:color="auto" w:fill="auto"/>
        <w:bidi w:val="0"/>
        <w:spacing w:before="0" w:after="40" w:line="471" w:lineRule="exact"/>
        <w:ind w:left="1260" w:right="0" w:firstLine="0"/>
        <w:jc w:val="both"/>
      </w:pPr>
      <w:r>
        <w:rPr>
          <w:color w:val="000000"/>
          <w:spacing w:val="0"/>
          <w:w w:val="100"/>
          <w:position w:val="0"/>
        </w:rPr>
        <w:t>该项工作已整改。</w:t>
      </w:r>
    </w:p>
    <w:p>
      <w:pPr>
        <w:pStyle w:val="Style37"/>
        <w:keepNext/>
        <w:keepLines/>
        <w:widowControl w:val="0"/>
        <w:shd w:val="clear" w:color="auto" w:fill="auto"/>
        <w:bidi w:val="0"/>
        <w:spacing w:before="0" w:after="0" w:line="471" w:lineRule="exact"/>
        <w:ind w:left="0" w:right="0" w:firstLine="80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2</w:t>
      </w:r>
      <w:bookmarkEnd w:id="490"/>
      <w:r>
        <w:rPr>
          <w:color w:val="000000"/>
          <w:spacing w:val="0"/>
          <w:w w:val="100"/>
          <w:position w:val="0"/>
        </w:rPr>
        <w:t>、持续整改计划与工作</w:t>
      </w:r>
      <w:bookmarkEnd w:id="488"/>
      <w:bookmarkEnd w:id="489"/>
      <w:bookmarkEnd w:id="491"/>
    </w:p>
    <w:p>
      <w:pPr>
        <w:pStyle w:val="Style13"/>
        <w:keepNext w:val="0"/>
        <w:keepLines w:val="0"/>
        <w:widowControl w:val="0"/>
        <w:shd w:val="clear" w:color="auto" w:fill="auto"/>
        <w:bidi w:val="0"/>
        <w:spacing w:before="0" w:after="220" w:line="471" w:lineRule="exact"/>
        <w:ind w:left="1260" w:right="0" w:firstLine="0"/>
        <w:jc w:val="both"/>
      </w:pPr>
      <w:r>
        <w:rPr>
          <w:color w:val="000000"/>
          <w:spacing w:val="0"/>
          <w:w w:val="100"/>
          <w:position w:val="0"/>
        </w:rPr>
        <w:t>根据公司出现的问题，为不断提升公司治理能力，提高规范运作水平，公司下决心做好持续</w:t>
      </w:r>
    </w:p>
    <w:p>
      <w:pPr>
        <w:pStyle w:val="Style13"/>
        <w:keepNext w:val="0"/>
        <w:keepLines w:val="0"/>
        <w:widowControl w:val="0"/>
        <w:shd w:val="clear" w:color="auto" w:fill="auto"/>
        <w:bidi w:val="0"/>
        <w:spacing w:before="0" w:after="0" w:line="240" w:lineRule="auto"/>
        <w:ind w:left="0" w:right="0" w:firstLine="800"/>
        <w:jc w:val="both"/>
      </w:pPr>
      <w:r>
        <w:rPr>
          <w:color w:val="000000"/>
          <w:spacing w:val="0"/>
          <w:w w:val="100"/>
          <w:position w:val="0"/>
        </w:rPr>
        <w:t>改进工作，以促进公司健康发展。</w:t>
      </w:r>
    </w:p>
    <w:p>
      <w:pPr>
        <w:pStyle w:val="Style13"/>
        <w:keepNext w:val="0"/>
        <w:keepLines w:val="0"/>
        <w:widowControl w:val="0"/>
        <w:shd w:val="clear" w:color="auto" w:fill="auto"/>
        <w:tabs>
          <w:tab w:pos="1902" w:val="left"/>
        </w:tabs>
        <w:bidi w:val="0"/>
        <w:spacing w:before="0" w:after="0" w:line="471" w:lineRule="exact"/>
        <w:ind w:left="800" w:right="740" w:firstLine="46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rPr>
        <w:t>1</w:t>
      </w:r>
      <w:r>
        <w:rPr>
          <w:color w:val="000000"/>
          <w:spacing w:val="0"/>
          <w:w w:val="100"/>
          <w:position w:val="0"/>
        </w:rPr>
        <w:t>）</w:t>
        <w:tab/>
        <w:t>全面开展企业合规建设工作。一是组织公司职能部门，根据上市公司可能遇到的各种 风险，并结合公司实际业务情况，全面梳理和识别公司运行所面临的风险，并进行归类分级；二 是启动公司合规建设工作，从法律法规、证监会规章以及交易所规范性文件要求为源头，指导公 司从法人治理、人员管理、业务运行等全方位完善相应的内控制度，并将制度流程化，增加节点 信息与节点控制，杜绝低级错误，规避或降低企业运行风险。</w:t>
      </w:r>
    </w:p>
    <w:p>
      <w:pPr>
        <w:pStyle w:val="Style13"/>
        <w:keepNext w:val="0"/>
        <w:keepLines w:val="0"/>
        <w:widowControl w:val="0"/>
        <w:shd w:val="clear" w:color="auto" w:fill="auto"/>
        <w:tabs>
          <w:tab w:pos="1902" w:val="left"/>
        </w:tabs>
        <w:bidi w:val="0"/>
        <w:spacing w:before="0" w:after="0" w:line="471" w:lineRule="exact"/>
        <w:ind w:left="800" w:right="740" w:firstLine="460"/>
        <w:jc w:val="both"/>
      </w:pPr>
      <w:bookmarkStart w:id="493" w:name="bookmark493"/>
      <w:r>
        <w:rPr>
          <w:color w:val="000000"/>
          <w:spacing w:val="0"/>
          <w:w w:val="100"/>
          <w:position w:val="0"/>
        </w:rPr>
        <w:t>（</w:t>
      </w:r>
      <w:bookmarkEnd w:id="493"/>
      <w:r>
        <w:rPr>
          <w:rFonts w:ascii="Times New Roman" w:eastAsia="Times New Roman" w:hAnsi="Times New Roman" w:cs="Times New Roman"/>
          <w:color w:val="000000"/>
          <w:spacing w:val="0"/>
          <w:w w:val="100"/>
          <w:position w:val="0"/>
        </w:rPr>
        <w:t>2</w:t>
      </w:r>
      <w:r>
        <w:rPr>
          <w:color w:val="000000"/>
          <w:spacing w:val="0"/>
          <w:w w:val="100"/>
          <w:position w:val="0"/>
        </w:rPr>
        <w:t>）</w:t>
        <w:tab/>
        <w:t>加强公司内部审计工作。一是有针对性地对公司投资管理制度、子公司管理制度、资 金支付制度、销售管理制度进行定期专项审计，通过内部审计，及时发现问题，提出整改意见， 并敦促改善落实；二是加强制度审计、流程审计、项目后评价工作，根据发现的问题，及时对制 度、流程进行调整与完善。</w:t>
      </w:r>
    </w:p>
    <w:p>
      <w:pPr>
        <w:pStyle w:val="Style13"/>
        <w:keepNext w:val="0"/>
        <w:keepLines w:val="0"/>
        <w:widowControl w:val="0"/>
        <w:shd w:val="clear" w:color="auto" w:fill="auto"/>
        <w:tabs>
          <w:tab w:pos="1902" w:val="left"/>
        </w:tabs>
        <w:bidi w:val="0"/>
        <w:spacing w:before="0" w:after="0" w:line="471" w:lineRule="exact"/>
        <w:ind w:left="800" w:right="740" w:firstLine="460"/>
        <w:jc w:val="both"/>
      </w:pPr>
      <w:bookmarkStart w:id="494" w:name="bookmark494"/>
      <w:r>
        <w:rPr>
          <w:color w:val="000000"/>
          <w:spacing w:val="0"/>
          <w:w w:val="100"/>
          <w:position w:val="0"/>
        </w:rPr>
        <w:t>（</w:t>
      </w:r>
      <w:bookmarkEnd w:id="494"/>
      <w:r>
        <w:rPr>
          <w:rFonts w:ascii="Times New Roman" w:eastAsia="Times New Roman" w:hAnsi="Times New Roman" w:cs="Times New Roman"/>
          <w:color w:val="000000"/>
          <w:spacing w:val="0"/>
          <w:w w:val="100"/>
          <w:position w:val="0"/>
        </w:rPr>
        <w:t>3</w:t>
      </w:r>
      <w:r>
        <w:rPr>
          <w:color w:val="000000"/>
          <w:spacing w:val="0"/>
          <w:w w:val="100"/>
          <w:position w:val="0"/>
        </w:rPr>
        <w:t>）</w:t>
        <w:tab/>
        <w:t>更加努力做好股东大会、董事会、监事会以及管理层的工作。修订董事会、监事会以 及总经理的工作制度，定期开展内部对照检查，根据出现的问题，定期内部持续改进，形成更加 有效的、风险可控的科学决策流程。</w:t>
      </w:r>
    </w:p>
    <w:p>
      <w:pPr>
        <w:pStyle w:val="Style13"/>
        <w:keepNext w:val="0"/>
        <w:keepLines w:val="0"/>
        <w:widowControl w:val="0"/>
        <w:shd w:val="clear" w:color="auto" w:fill="auto"/>
        <w:tabs>
          <w:tab w:pos="1902" w:val="left"/>
        </w:tabs>
        <w:bidi w:val="0"/>
        <w:spacing w:before="0" w:after="0" w:line="471" w:lineRule="exact"/>
        <w:ind w:left="800" w:right="740" w:firstLine="460"/>
        <w:jc w:val="both"/>
      </w:pPr>
      <w:bookmarkStart w:id="495" w:name="bookmark495"/>
      <w:r>
        <w:rPr>
          <w:color w:val="000000"/>
          <w:spacing w:val="0"/>
          <w:w w:val="100"/>
          <w:position w:val="0"/>
        </w:rPr>
        <w:t>（</w:t>
      </w:r>
      <w:bookmarkEnd w:id="495"/>
      <w:r>
        <w:rPr>
          <w:rFonts w:ascii="Times New Roman" w:eastAsia="Times New Roman" w:hAnsi="Times New Roman" w:cs="Times New Roman"/>
          <w:color w:val="000000"/>
          <w:spacing w:val="0"/>
          <w:w w:val="100"/>
          <w:position w:val="0"/>
        </w:rPr>
        <w:t>4</w:t>
      </w:r>
      <w:r>
        <w:rPr>
          <w:color w:val="000000"/>
          <w:spacing w:val="0"/>
          <w:w w:val="100"/>
          <w:position w:val="0"/>
        </w:rPr>
        <w:t>）</w:t>
        <w:tab/>
        <w:t>持续提高公司董事会、监事会、管理层、部门负责人以及关键岗位的法律意识、合规 意识、责任意识、风险意识，制定年度培训考核计划，着力解决执行不力、监督失控的问题，严 格按照相关法律法规落实公司的内部控制制度。</w:t>
      </w:r>
    </w:p>
    <w:p>
      <w:pPr>
        <w:pStyle w:val="Style13"/>
        <w:keepNext w:val="0"/>
        <w:keepLines w:val="0"/>
        <w:widowControl w:val="0"/>
        <w:shd w:val="clear" w:color="auto" w:fill="auto"/>
        <w:tabs>
          <w:tab w:pos="1878" w:val="left"/>
        </w:tabs>
        <w:bidi w:val="0"/>
        <w:spacing w:before="0" w:after="0" w:line="471" w:lineRule="exact"/>
        <w:ind w:left="800" w:right="0" w:firstLine="460"/>
        <w:jc w:val="both"/>
      </w:pPr>
      <w:bookmarkStart w:id="496" w:name="bookmark496"/>
      <w:r>
        <w:rPr>
          <w:color w:val="000000"/>
          <w:spacing w:val="0"/>
          <w:w w:val="100"/>
          <w:position w:val="0"/>
        </w:rPr>
        <w:t>（</w:t>
      </w:r>
      <w:bookmarkEnd w:id="496"/>
      <w:r>
        <w:rPr>
          <w:rFonts w:ascii="Times New Roman" w:eastAsia="Times New Roman" w:hAnsi="Times New Roman" w:cs="Times New Roman"/>
          <w:color w:val="000000"/>
          <w:spacing w:val="0"/>
          <w:w w:val="100"/>
          <w:position w:val="0"/>
        </w:rPr>
        <w:t>5</w:t>
      </w:r>
      <w:r>
        <w:rPr>
          <w:color w:val="000000"/>
          <w:spacing w:val="0"/>
          <w:w w:val="100"/>
          <w:position w:val="0"/>
        </w:rPr>
        <w:t>）</w:t>
        <w:tab/>
        <w:t>落实责任追究机制。公司将进一步明确全体董事、监事、高级管理人员及相关职能部 门负责人在各类重大事项决策、实施、信息披露工作中应承担的责任和义务。</w:t>
      </w:r>
    </w:p>
    <w:p>
      <w:pPr>
        <w:pStyle w:val="Style13"/>
        <w:keepNext w:val="0"/>
        <w:keepLines w:val="0"/>
        <w:widowControl w:val="0"/>
        <w:shd w:val="clear" w:color="auto" w:fill="auto"/>
        <w:bidi w:val="0"/>
        <w:spacing w:before="0" w:after="0" w:line="471" w:lineRule="exact"/>
        <w:ind w:left="1260" w:right="0" w:firstLine="0"/>
        <w:jc w:val="both"/>
      </w:pPr>
      <w:r>
        <w:rPr>
          <w:color w:val="000000"/>
          <w:spacing w:val="0"/>
          <w:w w:val="100"/>
          <w:position w:val="0"/>
        </w:rPr>
        <w:t>持续整改第一责任人：董事长</w:t>
      </w:r>
    </w:p>
    <w:p>
      <w:pPr>
        <w:pStyle w:val="Style13"/>
        <w:keepNext w:val="0"/>
        <w:keepLines w:val="0"/>
        <w:widowControl w:val="0"/>
        <w:shd w:val="clear" w:color="auto" w:fill="auto"/>
        <w:bidi w:val="0"/>
        <w:spacing w:before="0" w:after="0" w:line="471" w:lineRule="exact"/>
        <w:ind w:left="1260" w:right="0" w:firstLine="0"/>
        <w:jc w:val="both"/>
      </w:pPr>
      <w:r>
        <w:rPr>
          <w:color w:val="000000"/>
          <w:spacing w:val="0"/>
          <w:w w:val="100"/>
          <w:position w:val="0"/>
        </w:rPr>
        <w:t>持续整改负责人：全体董事、监事、高级管理人员</w:t>
      </w:r>
    </w:p>
    <w:p>
      <w:pPr>
        <w:pStyle w:val="Style13"/>
        <w:keepNext w:val="0"/>
        <w:keepLines w:val="0"/>
        <w:widowControl w:val="0"/>
        <w:shd w:val="clear" w:color="auto" w:fill="auto"/>
        <w:bidi w:val="0"/>
        <w:spacing w:before="0" w:after="0" w:line="471" w:lineRule="exact"/>
        <w:ind w:left="1260" w:right="0" w:firstLine="0"/>
        <w:jc w:val="both"/>
      </w:pPr>
      <w:r>
        <w:rPr>
          <w:color w:val="000000"/>
          <w:spacing w:val="0"/>
          <w:w w:val="100"/>
          <w:position w:val="0"/>
        </w:rPr>
        <w:t>持续整改部门：公司全部部门、子公司</w:t>
      </w:r>
    </w:p>
    <w:p>
      <w:pPr>
        <w:pStyle w:val="Style13"/>
        <w:keepNext w:val="0"/>
        <w:keepLines w:val="0"/>
        <w:widowControl w:val="0"/>
        <w:shd w:val="clear" w:color="auto" w:fill="auto"/>
        <w:bidi w:val="0"/>
        <w:spacing w:before="0" w:after="0" w:line="471" w:lineRule="exact"/>
        <w:ind w:left="1260" w:right="0" w:firstLine="0"/>
        <w:jc w:val="both"/>
      </w:pPr>
      <w:r>
        <w:rPr>
          <w:color w:val="000000"/>
          <w:spacing w:val="0"/>
          <w:w w:val="100"/>
          <w:position w:val="0"/>
        </w:rPr>
        <w:t>持续整改责任部门：证券事务部、法务部、计划财务部</w:t>
      </w:r>
    </w:p>
    <w:p>
      <w:pPr>
        <w:pStyle w:val="Style13"/>
        <w:keepNext w:val="0"/>
        <w:keepLines w:val="0"/>
        <w:widowControl w:val="0"/>
        <w:shd w:val="clear" w:color="auto" w:fill="auto"/>
        <w:bidi w:val="0"/>
        <w:spacing w:before="0" w:after="0" w:line="471" w:lineRule="exact"/>
        <w:ind w:left="1260" w:right="0" w:firstLine="0"/>
        <w:jc w:val="both"/>
      </w:pPr>
      <w:r>
        <w:rPr>
          <w:color w:val="000000"/>
          <w:spacing w:val="0"/>
          <w:w w:val="100"/>
          <w:position w:val="0"/>
        </w:rPr>
        <w:t>持续整改计划将长期执行。</w:t>
      </w:r>
    </w:p>
    <w:p>
      <w:pPr>
        <w:pStyle w:val="Style13"/>
        <w:keepNext w:val="0"/>
        <w:keepLines w:val="0"/>
        <w:widowControl w:val="0"/>
        <w:shd w:val="clear" w:color="auto" w:fill="auto"/>
        <w:bidi w:val="0"/>
        <w:spacing w:before="0" w:after="60" w:line="471" w:lineRule="exact"/>
        <w:ind w:left="0" w:right="0" w:firstLine="800"/>
        <w:jc w:val="both"/>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p>
    <w:p>
      <w:pPr>
        <w:pStyle w:val="Style13"/>
        <w:keepNext w:val="0"/>
        <w:keepLines w:val="0"/>
        <w:widowControl w:val="0"/>
        <w:shd w:val="clear" w:color="auto" w:fill="auto"/>
        <w:bidi w:val="0"/>
        <w:spacing w:before="0" w:after="180" w:line="471" w:lineRule="exact"/>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after="240" w:line="471" w:lineRule="exact"/>
        <w:ind w:left="0" w:right="0" w:firstLine="800"/>
        <w:jc w:val="both"/>
      </w:pPr>
      <w:bookmarkStart w:id="497" w:name="bookmark497"/>
      <w:bookmarkStart w:id="498" w:name="bookmark498"/>
      <w:bookmarkStart w:id="499" w:name="bookmark499"/>
      <w:r>
        <w:rPr>
          <w:color w:val="000000"/>
          <w:spacing w:val="0"/>
          <w:w w:val="100"/>
          <w:position w:val="0"/>
        </w:rPr>
        <w:t>十三、公司及其控股股东、实际控制人的诚信状况</w:t>
      </w:r>
      <w:bookmarkEnd w:id="497"/>
      <w:bookmarkEnd w:id="498"/>
      <w:bookmarkEnd w:id="499"/>
    </w:p>
    <w:p>
      <w:pPr>
        <w:pStyle w:val="Style13"/>
        <w:keepNext w:val="0"/>
        <w:keepLines w:val="0"/>
        <w:widowControl w:val="0"/>
        <w:shd w:val="clear" w:color="auto" w:fill="auto"/>
        <w:bidi w:val="0"/>
        <w:spacing w:before="0" w:after="120" w:line="471" w:lineRule="exact"/>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360" w:line="240" w:lineRule="auto"/>
        <w:ind w:left="0" w:right="0" w:firstLine="780"/>
        <w:jc w:val="left"/>
      </w:pPr>
      <w:r>
        <w:rPr>
          <w:b/>
          <w:bCs/>
          <w:color w:val="000000"/>
          <w:spacing w:val="0"/>
          <w:w w:val="100"/>
          <w:position w:val="0"/>
        </w:rPr>
        <w:t>十四、重大关联交易</w:t>
      </w:r>
    </w:p>
    <w:p>
      <w:pPr>
        <w:pStyle w:val="Style37"/>
        <w:keepNext/>
        <w:keepLines/>
        <w:widowControl w:val="0"/>
        <w:shd w:val="clear" w:color="auto" w:fill="auto"/>
        <w:tabs>
          <w:tab w:pos="1158" w:val="left"/>
        </w:tabs>
        <w:bidi w:val="0"/>
        <w:spacing w:before="0" w:after="420" w:line="240" w:lineRule="auto"/>
        <w:ind w:left="0" w:right="0" w:firstLine="78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w:t>
        <w:tab/>
        <w:t>与日常经营相关的关联交易</w:t>
      </w:r>
      <w:bookmarkEnd w:id="500"/>
      <w:bookmarkEnd w:id="501"/>
      <w:bookmarkEnd w:id="503"/>
    </w:p>
    <w:p>
      <w:pPr>
        <w:pStyle w:val="Style13"/>
        <w:keepNext w:val="0"/>
        <w:keepLines w:val="0"/>
        <w:widowControl w:val="0"/>
        <w:shd w:val="clear" w:color="auto" w:fill="auto"/>
        <w:bidi w:val="0"/>
        <w:spacing w:before="0" w:after="24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20" w:line="240" w:lineRule="auto"/>
        <w:ind w:left="0" w:right="0" w:firstLine="780"/>
        <w:jc w:val="left"/>
      </w:pPr>
      <w:r>
        <w:rPr>
          <w:color w:val="000000"/>
          <w:spacing w:val="0"/>
          <w:w w:val="100"/>
          <w:position w:val="0"/>
        </w:rPr>
        <w:t>公司报告期未发生与日常经营相关的关联交易。</w:t>
      </w:r>
    </w:p>
    <w:p>
      <w:pPr>
        <w:pStyle w:val="Style37"/>
        <w:keepNext/>
        <w:keepLines/>
        <w:widowControl w:val="0"/>
        <w:shd w:val="clear" w:color="auto" w:fill="auto"/>
        <w:tabs>
          <w:tab w:pos="1172" w:val="left"/>
        </w:tabs>
        <w:bidi w:val="0"/>
        <w:spacing w:before="0" w:after="420" w:line="240" w:lineRule="auto"/>
        <w:ind w:left="0" w:right="0" w:firstLine="78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w:t>
        <w:tab/>
        <w:t>资产或股权收购、出售发生的关联交易</w:t>
      </w:r>
      <w:bookmarkEnd w:id="504"/>
      <w:bookmarkEnd w:id="505"/>
      <w:bookmarkEnd w:id="507"/>
    </w:p>
    <w:p>
      <w:pPr>
        <w:pStyle w:val="Style13"/>
        <w:keepNext w:val="0"/>
        <w:keepLines w:val="0"/>
        <w:widowControl w:val="0"/>
        <w:shd w:val="clear" w:color="auto" w:fill="auto"/>
        <w:bidi w:val="0"/>
        <w:spacing w:before="0" w:after="42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1172" w:val="left"/>
        </w:tabs>
        <w:bidi w:val="0"/>
        <w:spacing w:before="0" w:after="420" w:line="240" w:lineRule="auto"/>
        <w:ind w:left="0" w:right="0" w:firstLine="78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共同对外投资的关联交易</w:t>
      </w:r>
      <w:bookmarkEnd w:id="508"/>
      <w:bookmarkEnd w:id="509"/>
      <w:bookmarkEnd w:id="511"/>
    </w:p>
    <w:p>
      <w:pPr>
        <w:pStyle w:val="Style13"/>
        <w:keepNext w:val="0"/>
        <w:keepLines w:val="0"/>
        <w:widowControl w:val="0"/>
        <w:shd w:val="clear" w:color="auto" w:fill="auto"/>
        <w:bidi w:val="0"/>
        <w:spacing w:before="0" w:after="24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20" w:line="240" w:lineRule="auto"/>
        <w:ind w:left="0" w:right="0" w:firstLine="78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1172" w:val="left"/>
        </w:tabs>
        <w:bidi w:val="0"/>
        <w:spacing w:before="0" w:after="420" w:line="240" w:lineRule="auto"/>
        <w:ind w:left="0" w:right="0" w:firstLine="78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4</w:t>
      </w:r>
      <w:bookmarkEnd w:id="514"/>
      <w:r>
        <w:rPr>
          <w:color w:val="000000"/>
          <w:spacing w:val="0"/>
          <w:w w:val="100"/>
          <w:position w:val="0"/>
        </w:rPr>
        <w:t>、</w:t>
        <w:tab/>
        <w:t>关联债权债务往来</w:t>
      </w:r>
      <w:bookmarkEnd w:id="512"/>
      <w:bookmarkEnd w:id="513"/>
      <w:bookmarkEnd w:id="515"/>
    </w:p>
    <w:p>
      <w:pPr>
        <w:pStyle w:val="Style13"/>
        <w:keepNext w:val="0"/>
        <w:keepLines w:val="0"/>
        <w:widowControl w:val="0"/>
        <w:shd w:val="clear" w:color="auto" w:fill="auto"/>
        <w:bidi w:val="0"/>
        <w:spacing w:before="0" w:after="24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20" w:line="240" w:lineRule="auto"/>
        <w:ind w:left="0" w:right="0" w:firstLine="780"/>
        <w:jc w:val="left"/>
      </w:pPr>
      <w:r>
        <w:rPr>
          <w:color w:val="000000"/>
          <w:spacing w:val="0"/>
          <w:w w:val="100"/>
          <w:position w:val="0"/>
        </w:rPr>
        <w:t>公司报告期不存在关联债权债务往来。</w:t>
      </w:r>
    </w:p>
    <w:p>
      <w:pPr>
        <w:pStyle w:val="Style37"/>
        <w:keepNext/>
        <w:keepLines/>
        <w:widowControl w:val="0"/>
        <w:shd w:val="clear" w:color="auto" w:fill="auto"/>
        <w:tabs>
          <w:tab w:pos="1172" w:val="left"/>
        </w:tabs>
        <w:bidi w:val="0"/>
        <w:spacing w:before="0" w:after="420" w:line="240" w:lineRule="auto"/>
        <w:ind w:left="0" w:right="0" w:firstLine="78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5</w:t>
      </w:r>
      <w:bookmarkEnd w:id="518"/>
      <w:r>
        <w:rPr>
          <w:color w:val="000000"/>
          <w:spacing w:val="0"/>
          <w:w w:val="100"/>
          <w:position w:val="0"/>
        </w:rPr>
        <w:t>、</w:t>
        <w:tab/>
        <w:t>与存在关联关系的财务公司的往来情况</w:t>
      </w:r>
      <w:bookmarkEnd w:id="516"/>
      <w:bookmarkEnd w:id="517"/>
      <w:bookmarkEnd w:id="519"/>
    </w:p>
    <w:p>
      <w:pPr>
        <w:pStyle w:val="Style13"/>
        <w:keepNext w:val="0"/>
        <w:keepLines w:val="0"/>
        <w:widowControl w:val="0"/>
        <w:shd w:val="clear" w:color="auto" w:fill="auto"/>
        <w:bidi w:val="0"/>
        <w:spacing w:before="0" w:after="24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20" w:line="240" w:lineRule="auto"/>
        <w:ind w:left="0" w:right="0" w:firstLine="780"/>
        <w:jc w:val="left"/>
      </w:pPr>
      <w:r>
        <w:rPr>
          <w:color w:val="000000"/>
          <w:spacing w:val="0"/>
          <w:w w:val="100"/>
          <w:position w:val="0"/>
        </w:rPr>
        <w:t>公司与存在关联关系的财务公司与关联方之间不存在存款、贷款、授信或其他金融业务。</w:t>
      </w:r>
    </w:p>
    <w:p>
      <w:pPr>
        <w:pStyle w:val="Style37"/>
        <w:keepNext/>
        <w:keepLines/>
        <w:widowControl w:val="0"/>
        <w:shd w:val="clear" w:color="auto" w:fill="auto"/>
        <w:tabs>
          <w:tab w:pos="1172" w:val="left"/>
        </w:tabs>
        <w:bidi w:val="0"/>
        <w:spacing w:before="0" w:after="420" w:line="240" w:lineRule="auto"/>
        <w:ind w:left="0" w:right="0" w:firstLine="78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6</w:t>
      </w:r>
      <w:bookmarkEnd w:id="522"/>
      <w:r>
        <w:rPr>
          <w:color w:val="000000"/>
          <w:spacing w:val="0"/>
          <w:w w:val="100"/>
          <w:position w:val="0"/>
        </w:rPr>
        <w:t>、</w:t>
        <w:tab/>
        <w:t>公司控股的财务公司与关联方的往来情况</w:t>
      </w:r>
      <w:bookmarkEnd w:id="520"/>
      <w:bookmarkEnd w:id="521"/>
      <w:bookmarkEnd w:id="523"/>
    </w:p>
    <w:p>
      <w:pPr>
        <w:pStyle w:val="Style13"/>
        <w:keepNext w:val="0"/>
        <w:keepLines w:val="0"/>
        <w:widowControl w:val="0"/>
        <w:shd w:val="clear" w:color="auto" w:fill="auto"/>
        <w:bidi w:val="0"/>
        <w:spacing w:before="0" w:after="24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20" w:line="240" w:lineRule="auto"/>
        <w:ind w:left="0" w:right="0" w:firstLine="780"/>
        <w:jc w:val="left"/>
      </w:pPr>
      <w:r>
        <w:rPr>
          <w:color w:val="000000"/>
          <w:spacing w:val="0"/>
          <w:w w:val="100"/>
          <w:position w:val="0"/>
        </w:rPr>
        <w:t>公司控股的财务公司与关联方之间不存在存款、贷款、授信或其他金融业务。</w:t>
      </w:r>
    </w:p>
    <w:p>
      <w:pPr>
        <w:pStyle w:val="Style37"/>
        <w:keepNext/>
        <w:keepLines/>
        <w:widowControl w:val="0"/>
        <w:shd w:val="clear" w:color="auto" w:fill="auto"/>
        <w:tabs>
          <w:tab w:pos="1172" w:val="left"/>
        </w:tabs>
        <w:bidi w:val="0"/>
        <w:spacing w:before="0" w:after="420" w:line="240" w:lineRule="auto"/>
        <w:ind w:left="0" w:right="0" w:firstLine="78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7</w:t>
      </w:r>
      <w:bookmarkEnd w:id="526"/>
      <w:r>
        <w:rPr>
          <w:color w:val="000000"/>
          <w:spacing w:val="0"/>
          <w:w w:val="100"/>
          <w:position w:val="0"/>
        </w:rPr>
        <w:t>、</w:t>
        <w:tab/>
        <w:t>其他重大关联交易</w:t>
      </w:r>
      <w:bookmarkEnd w:id="524"/>
      <w:bookmarkEnd w:id="525"/>
      <w:bookmarkEnd w:id="527"/>
    </w:p>
    <w:p>
      <w:pPr>
        <w:pStyle w:val="Style13"/>
        <w:keepNext w:val="0"/>
        <w:keepLines w:val="0"/>
        <w:widowControl w:val="0"/>
        <w:shd w:val="clear" w:color="auto" w:fill="auto"/>
        <w:bidi w:val="0"/>
        <w:spacing w:before="0" w:after="240" w:line="240" w:lineRule="auto"/>
        <w:ind w:left="0" w:right="0" w:firstLine="7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780"/>
        <w:jc w:val="both"/>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关于公司签订《技术开发合同》暨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bl>
    <w:tbl>
      <w:tblPr>
        <w:tblOverlap w:val="never"/>
        <w:jc w:val="center"/>
        <w:tblLayout w:type="fixed"/>
      </w:tblPr>
      <w:tblGrid>
        <w:gridCol w:w="3466"/>
        <w:gridCol w:w="2650"/>
        <w:gridCol w:w="3470"/>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关联交易的公告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780"/>
        <w:jc w:val="left"/>
      </w:pPr>
      <w:bookmarkStart w:id="528" w:name="bookmark528"/>
      <w:bookmarkStart w:id="529" w:name="bookmark529"/>
      <w:bookmarkStart w:id="530" w:name="bookmark530"/>
      <w:r>
        <w:rPr>
          <w:color w:val="000000"/>
          <w:spacing w:val="0"/>
          <w:w w:val="100"/>
          <w:position w:val="0"/>
        </w:rPr>
        <w:t>十五、重大合同及其履行情况</w:t>
      </w:r>
      <w:bookmarkEnd w:id="528"/>
      <w:bookmarkEnd w:id="529"/>
      <w:bookmarkEnd w:id="530"/>
    </w:p>
    <w:p>
      <w:pPr>
        <w:pStyle w:val="Style13"/>
        <w:keepNext w:val="0"/>
        <w:keepLines w:val="0"/>
        <w:widowControl w:val="0"/>
        <w:shd w:val="clear" w:color="auto" w:fill="auto"/>
        <w:bidi w:val="0"/>
        <w:spacing w:before="0" w:after="340" w:line="240" w:lineRule="auto"/>
        <w:ind w:left="0" w:right="0" w:firstLine="780"/>
        <w:jc w:val="left"/>
      </w:pPr>
      <w:bookmarkStart w:id="531" w:name="bookmark531"/>
      <w:r>
        <w:rPr>
          <w:rFonts w:ascii="Times New Roman" w:eastAsia="Times New Roman" w:hAnsi="Times New Roman" w:cs="Times New Roman"/>
          <w:b/>
          <w:bCs/>
          <w:color w:val="000000"/>
          <w:spacing w:val="0"/>
          <w:w w:val="100"/>
          <w:position w:val="0"/>
        </w:rPr>
        <w:t>1</w:t>
      </w:r>
      <w:bookmarkEnd w:id="531"/>
      <w:r>
        <w:rPr>
          <w:b/>
          <w:bCs/>
          <w:color w:val="000000"/>
          <w:spacing w:val="0"/>
          <w:w w:val="100"/>
          <w:position w:val="0"/>
        </w:rPr>
        <w:t>、托管、承包、租赁事项情况</w:t>
      </w:r>
    </w:p>
    <w:p>
      <w:pPr>
        <w:pStyle w:val="Style13"/>
        <w:keepNext w:val="0"/>
        <w:keepLines w:val="0"/>
        <w:widowControl w:val="0"/>
        <w:shd w:val="clear" w:color="auto" w:fill="auto"/>
        <w:tabs>
          <w:tab w:pos="1273" w:val="left"/>
        </w:tabs>
        <w:bidi w:val="0"/>
        <w:spacing w:before="0" w:after="440" w:line="240" w:lineRule="auto"/>
        <w:ind w:left="0" w:right="0" w:firstLine="780"/>
        <w:jc w:val="left"/>
        <w:rPr>
          <w:sz w:val="20"/>
          <w:szCs w:val="20"/>
        </w:rPr>
      </w:pPr>
      <w:bookmarkStart w:id="532" w:name="bookmark532"/>
      <w:r>
        <w:rPr>
          <w:b/>
          <w:bCs/>
          <w:color w:val="000000"/>
          <w:spacing w:val="0"/>
          <w:w w:val="100"/>
          <w:position w:val="0"/>
          <w:sz w:val="20"/>
          <w:szCs w:val="20"/>
        </w:rPr>
        <w:t>（</w:t>
      </w:r>
      <w:bookmarkEnd w:id="53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托管情况</w:t>
      </w:r>
    </w:p>
    <w:p>
      <w:pPr>
        <w:pStyle w:val="Style13"/>
        <w:keepNext w:val="0"/>
        <w:keepLines w:val="0"/>
        <w:widowControl w:val="0"/>
        <w:shd w:val="clear" w:color="auto" w:fill="auto"/>
        <w:bidi w:val="0"/>
        <w:spacing w:before="0" w:after="24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40" w:line="240" w:lineRule="auto"/>
        <w:ind w:left="0" w:right="0" w:firstLine="780"/>
        <w:jc w:val="left"/>
      </w:pPr>
      <w:r>
        <w:rPr>
          <w:color w:val="000000"/>
          <w:spacing w:val="0"/>
          <w:w w:val="100"/>
          <w:position w:val="0"/>
        </w:rPr>
        <w:t>公司报告期不存在托管情况。</w:t>
      </w:r>
    </w:p>
    <w:p>
      <w:pPr>
        <w:pStyle w:val="Style13"/>
        <w:keepNext w:val="0"/>
        <w:keepLines w:val="0"/>
        <w:widowControl w:val="0"/>
        <w:shd w:val="clear" w:color="auto" w:fill="auto"/>
        <w:tabs>
          <w:tab w:pos="1273" w:val="left"/>
        </w:tabs>
        <w:bidi w:val="0"/>
        <w:spacing w:before="0" w:after="440" w:line="240" w:lineRule="auto"/>
        <w:ind w:left="0" w:right="0" w:firstLine="780"/>
        <w:jc w:val="left"/>
        <w:rPr>
          <w:sz w:val="20"/>
          <w:szCs w:val="20"/>
        </w:rPr>
      </w:pPr>
      <w:bookmarkStart w:id="533" w:name="bookmark533"/>
      <w:r>
        <w:rPr>
          <w:b/>
          <w:bCs/>
          <w:color w:val="000000"/>
          <w:spacing w:val="0"/>
          <w:w w:val="100"/>
          <w:position w:val="0"/>
          <w:sz w:val="20"/>
          <w:szCs w:val="20"/>
        </w:rPr>
        <w:t>（</w:t>
      </w:r>
      <w:bookmarkEnd w:id="53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承包情况</w:t>
      </w:r>
    </w:p>
    <w:p>
      <w:pPr>
        <w:pStyle w:val="Style13"/>
        <w:keepNext w:val="0"/>
        <w:keepLines w:val="0"/>
        <w:widowControl w:val="0"/>
        <w:shd w:val="clear" w:color="auto" w:fill="auto"/>
        <w:bidi w:val="0"/>
        <w:spacing w:before="0" w:after="24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40" w:line="240" w:lineRule="auto"/>
        <w:ind w:left="0" w:right="0" w:firstLine="780"/>
        <w:jc w:val="left"/>
      </w:pPr>
      <w:r>
        <w:rPr>
          <w:color w:val="000000"/>
          <w:spacing w:val="0"/>
          <w:w w:val="100"/>
          <w:position w:val="0"/>
        </w:rPr>
        <w:t>公司报告期不存在承包情况。</w:t>
      </w:r>
    </w:p>
    <w:p>
      <w:pPr>
        <w:pStyle w:val="Style13"/>
        <w:keepNext w:val="0"/>
        <w:keepLines w:val="0"/>
        <w:widowControl w:val="0"/>
        <w:shd w:val="clear" w:color="auto" w:fill="auto"/>
        <w:tabs>
          <w:tab w:pos="1273" w:val="left"/>
        </w:tabs>
        <w:bidi w:val="0"/>
        <w:spacing w:before="0" w:after="440" w:line="240" w:lineRule="auto"/>
        <w:ind w:left="0" w:right="0" w:firstLine="780"/>
        <w:jc w:val="left"/>
        <w:rPr>
          <w:sz w:val="20"/>
          <w:szCs w:val="20"/>
        </w:rPr>
      </w:pPr>
      <w:bookmarkStart w:id="534" w:name="bookmark534"/>
      <w:r>
        <w:rPr>
          <w:b/>
          <w:bCs/>
          <w:color w:val="000000"/>
          <w:spacing w:val="0"/>
          <w:w w:val="100"/>
          <w:position w:val="0"/>
          <w:sz w:val="20"/>
          <w:szCs w:val="20"/>
        </w:rPr>
        <w:t>（</w:t>
      </w:r>
      <w:bookmarkEnd w:id="53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租赁情况</w:t>
      </w:r>
    </w:p>
    <w:p>
      <w:pPr>
        <w:pStyle w:val="Style13"/>
        <w:keepNext w:val="0"/>
        <w:keepLines w:val="0"/>
        <w:widowControl w:val="0"/>
        <w:shd w:val="clear" w:color="auto" w:fill="auto"/>
        <w:bidi w:val="0"/>
        <w:spacing w:before="0" w:after="240" w:line="240" w:lineRule="auto"/>
        <w:ind w:left="0" w:right="0" w:firstLine="7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780"/>
        <w:jc w:val="left"/>
      </w:pPr>
      <w:r>
        <w:rPr>
          <w:color w:val="000000"/>
          <w:spacing w:val="0"/>
          <w:w w:val="100"/>
          <w:position w:val="0"/>
        </w:rPr>
        <w:t>租赁情况说明</w:t>
      </w:r>
    </w:p>
    <w:tbl>
      <w:tblPr>
        <w:tblOverlap w:val="never"/>
        <w:jc w:val="center"/>
        <w:tblLayout w:type="fixed"/>
      </w:tblPr>
      <w:tblGrid>
        <w:gridCol w:w="566"/>
        <w:gridCol w:w="3264"/>
        <w:gridCol w:w="2410"/>
        <w:gridCol w:w="2126"/>
        <w:gridCol w:w="1282"/>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序 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租赁房产地址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物业用途</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出租面积</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（平方米）</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left"/>
              <w:rPr>
                <w:sz w:val="20"/>
                <w:szCs w:val="20"/>
              </w:rPr>
            </w:pPr>
            <w:r>
              <w:rPr>
                <w:color w:val="000000"/>
                <w:spacing w:val="0"/>
                <w:w w:val="100"/>
                <w:position w:val="0"/>
                <w:sz w:val="20"/>
                <w:szCs w:val="20"/>
              </w:rPr>
              <w:t>深圳市南山区高新区高新中三 道软件园一期</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栋</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国民技术股份有限公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1,584.55</w:t>
            </w:r>
          </w:p>
        </w:tc>
      </w:tr>
      <w:tr>
        <w:trPr>
          <w:trHeight w:val="10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8" w:lineRule="exact"/>
              <w:ind w:left="0" w:right="0" w:firstLine="0"/>
              <w:jc w:val="left"/>
              <w:rPr>
                <w:sz w:val="20"/>
                <w:szCs w:val="20"/>
              </w:rPr>
            </w:pPr>
            <w:r>
              <w:rPr>
                <w:color w:val="000000"/>
                <w:spacing w:val="0"/>
                <w:w w:val="100"/>
                <w:position w:val="0"/>
                <w:sz w:val="20"/>
                <w:szCs w:val="20"/>
              </w:rPr>
              <w:t xml:space="preserve">深圳市南山区高新北区宝深路 </w:t>
            </w:r>
            <w:r>
              <w:rPr>
                <w:rFonts w:ascii="Times New Roman" w:eastAsia="Times New Roman" w:hAnsi="Times New Roman" w:cs="Times New Roman"/>
                <w:color w:val="000000"/>
                <w:spacing w:val="0"/>
                <w:w w:val="100"/>
                <w:position w:val="0"/>
                <w:sz w:val="22"/>
                <w:szCs w:val="22"/>
              </w:rPr>
              <w:t>109</w:t>
            </w:r>
            <w:r>
              <w:rPr>
                <w:color w:val="000000"/>
                <w:spacing w:val="0"/>
                <w:w w:val="100"/>
                <w:position w:val="0"/>
                <w:sz w:val="20"/>
                <w:szCs w:val="20"/>
              </w:rPr>
              <w:t>号国民技术大厦</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 xml:space="preserve">层、 </w:t>
            </w:r>
            <w:r>
              <w:rPr>
                <w:rFonts w:ascii="Times New Roman" w:eastAsia="Times New Roman" w:hAnsi="Times New Roman" w:cs="Times New Roman"/>
                <w:color w:val="000000"/>
                <w:spacing w:val="0"/>
                <w:w w:val="100"/>
                <w:position w:val="0"/>
                <w:sz w:val="22"/>
                <w:szCs w:val="22"/>
              </w:rPr>
              <w:t xml:space="preserve">8-16 </w:t>
            </w:r>
            <w:r>
              <w:rPr>
                <w:color w:val="000000"/>
                <w:spacing w:val="0"/>
                <w:w w:val="100"/>
                <w:position w:val="0"/>
                <w:sz w:val="20"/>
                <w:szCs w:val="2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国民技术股份有限公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13,718.05</w:t>
            </w:r>
          </w:p>
        </w:tc>
      </w:tr>
    </w:tbl>
    <w:p>
      <w:pPr>
        <w:widowControl w:val="0"/>
        <w:spacing w:after="539" w:line="1" w:lineRule="exact"/>
      </w:pPr>
    </w:p>
    <w:tbl>
      <w:tblPr>
        <w:tblOverlap w:val="never"/>
        <w:jc w:val="center"/>
        <w:tblLayout w:type="fixed"/>
      </w:tblPr>
      <w:tblGrid>
        <w:gridCol w:w="566"/>
        <w:gridCol w:w="3264"/>
        <w:gridCol w:w="2266"/>
        <w:gridCol w:w="2270"/>
        <w:gridCol w:w="128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0"/>
              <w:jc w:val="center"/>
              <w:rPr>
                <w:sz w:val="20"/>
                <w:szCs w:val="20"/>
              </w:rPr>
            </w:pPr>
            <w:r>
              <w:rPr>
                <w:color w:val="000000"/>
                <w:spacing w:val="0"/>
                <w:w w:val="100"/>
                <w:position w:val="0"/>
                <w:sz w:val="20"/>
                <w:szCs w:val="20"/>
              </w:rPr>
              <w:t>序 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租赁房产地址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用途</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租赁面积</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（平方米）</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深圳市宝安区西乡街道鹤洲恒</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丰工业城</w:t>
            </w:r>
            <w:r>
              <w:rPr>
                <w:rFonts w:ascii="Times New Roman" w:eastAsia="Times New Roman" w:hAnsi="Times New Roman" w:cs="Times New Roman"/>
                <w:color w:val="000000"/>
                <w:spacing w:val="0"/>
                <w:w w:val="100"/>
                <w:position w:val="0"/>
                <w:sz w:val="22"/>
                <w:szCs w:val="22"/>
              </w:rPr>
              <w:t>C4</w:t>
            </w:r>
            <w:r>
              <w:rPr>
                <w:color w:val="000000"/>
                <w:spacing w:val="0"/>
                <w:w w:val="100"/>
                <w:position w:val="0"/>
                <w:sz w:val="20"/>
                <w:szCs w:val="20"/>
              </w:rPr>
              <w:t>栋六层东边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秦小军、陈国原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w:t>
            </w:r>
          </w:p>
        </w:tc>
      </w:tr>
      <w:tr>
        <w:trPr>
          <w:trHeight w:val="1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上海市浦东新区申江路</w:t>
            </w:r>
            <w:r>
              <w:rPr>
                <w:rFonts w:ascii="Times New Roman" w:eastAsia="Times New Roman" w:hAnsi="Times New Roman" w:cs="Times New Roman"/>
                <w:color w:val="000000"/>
                <w:spacing w:val="0"/>
                <w:w w:val="100"/>
                <w:position w:val="0"/>
                <w:sz w:val="22"/>
                <w:szCs w:val="22"/>
              </w:rPr>
              <w:t>5709</w:t>
            </w:r>
            <w:r>
              <w:rPr>
                <w:color w:val="000000"/>
                <w:spacing w:val="0"/>
                <w:w w:val="100"/>
                <w:position w:val="0"/>
                <w:sz w:val="20"/>
                <w:szCs w:val="20"/>
              </w:rPr>
              <w:t>号、 秋月路</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幢</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2"/>
                <w:szCs w:val="22"/>
              </w:rPr>
              <w:t>1106</w:t>
            </w:r>
            <w:r>
              <w:rPr>
                <w:color w:val="000000"/>
                <w:spacing w:val="0"/>
                <w:w w:val="100"/>
                <w:position w:val="0"/>
                <w:sz w:val="20"/>
                <w:szCs w:val="20"/>
              </w:rPr>
              <w:t xml:space="preserve">室、 </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幢</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20"/>
                <w:szCs w:val="20"/>
              </w:rPr>
            </w:pPr>
            <w:r>
              <w:rPr>
                <w:color w:val="000000"/>
                <w:spacing w:val="0"/>
                <w:w w:val="100"/>
                <w:position w:val="0"/>
                <w:sz w:val="20"/>
                <w:szCs w:val="20"/>
              </w:rPr>
              <w:t>上海江程资产管理有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上海分公司办公场地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湖北省武汉市东湖新技术开发 区吴家湾邮科中路民营高科技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格雷斯众创空间管理</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（武汉）有些公司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武汉分公司办公场地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w:t>
            </w:r>
          </w:p>
        </w:tc>
      </w:tr>
    </w:tbl>
    <w:p>
      <w:pPr>
        <w:spacing w:lineRule="exact" w:line="1"/>
        <w:rPr>
          <w:sz w:val="2"/>
          <w:szCs w:val="2"/>
        </w:rPr>
      </w:pPr>
      <w:r>
        <w:br w:type="page"/>
      </w:r>
    </w:p>
    <w:tbl>
      <w:tblPr>
        <w:tblOverlap w:val="never"/>
        <w:jc w:val="center"/>
        <w:tblLayout w:type="fixed"/>
      </w:tblPr>
      <w:tblGrid>
        <w:gridCol w:w="566"/>
        <w:gridCol w:w="3264"/>
        <w:gridCol w:w="2266"/>
        <w:gridCol w:w="2270"/>
        <w:gridCol w:w="1282"/>
      </w:tblGrid>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综合楼第一栋</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号房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陕西西安市高新区沣惠南路</w:t>
            </w:r>
            <w:r>
              <w:rPr>
                <w:rFonts w:ascii="Times New Roman" w:eastAsia="Times New Roman" w:hAnsi="Times New Roman" w:cs="Times New Roman"/>
                <w:color w:val="000000"/>
                <w:spacing w:val="0"/>
                <w:w w:val="100"/>
                <w:position w:val="0"/>
                <w:sz w:val="22"/>
                <w:szCs w:val="22"/>
              </w:rPr>
              <w:t xml:space="preserve">16 </w:t>
            </w:r>
            <w:r>
              <w:rPr>
                <w:color w:val="000000"/>
                <w:spacing w:val="0"/>
                <w:w w:val="100"/>
                <w:position w:val="0"/>
                <w:sz w:val="20"/>
                <w:szCs w:val="20"/>
              </w:rPr>
              <w:t>号（泰华</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金贸国际</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号楼中电彩 虹大厦）</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陕西昇昱不动产运营</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西安分公司办公场地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r>
      <w:tr>
        <w:trPr>
          <w:trHeight w:val="1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北京市朝阳区望京东园四区</w:t>
            </w:r>
            <w:r>
              <w:rPr>
                <w:rFonts w:ascii="Times New Roman" w:eastAsia="Times New Roman" w:hAnsi="Times New Roman" w:cs="Times New Roman"/>
                <w:color w:val="000000"/>
                <w:spacing w:val="0"/>
                <w:w w:val="100"/>
                <w:position w:val="0"/>
                <w:sz w:val="22"/>
                <w:szCs w:val="22"/>
              </w:rPr>
              <w:t xml:space="preserve">13 </w:t>
            </w:r>
            <w:r>
              <w:rPr>
                <w:color w:val="000000"/>
                <w:spacing w:val="0"/>
                <w:w w:val="100"/>
                <w:position w:val="0"/>
                <w:sz w:val="20"/>
                <w:szCs w:val="20"/>
              </w:rPr>
              <w:t>号楼浦项中心</w:t>
            </w:r>
            <w:r>
              <w:rPr>
                <w:rFonts w:ascii="Times New Roman" w:eastAsia="Times New Roman" w:hAnsi="Times New Roman" w:cs="Times New Roman"/>
                <w:color w:val="000000"/>
                <w:spacing w:val="0"/>
                <w:w w:val="100"/>
                <w:position w:val="0"/>
                <w:sz w:val="22"/>
                <w:szCs w:val="22"/>
              </w:rPr>
              <w:t>B</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2"/>
                <w:szCs w:val="22"/>
              </w:rPr>
              <w:t xml:space="preserve">201 </w:t>
            </w: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20"/>
                <w:szCs w:val="20"/>
              </w:rPr>
            </w:pPr>
            <w:r>
              <w:rPr>
                <w:color w:val="000000"/>
                <w:spacing w:val="0"/>
                <w:w w:val="100"/>
                <w:position w:val="0"/>
                <w:sz w:val="20"/>
                <w:szCs w:val="20"/>
              </w:rPr>
              <w:t>浦项置业（北京）有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北京分公司办公场地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1,047</w:t>
            </w:r>
          </w:p>
        </w:tc>
      </w:tr>
      <w:tr>
        <w:trPr>
          <w:trHeight w:val="1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both"/>
              <w:rPr>
                <w:sz w:val="20"/>
                <w:szCs w:val="20"/>
              </w:rPr>
            </w:pPr>
            <w:r>
              <w:rPr>
                <w:color w:val="000000"/>
                <w:spacing w:val="0"/>
                <w:w w:val="100"/>
                <w:position w:val="0"/>
                <w:sz w:val="20"/>
                <w:szCs w:val="20"/>
              </w:rPr>
              <w:t>陕西西安市高新区沣惠南路</w:t>
            </w:r>
            <w:r>
              <w:rPr>
                <w:rFonts w:ascii="Times New Roman" w:eastAsia="Times New Roman" w:hAnsi="Times New Roman" w:cs="Times New Roman"/>
                <w:color w:val="000000"/>
                <w:spacing w:val="0"/>
                <w:w w:val="100"/>
                <w:position w:val="0"/>
                <w:sz w:val="22"/>
                <w:szCs w:val="22"/>
              </w:rPr>
              <w:t xml:space="preserve">16 </w:t>
            </w:r>
            <w:r>
              <w:rPr>
                <w:color w:val="000000"/>
                <w:spacing w:val="0"/>
                <w:w w:val="100"/>
                <w:position w:val="0"/>
                <w:sz w:val="20"/>
                <w:szCs w:val="20"/>
              </w:rPr>
              <w:t>号（泰华</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金贸国际</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号楼中电彩 虹大厦）</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2"/>
                <w:szCs w:val="22"/>
              </w:rPr>
              <w:t>2001-2003</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陕西昇昱不动产运营</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西安分公司办公场地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1,014</w:t>
            </w:r>
          </w:p>
        </w:tc>
      </w:tr>
      <w:tr>
        <w:trPr>
          <w:trHeight w:val="10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 xml:space="preserve">深圳市坪山区大工业区翠景路 </w:t>
            </w:r>
            <w:r>
              <w:rPr>
                <w:rFonts w:ascii="Times New Roman" w:eastAsia="Times New Roman" w:hAnsi="Times New Roman" w:cs="Times New Roman"/>
                <w:color w:val="000000"/>
                <w:spacing w:val="0"/>
                <w:w w:val="100"/>
                <w:position w:val="0"/>
                <w:sz w:val="22"/>
                <w:szCs w:val="22"/>
              </w:rPr>
              <w:t>58</w:t>
            </w:r>
            <w:r>
              <w:rPr>
                <w:color w:val="000000"/>
                <w:spacing w:val="0"/>
                <w:w w:val="100"/>
                <w:position w:val="0"/>
                <w:sz w:val="20"/>
                <w:szCs w:val="20"/>
              </w:rPr>
              <w:t>号奔达康工业园</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号厂房</w:t>
            </w:r>
            <w:r>
              <w:rPr>
                <w:rFonts w:ascii="Times New Roman" w:eastAsia="Times New Roman" w:hAnsi="Times New Roman" w:cs="Times New Roman"/>
                <w:color w:val="000000"/>
                <w:spacing w:val="0"/>
                <w:w w:val="100"/>
                <w:position w:val="0"/>
                <w:sz w:val="22"/>
                <w:szCs w:val="22"/>
              </w:rPr>
              <w:t xml:space="preserve">4 </w:t>
            </w:r>
            <w:r>
              <w:rPr>
                <w:color w:val="000000"/>
                <w:spacing w:val="0"/>
                <w:w w:val="100"/>
                <w:position w:val="0"/>
                <w:sz w:val="20"/>
                <w:szCs w:val="20"/>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深圳市奔达康电缆股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6,100</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4" w:lineRule="exact"/>
              <w:ind w:left="0" w:right="0" w:firstLine="0"/>
              <w:jc w:val="both"/>
            </w:pPr>
            <w:r>
              <w:rPr>
                <w:color w:val="000000"/>
                <w:spacing w:val="0"/>
                <w:w w:val="100"/>
                <w:position w:val="0"/>
                <w:sz w:val="20"/>
                <w:szCs w:val="20"/>
              </w:rPr>
              <w:t>湖北省武汉市东湖新技术开发 区高新大道</w:t>
            </w:r>
            <w:r>
              <w:rPr>
                <w:rFonts w:ascii="Times New Roman" w:eastAsia="Times New Roman" w:hAnsi="Times New Roman" w:cs="Times New Roman"/>
                <w:color w:val="000000"/>
                <w:spacing w:val="0"/>
                <w:w w:val="100"/>
                <w:position w:val="0"/>
              </w:rPr>
              <w:t>426</w:t>
            </w:r>
            <w:r>
              <w:rPr>
                <w:color w:val="000000"/>
                <w:spacing w:val="0"/>
                <w:w w:val="100"/>
                <w:position w:val="0"/>
                <w:sz w:val="20"/>
                <w:szCs w:val="20"/>
              </w:rPr>
              <w:t xml:space="preserve">号华新总部基地 </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栋</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单元</w:t>
            </w:r>
            <w:r>
              <w:rPr>
                <w:rFonts w:ascii="Times New Roman" w:eastAsia="Times New Roman" w:hAnsi="Times New Roman" w:cs="Times New Roman"/>
                <w:color w:val="000000"/>
                <w:spacing w:val="0"/>
                <w:w w:val="100"/>
                <w:position w:val="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1-22</w:t>
            </w:r>
            <w:r>
              <w:rPr>
                <w:color w:val="000000"/>
                <w:spacing w:val="0"/>
                <w:w w:val="100"/>
                <w:position w:val="0"/>
                <w:sz w:val="20"/>
                <w:szCs w:val="20"/>
              </w:rPr>
              <w:t>层（</w:t>
            </w:r>
            <w:r>
              <w:rPr>
                <w:rFonts w:ascii="Times New Roman" w:eastAsia="Times New Roman" w:hAnsi="Times New Roman" w:cs="Times New Roman"/>
                <w:color w:val="000000"/>
                <w:spacing w:val="0"/>
                <w:w w:val="100"/>
                <w:position w:val="0"/>
              </w:rPr>
              <w:t>2</w:t>
            </w:r>
            <w:r>
              <w:rPr>
                <w:color w:val="000000"/>
                <w:spacing w:val="0"/>
                <w:w w:val="100"/>
                <w:position w:val="0"/>
                <w:sz w:val="20"/>
                <w:szCs w:val="20"/>
              </w:rPr>
              <w:t xml:space="preserve">）研发 </w:t>
            </w:r>
            <w:r>
              <w:rPr>
                <w:rFonts w:ascii="Times New Roman" w:eastAsia="Times New Roman" w:hAnsi="Times New Roman" w:cs="Times New Roman"/>
                <w:color w:val="000000"/>
                <w:spacing w:val="0"/>
                <w:w w:val="100"/>
                <w:position w:val="0"/>
              </w:rPr>
              <w:t>A801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湖北华新房地产有限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武汉分公司办公场地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901.06</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东莞市清溪镇罗马金山一街三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巷</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2"/>
                <w:szCs w:val="22"/>
              </w:rPr>
              <w:t>101</w:t>
            </w: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东莞市永航机械设备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深圳斯诺仓储场地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20"/>
                <w:szCs w:val="20"/>
              </w:rPr>
            </w:pPr>
            <w:r>
              <w:rPr>
                <w:color w:val="000000"/>
                <w:spacing w:val="0"/>
                <w:w w:val="100"/>
                <w:position w:val="0"/>
                <w:sz w:val="20"/>
                <w:szCs w:val="20"/>
              </w:rPr>
              <w:t>深圳市南山区北环路南头第五 工业区</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栋</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楼东、</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楼东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深圳市通产科技发展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20"/>
                <w:szCs w:val="20"/>
              </w:rPr>
            </w:pPr>
            <w:r>
              <w:rPr>
                <w:color w:val="000000"/>
                <w:spacing w:val="0"/>
                <w:w w:val="100"/>
                <w:position w:val="0"/>
                <w:sz w:val="20"/>
                <w:szCs w:val="20"/>
              </w:rPr>
              <w:t>深圳斯诺研发办公场 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1,828</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20"/>
                <w:szCs w:val="20"/>
              </w:rPr>
            </w:pPr>
            <w:r>
              <w:rPr>
                <w:color w:val="000000"/>
                <w:spacing w:val="0"/>
                <w:w w:val="100"/>
                <w:position w:val="0"/>
                <w:sz w:val="20"/>
                <w:szCs w:val="20"/>
              </w:rPr>
              <w:t>江西新余市渝水区下村工业基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新余市渝水区下村工</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业基地管理处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江西斯诺生产场地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12,000</w:t>
            </w:r>
          </w:p>
        </w:tc>
      </w:tr>
      <w:tr>
        <w:trPr>
          <w:trHeight w:val="10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呼和浩特金山开发区高新区新 能源汽车产业园厂房和生活配 套区一期、二期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both"/>
              <w:rPr>
                <w:sz w:val="20"/>
                <w:szCs w:val="20"/>
              </w:rPr>
            </w:pPr>
            <w:r>
              <w:rPr>
                <w:color w:val="000000"/>
                <w:spacing w:val="0"/>
                <w:w w:val="100"/>
                <w:position w:val="0"/>
                <w:sz w:val="20"/>
                <w:szCs w:val="20"/>
              </w:rPr>
              <w:t>呼和浩特金盛投资有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内蒙古斯诺生产场地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64,870</w:t>
            </w:r>
          </w:p>
        </w:tc>
      </w:tr>
    </w:tbl>
    <w:p>
      <w:pPr>
        <w:pStyle w:val="Style13"/>
        <w:keepNext w:val="0"/>
        <w:keepLines w:val="0"/>
        <w:widowControl w:val="0"/>
        <w:shd w:val="clear" w:color="auto" w:fill="auto"/>
        <w:bidi w:val="0"/>
        <w:spacing w:before="0" w:after="240" w:line="470" w:lineRule="exact"/>
        <w:ind w:left="800" w:right="0" w:firstLine="0"/>
        <w:jc w:val="both"/>
      </w:pPr>
      <w:r>
        <w:rPr>
          <w:color w:val="000000"/>
          <w:spacing w:val="0"/>
          <w:w w:val="100"/>
          <w:position w:val="0"/>
        </w:rPr>
        <w:t>注：序号</w:t>
      </w:r>
      <w:r>
        <w:rPr>
          <w:rFonts w:ascii="Times New Roman" w:eastAsia="Times New Roman" w:hAnsi="Times New Roman" w:cs="Times New Roman"/>
          <w:color w:val="000000"/>
          <w:spacing w:val="0"/>
          <w:w w:val="100"/>
          <w:position w:val="0"/>
        </w:rPr>
        <w:t>1</w:t>
      </w:r>
      <w:r>
        <w:rPr>
          <w:color w:val="000000"/>
          <w:spacing w:val="0"/>
          <w:w w:val="100"/>
          <w:position w:val="0"/>
        </w:rPr>
        <w:t>租赁房产在报告期内租赁期间为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月，序号</w:t>
      </w:r>
      <w:r>
        <w:rPr>
          <w:rFonts w:ascii="Times New Roman" w:eastAsia="Times New Roman" w:hAnsi="Times New Roman" w:cs="Times New Roman"/>
          <w:color w:val="000000"/>
          <w:spacing w:val="0"/>
          <w:w w:val="100"/>
          <w:position w:val="0"/>
        </w:rPr>
        <w:t>3</w:t>
      </w:r>
      <w:r>
        <w:rPr>
          <w:color w:val="000000"/>
          <w:spacing w:val="0"/>
          <w:w w:val="100"/>
          <w:position w:val="0"/>
        </w:rPr>
        <w:t>租赁房产在报告期内租赁 期间为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月，序号</w:t>
      </w:r>
      <w:r>
        <w:rPr>
          <w:rFonts w:ascii="Times New Roman" w:eastAsia="Times New Roman" w:hAnsi="Times New Roman" w:cs="Times New Roman"/>
          <w:color w:val="000000"/>
          <w:spacing w:val="0"/>
          <w:w w:val="100"/>
          <w:position w:val="0"/>
        </w:rPr>
        <w:t>4</w:t>
      </w:r>
      <w:r>
        <w:rPr>
          <w:color w:val="000000"/>
          <w:spacing w:val="0"/>
          <w:w w:val="100"/>
          <w:position w:val="0"/>
        </w:rPr>
        <w:t>租赁房产在报告期内租赁期间为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月，序号</w:t>
      </w:r>
      <w:r>
        <w:rPr>
          <w:rFonts w:ascii="Times New Roman" w:eastAsia="Times New Roman" w:hAnsi="Times New Roman" w:cs="Times New Roman"/>
          <w:color w:val="000000"/>
          <w:spacing w:val="0"/>
          <w:w w:val="100"/>
          <w:position w:val="0"/>
        </w:rPr>
        <w:t xml:space="preserve">10 </w:t>
      </w:r>
      <w:r>
        <w:rPr>
          <w:color w:val="000000"/>
          <w:spacing w:val="0"/>
          <w:w w:val="100"/>
          <w:position w:val="0"/>
        </w:rPr>
        <w:t>租赁房产在报告期内租赁期间为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13"/>
        <w:keepNext w:val="0"/>
        <w:keepLines w:val="0"/>
        <w:widowControl w:val="0"/>
        <w:shd w:val="clear" w:color="auto" w:fill="auto"/>
        <w:bidi w:val="0"/>
        <w:spacing w:before="0" w:after="240" w:line="240" w:lineRule="auto"/>
        <w:ind w:left="0" w:right="0" w:firstLine="80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13"/>
        <w:keepNext w:val="0"/>
        <w:keepLines w:val="0"/>
        <w:widowControl w:val="0"/>
        <w:shd w:val="clear" w:color="auto" w:fill="auto"/>
        <w:bidi w:val="0"/>
        <w:spacing w:before="0" w:after="420" w:line="240" w:lineRule="auto"/>
        <w:ind w:left="0" w:right="0" w:firstLine="8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after="420" w:line="240" w:lineRule="auto"/>
        <w:ind w:left="0" w:right="0" w:firstLine="80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2</w:t>
      </w:r>
      <w:bookmarkEnd w:id="537"/>
      <w:r>
        <w:rPr>
          <w:color w:val="000000"/>
          <w:spacing w:val="0"/>
          <w:w w:val="100"/>
          <w:position w:val="0"/>
        </w:rPr>
        <w:t>、重大担保</w:t>
      </w:r>
      <w:bookmarkEnd w:id="535"/>
      <w:bookmarkEnd w:id="536"/>
      <w:bookmarkEnd w:id="538"/>
    </w:p>
    <w:p>
      <w:pPr>
        <w:pStyle w:val="Style13"/>
        <w:keepNext w:val="0"/>
        <w:keepLines w:val="0"/>
        <w:widowControl w:val="0"/>
        <w:shd w:val="clear" w:color="auto" w:fill="auto"/>
        <w:bidi w:val="0"/>
        <w:spacing w:before="0" w:after="240" w:line="240" w:lineRule="auto"/>
        <w:ind w:left="0" w:right="0" w:firstLine="8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320" w:line="240" w:lineRule="auto"/>
        <w:ind w:left="0" w:right="0" w:firstLine="800"/>
        <w:jc w:val="left"/>
      </w:pPr>
      <w:r>
        <w:rPr>
          <w:color w:val="000000"/>
          <w:spacing w:val="0"/>
          <w:w w:val="100"/>
          <w:position w:val="0"/>
        </w:rPr>
        <w:t>公司报告期不存在重大担保情况。</w:t>
      </w:r>
    </w:p>
    <w:p>
      <w:pPr>
        <w:pStyle w:val="Style13"/>
        <w:keepNext w:val="0"/>
        <w:keepLines w:val="0"/>
        <w:widowControl w:val="0"/>
        <w:shd w:val="clear" w:color="auto" w:fill="auto"/>
        <w:bidi w:val="0"/>
        <w:spacing w:before="0" w:after="0" w:line="485" w:lineRule="exact"/>
        <w:ind w:left="0" w:right="0" w:firstLine="780"/>
        <w:jc w:val="both"/>
      </w:pPr>
      <w:r>
        <w:rPr>
          <w:color w:val="000000"/>
          <w:spacing w:val="0"/>
          <w:w w:val="100"/>
          <w:position w:val="0"/>
        </w:rPr>
        <w:t>其他担保情况</w:t>
      </w:r>
    </w:p>
    <w:p>
      <w:pPr>
        <w:pStyle w:val="Style13"/>
        <w:keepNext w:val="0"/>
        <w:keepLines w:val="0"/>
        <w:widowControl w:val="0"/>
        <w:shd w:val="clear" w:color="auto" w:fill="auto"/>
        <w:bidi w:val="0"/>
        <w:spacing w:before="0" w:after="0" w:line="485" w:lineRule="exact"/>
        <w:ind w:left="78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月，公司及深圳斯诺为内蒙古斯诺向银行机构申请的人民币</w:t>
      </w:r>
      <w:r>
        <w:rPr>
          <w:rFonts w:ascii="Times New Roman" w:eastAsia="Times New Roman" w:hAnsi="Times New Roman" w:cs="Times New Roman"/>
          <w:color w:val="000000"/>
          <w:spacing w:val="0"/>
          <w:w w:val="100"/>
          <w:position w:val="0"/>
        </w:rPr>
        <w:t>6,700</w:t>
      </w:r>
      <w:r>
        <w:rPr>
          <w:color w:val="000000"/>
          <w:spacing w:val="0"/>
          <w:w w:val="100"/>
          <w:position w:val="0"/>
        </w:rPr>
        <w:t>万元、期限为</w:t>
      </w:r>
      <w:r>
        <w:rPr>
          <w:rFonts w:ascii="Times New Roman" w:eastAsia="Times New Roman" w:hAnsi="Times New Roman" w:cs="Times New Roman"/>
          <w:color w:val="000000"/>
          <w:spacing w:val="0"/>
          <w:w w:val="100"/>
          <w:position w:val="0"/>
        </w:rPr>
        <w:t>3.5</w:t>
      </w:r>
      <w:r>
        <w:rPr>
          <w:color w:val="000000"/>
          <w:spacing w:val="0"/>
          <w:w w:val="100"/>
          <w:position w:val="0"/>
        </w:rPr>
        <w:t>年 的贷款提供连带责任担保。</w:t>
      </w:r>
    </w:p>
    <w:p>
      <w:pPr>
        <w:pStyle w:val="Style13"/>
        <w:keepNext w:val="0"/>
        <w:keepLines w:val="0"/>
        <w:widowControl w:val="0"/>
        <w:shd w:val="clear" w:color="auto" w:fill="auto"/>
        <w:bidi w:val="0"/>
        <w:spacing w:before="0" w:after="0" w:line="475" w:lineRule="exact"/>
        <w:ind w:left="78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月，国民科技、国民投资为公司向中信银行股份有限公司深圳分行申请的人民币</w:t>
      </w:r>
      <w:r>
        <w:rPr>
          <w:rFonts w:ascii="Times New Roman" w:eastAsia="Times New Roman" w:hAnsi="Times New Roman" w:cs="Times New Roman"/>
          <w:color w:val="000000"/>
          <w:spacing w:val="0"/>
          <w:w w:val="100"/>
          <w:position w:val="0"/>
        </w:rPr>
        <w:t>3</w:t>
      </w:r>
      <w:r>
        <w:rPr>
          <w:color w:val="000000"/>
          <w:spacing w:val="0"/>
          <w:w w:val="100"/>
          <w:position w:val="0"/>
        </w:rPr>
        <w:t>亿 元整、期限为</w:t>
      </w:r>
      <w:r>
        <w:rPr>
          <w:rFonts w:ascii="Times New Roman" w:eastAsia="Times New Roman" w:hAnsi="Times New Roman" w:cs="Times New Roman"/>
          <w:color w:val="000000"/>
          <w:spacing w:val="0"/>
          <w:w w:val="100"/>
          <w:position w:val="0"/>
        </w:rPr>
        <w:t>15</w:t>
      </w:r>
      <w:r>
        <w:rPr>
          <w:color w:val="000000"/>
          <w:spacing w:val="0"/>
          <w:w w:val="100"/>
          <w:position w:val="0"/>
        </w:rPr>
        <w:t>年的贷款提供连带责任保证。</w:t>
      </w:r>
    </w:p>
    <w:p>
      <w:pPr>
        <w:pStyle w:val="Style13"/>
        <w:keepNext w:val="0"/>
        <w:keepLines w:val="0"/>
        <w:widowControl w:val="0"/>
        <w:shd w:val="clear" w:color="auto" w:fill="auto"/>
        <w:bidi w:val="0"/>
        <w:spacing w:before="0" w:after="0" w:line="475" w:lineRule="exact"/>
        <w:ind w:left="78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月，国民科技为公司向中国光大银行股份有限公司深圳分行申请的人民币</w:t>
      </w:r>
      <w:r>
        <w:rPr>
          <w:rFonts w:ascii="Times New Roman" w:eastAsia="Times New Roman" w:hAnsi="Times New Roman" w:cs="Times New Roman"/>
          <w:color w:val="000000"/>
          <w:spacing w:val="0"/>
          <w:w w:val="100"/>
          <w:position w:val="0"/>
        </w:rPr>
        <w:t>1</w:t>
      </w:r>
      <w:r>
        <w:rPr>
          <w:color w:val="000000"/>
          <w:spacing w:val="0"/>
          <w:w w:val="100"/>
          <w:position w:val="0"/>
        </w:rPr>
        <w:t>亿元整、 期限为</w:t>
      </w:r>
      <w:r>
        <w:rPr>
          <w:rFonts w:ascii="Times New Roman" w:eastAsia="Times New Roman" w:hAnsi="Times New Roman" w:cs="Times New Roman"/>
          <w:color w:val="000000"/>
          <w:spacing w:val="0"/>
          <w:w w:val="100"/>
          <w:position w:val="0"/>
        </w:rPr>
        <w:t>1</w:t>
      </w:r>
      <w:r>
        <w:rPr>
          <w:color w:val="000000"/>
          <w:spacing w:val="0"/>
          <w:w w:val="100"/>
          <w:position w:val="0"/>
        </w:rPr>
        <w:t>年的综合授信额度提供连带责任保证。</w:t>
      </w:r>
    </w:p>
    <w:p>
      <w:pPr>
        <w:pStyle w:val="Style13"/>
        <w:keepNext w:val="0"/>
        <w:keepLines w:val="0"/>
        <w:widowControl w:val="0"/>
        <w:shd w:val="clear" w:color="auto" w:fill="auto"/>
        <w:bidi w:val="0"/>
        <w:spacing w:before="0" w:after="240" w:line="475" w:lineRule="exact"/>
        <w:ind w:left="780" w:right="0" w:firstLine="480"/>
        <w:jc w:val="both"/>
      </w:pPr>
      <w:r>
        <w:rPr>
          <w:color w:val="000000"/>
          <w:spacing w:val="0"/>
          <w:w w:val="100"/>
          <w:position w:val="0"/>
        </w:rPr>
        <w:t>除上述担保外，公司及控股子公司没有发生其它为控股股东及其他关联方、任何其它法人或 非法人单位或个人提供担保情况。不存在逾期担保及涉及诉讼的担保情况。</w:t>
      </w:r>
    </w:p>
    <w:p>
      <w:pPr>
        <w:pStyle w:val="Style13"/>
        <w:keepNext w:val="0"/>
        <w:keepLines w:val="0"/>
        <w:widowControl w:val="0"/>
        <w:shd w:val="clear" w:color="auto" w:fill="auto"/>
        <w:bidi w:val="0"/>
        <w:spacing w:before="0" w:after="140" w:line="475" w:lineRule="exact"/>
        <w:ind w:left="0" w:right="0" w:firstLine="780"/>
        <w:jc w:val="left"/>
      </w:pPr>
      <w:bookmarkStart w:id="539" w:name="bookmark539"/>
      <w:r>
        <w:rPr>
          <w:rFonts w:ascii="Times New Roman" w:eastAsia="Times New Roman" w:hAnsi="Times New Roman" w:cs="Times New Roman"/>
          <w:b/>
          <w:bCs/>
          <w:color w:val="000000"/>
          <w:spacing w:val="0"/>
          <w:w w:val="100"/>
          <w:position w:val="0"/>
        </w:rPr>
        <w:t>3</w:t>
      </w:r>
      <w:bookmarkEnd w:id="539"/>
      <w:r>
        <w:rPr>
          <w:b/>
          <w:bCs/>
          <w:color w:val="000000"/>
          <w:spacing w:val="0"/>
          <w:w w:val="100"/>
          <w:position w:val="0"/>
        </w:rPr>
        <w:t>、委托他人进行现金资产管理情况</w:t>
      </w:r>
    </w:p>
    <w:p>
      <w:pPr>
        <w:pStyle w:val="Style13"/>
        <w:keepNext w:val="0"/>
        <w:keepLines w:val="0"/>
        <w:widowControl w:val="0"/>
        <w:shd w:val="clear" w:color="auto" w:fill="auto"/>
        <w:bidi w:val="0"/>
        <w:spacing w:before="0" w:after="240" w:line="475" w:lineRule="exact"/>
        <w:ind w:left="0" w:right="0" w:firstLine="780"/>
        <w:jc w:val="left"/>
        <w:rPr>
          <w:sz w:val="20"/>
          <w:szCs w:val="20"/>
        </w:rPr>
      </w:pPr>
      <w:bookmarkStart w:id="540" w:name="bookmark540"/>
      <w:r>
        <w:rPr>
          <w:b/>
          <w:bCs/>
          <w:color w:val="000000"/>
          <w:spacing w:val="0"/>
          <w:w w:val="100"/>
          <w:position w:val="0"/>
          <w:sz w:val="20"/>
          <w:szCs w:val="20"/>
        </w:rPr>
        <w:t>（</w:t>
      </w:r>
      <w:bookmarkEnd w:id="54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）委托理财情况</w:t>
      </w:r>
    </w:p>
    <w:p>
      <w:pPr>
        <w:pStyle w:val="Style13"/>
        <w:keepNext w:val="0"/>
        <w:keepLines w:val="0"/>
        <w:widowControl w:val="0"/>
        <w:shd w:val="clear" w:color="auto" w:fill="auto"/>
        <w:bidi w:val="0"/>
        <w:spacing w:before="0" w:after="0" w:line="475" w:lineRule="exact"/>
        <w:ind w:left="0" w:right="0" w:firstLine="7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140" w:line="475" w:lineRule="exact"/>
        <w:ind w:left="0" w:right="0" w:firstLine="780"/>
        <w:jc w:val="left"/>
      </w:pPr>
      <w:r>
        <w:rPr>
          <w:color w:val="000000"/>
          <w:spacing w:val="0"/>
          <w:w w:val="100"/>
          <w:position w:val="0"/>
        </w:rPr>
        <w:t>报告期内委托理财概况</w:t>
      </w:r>
    </w:p>
    <w:p>
      <w:pPr>
        <w:pStyle w:val="Style30"/>
        <w:keepNext w:val="0"/>
        <w:keepLines w:val="0"/>
        <w:widowControl w:val="0"/>
        <w:shd w:val="clear" w:color="auto" w:fill="auto"/>
        <w:bidi w:val="0"/>
        <w:spacing w:before="0" w:after="0" w:line="240" w:lineRule="auto"/>
        <w:ind w:left="8477" w:right="0" w:firstLine="0"/>
        <w:jc w:val="lef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委托理财的资金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逾期未收回的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逾期未收回理</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财已计提减值</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780"/>
        <w:jc w:val="left"/>
      </w:pPr>
      <w:r>
        <w:rPr>
          <w:color w:val="000000"/>
          <w:spacing w:val="0"/>
          <w:w w:val="100"/>
          <w:position w:val="0"/>
        </w:rPr>
        <w:t>单项金额重大或安全性较低、流动性较差的高风险委托理财具体情况</w:t>
      </w:r>
    </w:p>
    <w:p>
      <w:pPr>
        <w:pStyle w:val="Style13"/>
        <w:keepNext w:val="0"/>
        <w:keepLines w:val="0"/>
        <w:widowControl w:val="0"/>
        <w:shd w:val="clear" w:color="auto" w:fill="auto"/>
        <w:bidi w:val="0"/>
        <w:spacing w:before="0" w:after="24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0" w:firstLine="780"/>
        <w:jc w:val="left"/>
      </w:pPr>
      <w:r>
        <w:rPr>
          <w:color w:val="000000"/>
          <w:spacing w:val="0"/>
          <w:w w:val="100"/>
          <w:position w:val="0"/>
        </w:rPr>
        <w:t>委托理财出现预期无法收回本金或存在其他可能导致减值的情形</w:t>
      </w:r>
    </w:p>
    <w:p>
      <w:pPr>
        <w:pStyle w:val="Style13"/>
        <w:keepNext w:val="0"/>
        <w:keepLines w:val="0"/>
        <w:widowControl w:val="0"/>
        <w:shd w:val="clear" w:color="auto" w:fill="auto"/>
        <w:bidi w:val="0"/>
        <w:spacing w:before="0" w:after="400" w:line="240" w:lineRule="auto"/>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after="440" w:line="240" w:lineRule="auto"/>
        <w:ind w:left="0" w:right="0" w:firstLine="780"/>
        <w:jc w:val="both"/>
      </w:pPr>
      <w:bookmarkStart w:id="541" w:name="bookmark541"/>
      <w:bookmarkStart w:id="542" w:name="bookmark542"/>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41"/>
      <w:bookmarkEnd w:id="542"/>
      <w:bookmarkEnd w:id="544"/>
    </w:p>
    <w:p>
      <w:pPr>
        <w:pStyle w:val="Style13"/>
        <w:keepNext w:val="0"/>
        <w:keepLines w:val="0"/>
        <w:widowControl w:val="0"/>
        <w:shd w:val="clear" w:color="auto" w:fill="auto"/>
        <w:bidi w:val="0"/>
        <w:spacing w:before="0" w:after="240" w:line="240" w:lineRule="auto"/>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0" w:firstLine="780"/>
        <w:jc w:val="both"/>
      </w:pPr>
      <w:r>
        <w:rPr>
          <w:color w:val="000000"/>
          <w:spacing w:val="0"/>
          <w:w w:val="100"/>
          <w:position w:val="0"/>
        </w:rPr>
        <w:t>公司报告期不存在委托贷款。</w:t>
      </w:r>
    </w:p>
    <w:p>
      <w:pPr>
        <w:pStyle w:val="Style37"/>
        <w:keepNext/>
        <w:keepLines/>
        <w:widowControl w:val="0"/>
        <w:shd w:val="clear" w:color="auto" w:fill="auto"/>
        <w:bidi w:val="0"/>
        <w:spacing w:before="0" w:after="420" w:line="240" w:lineRule="auto"/>
        <w:ind w:left="0" w:right="0" w:firstLine="80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4</w:t>
      </w:r>
      <w:bookmarkEnd w:id="547"/>
      <w:r>
        <w:rPr>
          <w:color w:val="000000"/>
          <w:spacing w:val="0"/>
          <w:w w:val="100"/>
          <w:position w:val="0"/>
        </w:rPr>
        <w:t>、其他重大合同</w:t>
      </w:r>
      <w:bookmarkEnd w:id="545"/>
      <w:bookmarkEnd w:id="546"/>
      <w:bookmarkEnd w:id="548"/>
    </w:p>
    <w:p>
      <w:pPr>
        <w:pStyle w:val="Style13"/>
        <w:keepNext w:val="0"/>
        <w:keepLines w:val="0"/>
        <w:widowControl w:val="0"/>
        <w:shd w:val="clear" w:color="auto" w:fill="auto"/>
        <w:bidi w:val="0"/>
        <w:spacing w:before="0" w:after="240" w:line="240" w:lineRule="auto"/>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20" w:line="240" w:lineRule="auto"/>
        <w:ind w:left="0" w:right="0" w:firstLine="800"/>
        <w:jc w:val="both"/>
      </w:pPr>
      <w:r>
        <w:rPr>
          <w:color w:val="000000"/>
          <w:spacing w:val="0"/>
          <w:w w:val="100"/>
          <w:position w:val="0"/>
        </w:rPr>
        <w:t>公司报告期不存在其他重大合同。</w:t>
      </w:r>
    </w:p>
    <w:p>
      <w:pPr>
        <w:pStyle w:val="Style33"/>
        <w:keepNext/>
        <w:keepLines/>
        <w:widowControl w:val="0"/>
        <w:shd w:val="clear" w:color="auto" w:fill="auto"/>
        <w:bidi w:val="0"/>
        <w:spacing w:before="0" w:after="420" w:line="240" w:lineRule="auto"/>
        <w:ind w:left="0" w:right="0" w:firstLine="800"/>
        <w:jc w:val="both"/>
      </w:pPr>
      <w:bookmarkStart w:id="549" w:name="bookmark549"/>
      <w:bookmarkStart w:id="550" w:name="bookmark550"/>
      <w:bookmarkStart w:id="551" w:name="bookmark551"/>
      <w:r>
        <w:rPr>
          <w:color w:val="000000"/>
          <w:spacing w:val="0"/>
          <w:w w:val="100"/>
          <w:position w:val="0"/>
        </w:rPr>
        <w:t>十六、其他重大事项的说明</w:t>
      </w:r>
      <w:bookmarkEnd w:id="549"/>
      <w:bookmarkEnd w:id="550"/>
      <w:bookmarkEnd w:id="551"/>
    </w:p>
    <w:p>
      <w:pPr>
        <w:pStyle w:val="Style30"/>
        <w:keepNext w:val="0"/>
        <w:keepLines w:val="0"/>
        <w:widowControl w:val="0"/>
        <w:shd w:val="clear" w:color="auto" w:fill="auto"/>
        <w:bidi w:val="0"/>
        <w:spacing w:before="0" w:after="0" w:line="240" w:lineRule="auto"/>
        <w:ind w:left="350" w:right="0" w:firstLine="0"/>
        <w:jc w:val="left"/>
        <w:rPr>
          <w:sz w:val="22"/>
          <w:szCs w:val="22"/>
        </w:rPr>
      </w:pPr>
      <w:r>
        <w:rPr>
          <w:color w:val="000000"/>
          <w:spacing w:val="0"/>
          <w:w w:val="100"/>
          <w:position w:val="0"/>
          <w:sz w:val="22"/>
          <w:szCs w:val="22"/>
        </w:rPr>
        <w:t>寸</w:t>
      </w:r>
      <w:r>
        <w:rPr>
          <w:color w:val="000000"/>
          <w:spacing w:val="0"/>
          <w:w w:val="100"/>
          <w:position w:val="0"/>
          <w:sz w:val="22"/>
          <w:szCs w:val="22"/>
        </w:rPr>
        <w:t>适用</w:t>
      </w:r>
      <w:r>
        <w:rPr>
          <w:color w:val="000000"/>
          <w:spacing w:val="0"/>
          <w:w w:val="100"/>
          <w:position w:val="0"/>
          <w:sz w:val="22"/>
          <w:szCs w:val="22"/>
        </w:rPr>
        <w:t>口</w:t>
      </w:r>
      <w:r>
        <w:rPr>
          <w:color w:val="000000"/>
          <w:spacing w:val="0"/>
          <w:w w:val="100"/>
          <w:position w:val="0"/>
          <w:sz w:val="22"/>
          <w:szCs w:val="22"/>
        </w:rPr>
        <w:t>不适用</w:t>
      </w:r>
    </w:p>
    <w:tbl>
      <w:tblPr>
        <w:tblOverlap w:val="never"/>
        <w:jc w:val="center"/>
        <w:tblLayout w:type="fixed"/>
      </w:tblPr>
      <w:tblGrid>
        <w:gridCol w:w="1430"/>
        <w:gridCol w:w="5813"/>
        <w:gridCol w:w="1843"/>
        <w:gridCol w:w="1291"/>
      </w:tblGrid>
      <w:tr>
        <w:trPr>
          <w:trHeight w:val="7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文件编号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560" w:right="0" w:firstLine="0"/>
              <w:jc w:val="left"/>
              <w:rPr>
                <w:sz w:val="20"/>
                <w:szCs w:val="20"/>
              </w:rPr>
            </w:pPr>
            <w:r>
              <w:rPr>
                <w:color w:val="000000"/>
                <w:spacing w:val="0"/>
                <w:w w:val="100"/>
                <w:position w:val="0"/>
                <w:sz w:val="20"/>
                <w:szCs w:val="20"/>
              </w:rPr>
              <w:t>重大事项披露情况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刊载日期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披露索引</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《国民技术股份有限公司关于签订日常重大合同的公告》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0"/>
                <w:szCs w:val="20"/>
              </w:rPr>
              <w:t>日</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《关于筹划向特定对象发行股票暨控制权变更的公告》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0"/>
                <w:szCs w:val="20"/>
              </w:rPr>
              <w:t>日</w:t>
            </w:r>
          </w:p>
        </w:tc>
        <w:tc>
          <w:tcPr>
            <w:vMerge/>
            <w:tcBorders>
              <w:left w:val="single" w:sz="4"/>
              <w:right w:val="single" w:sz="4"/>
            </w:tcBorders>
            <w:shd w:val="clear" w:color="auto" w:fill="FFFFFF"/>
            <w:vAlign w:val="center"/>
          </w:tcPr>
          <w:p>
            <w:pPr/>
          </w:p>
        </w:tc>
      </w:tr>
      <w:tr>
        <w:trPr>
          <w:trHeight w:val="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《关于签订日常经营重大合同的公告》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0"/>
                <w:szCs w:val="20"/>
              </w:rPr>
              <w:t>日</w:t>
            </w:r>
          </w:p>
        </w:tc>
        <w:tc>
          <w:tcPr>
            <w:vMerge/>
            <w:tcBorders>
              <w:left w:val="single" w:sz="4"/>
              <w:bottom w:val="single" w:sz="4"/>
              <w:right w:val="single" w:sz="4"/>
            </w:tcBorders>
            <w:shd w:val="clear" w:color="auto" w:fill="FFFFFF"/>
            <w:vAlign w:val="center"/>
          </w:tcPr>
          <w:p>
            <w:pPr/>
          </w:p>
        </w:tc>
      </w:tr>
    </w:tbl>
    <w:p>
      <w:pPr>
        <w:pStyle w:val="Style13"/>
        <w:keepNext w:val="0"/>
        <w:keepLines w:val="0"/>
        <w:widowControl w:val="0"/>
        <w:shd w:val="clear" w:color="auto" w:fill="auto"/>
        <w:bidi w:val="0"/>
        <w:spacing w:before="0" w:after="420" w:line="466" w:lineRule="exact"/>
        <w:ind w:left="800" w:right="0" w:firstLine="0"/>
        <w:jc w:val="both"/>
      </w:pPr>
      <w:r>
        <w:rPr>
          <w:color w:val="000000"/>
          <w:spacing w:val="0"/>
          <w:w w:val="100"/>
          <w:position w:val="0"/>
        </w:rPr>
        <w:t>注：公司于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月筹划向特定对象发行股票暨控制权变更事项，由于目前本次发行对象是 否符合认购对象条件的认定对本次发行方案实施构成了一定障碍，公司于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月终止了本 次发行方案。具体内容详见刊登于巨潮资讯网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《关于终止</w:t>
      </w:r>
      <w:r>
        <w:rPr>
          <w:rFonts w:ascii="Times New Roman" w:eastAsia="Times New Roman" w:hAnsi="Times New Roman" w:cs="Times New Roman"/>
          <w:color w:val="000000"/>
          <w:spacing w:val="0"/>
          <w:w w:val="100"/>
          <w:position w:val="0"/>
        </w:rPr>
        <w:t>2021</w:t>
      </w:r>
      <w:r>
        <w:rPr>
          <w:color w:val="000000"/>
          <w:spacing w:val="0"/>
          <w:w w:val="100"/>
          <w:position w:val="0"/>
        </w:rPr>
        <w:t>年度向特定 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股股票事项的公告》(</w:t>
      </w:r>
      <w:r>
        <w:rPr>
          <w:rFonts w:ascii="Times New Roman" w:eastAsia="Times New Roman" w:hAnsi="Times New Roman" w:cs="Times New Roman"/>
          <w:color w:val="000000"/>
          <w:spacing w:val="0"/>
          <w:w w:val="100"/>
          <w:position w:val="0"/>
        </w:rPr>
        <w:t>2022-004</w:t>
      </w:r>
      <w:r>
        <w:rPr>
          <w:color w:val="000000"/>
          <w:spacing w:val="0"/>
          <w:w w:val="100"/>
          <w:position w:val="0"/>
        </w:rPr>
        <w:t>)。</w:t>
      </w:r>
    </w:p>
    <w:p>
      <w:pPr>
        <w:pStyle w:val="Style33"/>
        <w:keepNext/>
        <w:keepLines/>
        <w:widowControl w:val="0"/>
        <w:shd w:val="clear" w:color="auto" w:fill="auto"/>
        <w:bidi w:val="0"/>
        <w:spacing w:before="0" w:after="420" w:line="240" w:lineRule="auto"/>
        <w:ind w:left="800" w:right="0" w:firstLine="0"/>
        <w:jc w:val="both"/>
      </w:pPr>
      <w:bookmarkStart w:id="552" w:name="bookmark552"/>
      <w:bookmarkStart w:id="553" w:name="bookmark553"/>
      <w:bookmarkStart w:id="554" w:name="bookmark554"/>
      <w:r>
        <w:rPr>
          <w:color w:val="000000"/>
          <w:spacing w:val="0"/>
          <w:w w:val="100"/>
          <w:position w:val="0"/>
        </w:rPr>
        <w:t>十七、公司子公司重大事项</w:t>
      </w:r>
      <w:bookmarkEnd w:id="552"/>
      <w:bookmarkEnd w:id="553"/>
      <w:bookmarkEnd w:id="554"/>
    </w:p>
    <w:p>
      <w:pPr>
        <w:pStyle w:val="Style13"/>
        <w:keepNext w:val="0"/>
        <w:keepLines w:val="0"/>
        <w:widowControl w:val="0"/>
        <w:shd w:val="clear" w:color="auto" w:fill="auto"/>
        <w:bidi w:val="0"/>
        <w:spacing w:before="0" w:after="140" w:line="240" w:lineRule="auto"/>
        <w:ind w:left="80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5"/>
        <w:gridCol w:w="4819"/>
        <w:gridCol w:w="2338"/>
        <w:gridCol w:w="1296"/>
      </w:tblGrid>
      <w:tr>
        <w:trPr>
          <w:trHeight w:val="69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文件编号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重大事项披露情况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刊载日期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披露索引</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《关于拟参与竞拍斯诺实业</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0"/>
                <w:szCs w:val="20"/>
              </w:rPr>
              <w:t>股权的公告》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0"/>
                <w:szCs w:val="20"/>
              </w:rPr>
              <w:t>日</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《关于斯诺实业股权转让款支付完毕的公告》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日</w:t>
            </w:r>
          </w:p>
        </w:tc>
        <w:tc>
          <w:tcPr>
            <w:vMerge/>
            <w:tcBorders>
              <w:left w:val="single" w:sz="4"/>
              <w:right w:val="single" w:sz="4"/>
            </w:tcBorders>
            <w:shd w:val="clear" w:color="auto" w:fill="FFFFFF"/>
            <w:vAlign w:val="center"/>
          </w:tcPr>
          <w:p>
            <w:pPr/>
          </w:p>
        </w:tc>
      </w:tr>
      <w:tr>
        <w:trPr>
          <w:trHeight w:val="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《关于与浦项化学签署〈增资协议〉公告》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日</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17"/>
        <w:keepNext/>
        <w:keepLines/>
        <w:widowControl w:val="0"/>
        <w:shd w:val="clear" w:color="auto" w:fill="auto"/>
        <w:bidi w:val="0"/>
        <w:spacing w:before="0" w:after="560" w:line="240" w:lineRule="auto"/>
        <w:ind w:left="0" w:right="0" w:firstLine="0"/>
        <w:jc w:val="center"/>
      </w:pPr>
      <w:bookmarkStart w:id="555" w:name="bookmark555"/>
      <w:bookmarkStart w:id="556" w:name="bookmark556"/>
      <w:bookmarkStart w:id="557" w:name="bookmark557"/>
      <w:r>
        <w:rPr>
          <w:color w:val="000000"/>
          <w:spacing w:val="0"/>
          <w:w w:val="100"/>
          <w:position w:val="0"/>
        </w:rPr>
        <w:t>第七节股份变动及股东情况</w:t>
      </w:r>
      <w:bookmarkEnd w:id="555"/>
      <w:bookmarkEnd w:id="556"/>
      <w:bookmarkEnd w:id="557"/>
    </w:p>
    <w:p>
      <w:pPr>
        <w:pStyle w:val="Style33"/>
        <w:keepNext/>
        <w:keepLines/>
        <w:widowControl w:val="0"/>
        <w:shd w:val="clear" w:color="auto" w:fill="auto"/>
        <w:bidi w:val="0"/>
        <w:spacing w:before="0" w:after="340" w:line="240" w:lineRule="auto"/>
        <w:ind w:left="0" w:right="0" w:firstLine="680"/>
        <w:jc w:val="both"/>
      </w:pPr>
      <w:bookmarkStart w:id="558" w:name="bookmark558"/>
      <w:bookmarkStart w:id="559" w:name="bookmark559"/>
      <w:bookmarkStart w:id="560" w:name="bookmark560"/>
      <w:bookmarkStart w:id="561" w:name="bookmark561"/>
      <w:r>
        <w:rPr>
          <w:color w:val="000000"/>
          <w:spacing w:val="0"/>
          <w:w w:val="100"/>
          <w:position w:val="0"/>
        </w:rPr>
        <w:t>一</w:t>
      </w:r>
      <w:bookmarkEnd w:id="560"/>
      <w:r>
        <w:rPr>
          <w:color w:val="000000"/>
          <w:spacing w:val="0"/>
          <w:w w:val="100"/>
          <w:position w:val="0"/>
        </w:rPr>
        <w:t>、股份变动情况</w:t>
      </w:r>
      <w:bookmarkEnd w:id="558"/>
      <w:bookmarkEnd w:id="559"/>
      <w:bookmarkEnd w:id="561"/>
    </w:p>
    <w:p>
      <w:pPr>
        <w:pStyle w:val="Style37"/>
        <w:keepNext/>
        <w:keepLines/>
        <w:widowControl w:val="0"/>
        <w:shd w:val="clear" w:color="auto" w:fill="auto"/>
        <w:bidi w:val="0"/>
        <w:spacing w:before="0" w:after="340" w:line="240" w:lineRule="auto"/>
        <w:ind w:left="0" w:right="0" w:firstLine="680"/>
        <w:jc w:val="both"/>
      </w:pPr>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r>
        <w:rPr>
          <w:color w:val="000000"/>
          <w:spacing w:val="0"/>
          <w:w w:val="100"/>
          <w:position w:val="0"/>
        </w:rPr>
        <w:t>、股份变动情况</w:t>
      </w:r>
      <w:bookmarkEnd w:id="562"/>
      <w:bookmarkEnd w:id="563"/>
      <w:bookmarkEnd w:id="564"/>
    </w:p>
    <w:p>
      <w:pPr>
        <w:pStyle w:val="Style30"/>
        <w:keepNext w:val="0"/>
        <w:keepLines w:val="0"/>
        <w:widowControl w:val="0"/>
        <w:shd w:val="clear" w:color="auto" w:fill="auto"/>
        <w:bidi w:val="0"/>
        <w:spacing w:before="0" w:after="0" w:line="240" w:lineRule="auto"/>
        <w:ind w:left="9360" w:right="0" w:firstLine="0"/>
        <w:jc w:val="left"/>
      </w:pPr>
      <w:r>
        <w:rPr>
          <w:color w:val="000000"/>
          <w:spacing w:val="0"/>
          <w:w w:val="100"/>
          <w:position w:val="0"/>
        </w:rPr>
        <w:t>单位：股</w:t>
      </w:r>
    </w:p>
    <w:tbl>
      <w:tblPr>
        <w:tblOverlap w:val="never"/>
        <w:jc w:val="center"/>
        <w:tblLayout w:type="fixed"/>
      </w:tblPr>
      <w:tblGrid>
        <w:gridCol w:w="2232"/>
        <w:gridCol w:w="1176"/>
        <w:gridCol w:w="821"/>
        <w:gridCol w:w="1142"/>
        <w:gridCol w:w="821"/>
        <w:gridCol w:w="821"/>
        <w:gridCol w:w="821"/>
        <w:gridCol w:w="1210"/>
        <w:gridCol w:w="1157"/>
        <w:gridCol w:w="80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12,560,625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35,048,175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47,608,800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12,560,625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35,048,175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47,608,800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12,560,625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35,048,175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47,608,800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545,054,375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545,055,200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545,054,375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545,055,200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、境内上市的外资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、境外上市的外资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557,615,000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35,049,000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35,049,000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592,664,000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680"/>
        <w:jc w:val="both"/>
      </w:pPr>
      <w:r>
        <w:rPr>
          <w:color w:val="000000"/>
          <w:spacing w:val="0"/>
          <w:w w:val="100"/>
          <w:position w:val="0"/>
        </w:rPr>
        <w:t>股份变动的原因</w:t>
      </w:r>
    </w:p>
    <w:p>
      <w:pPr>
        <w:pStyle w:val="Style13"/>
        <w:keepNext w:val="0"/>
        <w:keepLines w:val="0"/>
        <w:widowControl w:val="0"/>
        <w:shd w:val="clear" w:color="auto" w:fill="auto"/>
        <w:bidi w:val="0"/>
        <w:spacing w:before="0" w:after="0" w:line="240" w:lineRule="auto"/>
        <w:ind w:left="0" w:right="0" w:firstLine="6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tabs>
          <w:tab w:pos="1773" w:val="left"/>
        </w:tabs>
        <w:bidi w:val="0"/>
        <w:spacing w:before="0" w:after="0" w:line="466" w:lineRule="exact"/>
        <w:ind w:left="680" w:right="0" w:firstLine="460"/>
        <w:jc w:val="left"/>
      </w:pPr>
      <w:bookmarkStart w:id="565" w:name="bookmark565"/>
      <w:r>
        <w:rPr>
          <w:color w:val="000000"/>
          <w:spacing w:val="0"/>
          <w:w w:val="100"/>
          <w:position w:val="0"/>
        </w:rPr>
        <w:t>（</w:t>
      </w:r>
      <w:bookmarkEnd w:id="565"/>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报告期内公司实施了</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年限制性股票激励计划，首次授予激励股份</w:t>
      </w:r>
      <w:r>
        <w:rPr>
          <w:rFonts w:ascii="Times New Roman" w:eastAsia="Times New Roman" w:hAnsi="Times New Roman" w:cs="Times New Roman"/>
          <w:color w:val="000000"/>
          <w:spacing w:val="0"/>
          <w:w w:val="100"/>
          <w:position w:val="0"/>
        </w:rPr>
        <w:t>3,504.90</w:t>
      </w:r>
      <w:r>
        <w:rPr>
          <w:color w:val="000000"/>
          <w:spacing w:val="0"/>
          <w:w w:val="100"/>
          <w:position w:val="0"/>
        </w:rPr>
        <w:t>万股已完 成登记并于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日上市；</w:t>
      </w:r>
    </w:p>
    <w:p>
      <w:pPr>
        <w:pStyle w:val="Style13"/>
        <w:keepNext w:val="0"/>
        <w:keepLines w:val="0"/>
        <w:widowControl w:val="0"/>
        <w:shd w:val="clear" w:color="auto" w:fill="auto"/>
        <w:tabs>
          <w:tab w:pos="1652" w:val="left"/>
        </w:tabs>
        <w:bidi w:val="0"/>
        <w:spacing w:before="0" w:after="0" w:line="466" w:lineRule="exact"/>
        <w:ind w:left="1140" w:right="0" w:firstLine="0"/>
        <w:jc w:val="left"/>
      </w:pPr>
      <w:bookmarkStart w:id="566" w:name="bookmark566"/>
      <w:r>
        <w:rPr>
          <w:color w:val="000000"/>
          <w:spacing w:val="0"/>
          <w:w w:val="100"/>
          <w:position w:val="0"/>
        </w:rPr>
        <w:t>（</w:t>
      </w:r>
      <w:bookmarkEnd w:id="566"/>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报告期内公司此前已离任董事和监事的虚拟任期届满后其高管限售股份解锁。</w:t>
      </w:r>
    </w:p>
    <w:p>
      <w:pPr>
        <w:pStyle w:val="Style13"/>
        <w:keepNext w:val="0"/>
        <w:keepLines w:val="0"/>
        <w:widowControl w:val="0"/>
        <w:shd w:val="clear" w:color="auto" w:fill="auto"/>
        <w:bidi w:val="0"/>
        <w:spacing w:before="0" w:after="200" w:line="466" w:lineRule="exact"/>
        <w:ind w:left="0" w:right="0" w:firstLine="680"/>
        <w:jc w:val="both"/>
      </w:pPr>
      <w:r>
        <w:rPr>
          <w:color w:val="000000"/>
          <w:spacing w:val="0"/>
          <w:w w:val="100"/>
          <w:position w:val="0"/>
        </w:rPr>
        <w:t>股份变动的批准情况</w:t>
      </w:r>
    </w:p>
    <w:p>
      <w:pPr>
        <w:pStyle w:val="Style13"/>
        <w:keepNext w:val="0"/>
        <w:keepLines w:val="0"/>
        <w:widowControl w:val="0"/>
        <w:shd w:val="clear" w:color="auto" w:fill="auto"/>
        <w:bidi w:val="0"/>
        <w:spacing w:before="0" w:after="0" w:line="470" w:lineRule="exact"/>
        <w:ind w:left="0" w:right="0" w:firstLine="6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60" w:line="470" w:lineRule="exact"/>
        <w:ind w:left="0" w:right="0" w:firstLine="6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年限制性股票激励计划的批准情况：</w:t>
      </w:r>
    </w:p>
    <w:p>
      <w:pPr>
        <w:pStyle w:val="Style13"/>
        <w:keepNext w:val="0"/>
        <w:keepLines w:val="0"/>
        <w:widowControl w:val="0"/>
        <w:shd w:val="clear" w:color="auto" w:fill="auto"/>
        <w:tabs>
          <w:tab w:pos="1483" w:val="left"/>
        </w:tabs>
        <w:bidi w:val="0"/>
        <w:spacing w:before="0" w:after="0" w:line="472" w:lineRule="exact"/>
        <w:ind w:left="640" w:right="0" w:firstLine="500"/>
        <w:jc w:val="both"/>
      </w:pPr>
      <w:bookmarkStart w:id="567" w:name="bookmark567"/>
      <w:r>
        <w:rPr>
          <w:rFonts w:ascii="Times New Roman" w:eastAsia="Times New Roman" w:hAnsi="Times New Roman" w:cs="Times New Roman"/>
          <w:color w:val="000000"/>
          <w:spacing w:val="0"/>
          <w:w w:val="100"/>
          <w:position w:val="0"/>
        </w:rPr>
        <w:t>1</w:t>
      </w:r>
      <w:bookmarkEnd w:id="567"/>
      <w:r>
        <w:rPr>
          <w:color w:val="000000"/>
          <w:spacing w:val="0"/>
          <w:w w:val="100"/>
          <w:position w:val="0"/>
        </w:rPr>
        <w:t>、</w:t>
        <w:tab/>
        <w:t>董事会、监事会审议通过：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日，公司召开第五届董事会第三次会议、第五届 监事会第二次会议，审议通过《关于公司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r>
        <w:rPr>
          <w:color w:val="000000"/>
          <w:spacing w:val="0"/>
          <w:w w:val="100"/>
          <w:position w:val="0"/>
        </w:rPr>
        <w:t>〉</w:t>
      </w:r>
      <w:r>
        <w:rPr>
          <w:color w:val="000000"/>
          <w:spacing w:val="0"/>
          <w:w w:val="100"/>
          <w:position w:val="0"/>
        </w:rPr>
        <w:t>及其摘要的议案》、</w:t>
      </w:r>
    </w:p>
    <w:p>
      <w:pPr>
        <w:pStyle w:val="Style13"/>
        <w:keepNext w:val="0"/>
        <w:keepLines w:val="0"/>
        <w:widowControl w:val="0"/>
        <w:shd w:val="clear" w:color="auto" w:fill="auto"/>
        <w:bidi w:val="0"/>
        <w:spacing w:before="0" w:after="0" w:line="472" w:lineRule="exact"/>
        <w:ind w:left="0" w:right="0" w:firstLine="640"/>
        <w:jc w:val="both"/>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的议案》等相关议案。</w:t>
      </w:r>
    </w:p>
    <w:p>
      <w:pPr>
        <w:pStyle w:val="Style13"/>
        <w:keepNext w:val="0"/>
        <w:keepLines w:val="0"/>
        <w:widowControl w:val="0"/>
        <w:shd w:val="clear" w:color="auto" w:fill="auto"/>
        <w:tabs>
          <w:tab w:pos="1488" w:val="left"/>
        </w:tabs>
        <w:bidi w:val="0"/>
        <w:spacing w:before="0" w:after="140" w:line="472" w:lineRule="exact"/>
        <w:ind w:left="640" w:right="0" w:firstLine="500"/>
        <w:jc w:val="both"/>
      </w:pPr>
      <w:bookmarkStart w:id="568" w:name="bookmark568"/>
      <w:r>
        <w:rPr>
          <w:rFonts w:ascii="Times New Roman" w:eastAsia="Times New Roman" w:hAnsi="Times New Roman" w:cs="Times New Roman"/>
          <w:color w:val="000000"/>
          <w:spacing w:val="0"/>
          <w:w w:val="100"/>
          <w:position w:val="0"/>
        </w:rPr>
        <w:t>2</w:t>
      </w:r>
      <w:bookmarkEnd w:id="568"/>
      <w:r>
        <w:rPr>
          <w:color w:val="000000"/>
          <w:spacing w:val="0"/>
          <w:w w:val="100"/>
          <w:position w:val="0"/>
        </w:rPr>
        <w:t>、</w:t>
        <w:tab/>
        <w:t>股东大会审议通过：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年第一次临时股东大会，审议通过《关 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年限制性股票 激励计划实施考核管理办法 </w:t>
      </w:r>
      <w:r>
        <w:rPr>
          <w:rFonts w:ascii="Times New Roman" w:eastAsia="Times New Roman" w:hAnsi="Times New Roman" w:cs="Times New Roman"/>
          <w:color w:val="000000"/>
          <w:spacing w:val="0"/>
          <w:w w:val="100"/>
          <w:position w:val="0"/>
        </w:rPr>
        <w:t>＞</w:t>
      </w:r>
      <w:r>
        <w:rPr>
          <w:color w:val="000000"/>
          <w:spacing w:val="0"/>
          <w:w w:val="100"/>
          <w:position w:val="0"/>
        </w:rPr>
        <w:t>的议案》等相关议案。</w:t>
      </w:r>
    </w:p>
    <w:p>
      <w:pPr>
        <w:pStyle w:val="Style13"/>
        <w:keepNext w:val="0"/>
        <w:keepLines w:val="0"/>
        <w:widowControl w:val="0"/>
        <w:shd w:val="clear" w:color="auto" w:fill="auto"/>
        <w:bidi w:val="0"/>
        <w:spacing w:before="0" w:after="0" w:line="470" w:lineRule="exact"/>
        <w:ind w:left="0" w:right="0" w:firstLine="640"/>
        <w:jc w:val="both"/>
      </w:pPr>
      <w:r>
        <w:rPr>
          <w:color w:val="000000"/>
          <w:spacing w:val="0"/>
          <w:w w:val="100"/>
          <w:position w:val="0"/>
        </w:rPr>
        <w:t>股份变动的过户情况</w:t>
      </w:r>
    </w:p>
    <w:p>
      <w:pPr>
        <w:pStyle w:val="Style13"/>
        <w:keepNext w:val="0"/>
        <w:keepLines w:val="0"/>
        <w:widowControl w:val="0"/>
        <w:shd w:val="clear" w:color="auto" w:fill="auto"/>
        <w:bidi w:val="0"/>
        <w:spacing w:before="0" w:after="140" w:line="470" w:lineRule="exact"/>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0" w:line="470" w:lineRule="exact"/>
        <w:ind w:left="640" w:right="0" w:firstLine="40"/>
        <w:jc w:val="both"/>
      </w:pPr>
      <w:r>
        <w:rPr>
          <w:color w:val="000000"/>
          <w:spacing w:val="0"/>
          <w:w w:val="100"/>
          <w:position w:val="0"/>
        </w:rPr>
        <w:t>股份变动对最近一年和最近一期基本每股收益和稀释每股收益、归属于公司普通股股东的每股净 资产等财务指标的影响</w:t>
      </w:r>
    </w:p>
    <w:p>
      <w:pPr>
        <w:pStyle w:val="Style13"/>
        <w:keepNext w:val="0"/>
        <w:keepLines w:val="0"/>
        <w:widowControl w:val="0"/>
        <w:shd w:val="clear" w:color="auto" w:fill="auto"/>
        <w:bidi w:val="0"/>
        <w:spacing w:before="0" w:after="0" w:line="470" w:lineRule="exact"/>
        <w:ind w:left="0" w:right="0" w:firstLine="6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0" w:line="470" w:lineRule="exact"/>
        <w:ind w:left="64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月公司完成</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年限制性股票激励计划的首次授予登记工作，首次授予登记完成的 限制性股票数量为</w:t>
      </w:r>
      <w:r>
        <w:rPr>
          <w:rFonts w:ascii="Times New Roman" w:eastAsia="Times New Roman" w:hAnsi="Times New Roman" w:cs="Times New Roman"/>
          <w:color w:val="000000"/>
          <w:spacing w:val="0"/>
          <w:w w:val="100"/>
          <w:position w:val="0"/>
        </w:rPr>
        <w:t>3,504.9</w:t>
      </w:r>
      <w:r>
        <w:rPr>
          <w:rFonts w:ascii="Times New Roman" w:eastAsia="Times New Roman" w:hAnsi="Times New Roman" w:cs="Times New Roman"/>
          <w:color w:val="000000"/>
          <w:spacing w:val="0"/>
          <w:w w:val="100"/>
          <w:position w:val="0"/>
        </w:rPr>
        <w:t>0</w:t>
      </w:r>
      <w:r>
        <w:rPr>
          <w:color w:val="000000"/>
          <w:spacing w:val="0"/>
          <w:w w:val="100"/>
          <w:position w:val="0"/>
        </w:rPr>
        <w:t>万股，公司总股由</w:t>
      </w:r>
      <w:r>
        <w:rPr>
          <w:rFonts w:ascii="Times New Roman" w:eastAsia="Times New Roman" w:hAnsi="Times New Roman" w:cs="Times New Roman"/>
          <w:color w:val="000000"/>
          <w:spacing w:val="0"/>
          <w:w w:val="100"/>
          <w:position w:val="0"/>
        </w:rPr>
        <w:t>557,615,000</w:t>
      </w:r>
      <w:r>
        <w:rPr>
          <w:color w:val="000000"/>
          <w:spacing w:val="0"/>
          <w:w w:val="100"/>
          <w:position w:val="0"/>
        </w:rPr>
        <w:t>股变更为</w:t>
      </w:r>
      <w:r>
        <w:rPr>
          <w:rFonts w:ascii="Times New Roman" w:eastAsia="Times New Roman" w:hAnsi="Times New Roman" w:cs="Times New Roman"/>
          <w:color w:val="000000"/>
          <w:spacing w:val="0"/>
          <w:w w:val="100"/>
          <w:position w:val="0"/>
        </w:rPr>
        <w:t>592,664,000</w:t>
      </w:r>
      <w:r>
        <w:rPr>
          <w:color w:val="000000"/>
          <w:spacing w:val="0"/>
          <w:w w:val="100"/>
          <w:position w:val="0"/>
        </w:rPr>
        <w:t>股。本次变动对最 近一年和最近一期基本每股收益和稀释每股收益、归属于公司普通股股东的每股净资产等财务指 标的影响如下：</w:t>
      </w:r>
    </w:p>
    <w:p>
      <w:pPr>
        <w:pStyle w:val="Style13"/>
        <w:keepNext w:val="0"/>
        <w:keepLines w:val="0"/>
        <w:widowControl w:val="0"/>
        <w:shd w:val="clear" w:color="auto" w:fill="auto"/>
        <w:tabs>
          <w:tab w:pos="1738" w:val="left"/>
        </w:tabs>
        <w:bidi w:val="0"/>
        <w:spacing w:before="0" w:after="0" w:line="470" w:lineRule="exact"/>
        <w:ind w:left="640" w:right="0" w:firstLine="500"/>
        <w:jc w:val="both"/>
      </w:pPr>
      <w:bookmarkStart w:id="569" w:name="bookmark569"/>
      <w:r>
        <w:rPr>
          <w:color w:val="000000"/>
          <w:spacing w:val="0"/>
          <w:w w:val="100"/>
          <w:position w:val="0"/>
        </w:rPr>
        <w:t>（</w:t>
      </w:r>
      <w:bookmarkEnd w:id="569"/>
      <w:r>
        <w:rPr>
          <w:rFonts w:ascii="Times New Roman" w:eastAsia="Times New Roman" w:hAnsi="Times New Roman" w:cs="Times New Roman"/>
          <w:color w:val="000000"/>
          <w:spacing w:val="0"/>
          <w:w w:val="100"/>
          <w:position w:val="0"/>
        </w:rPr>
        <w:t>1</w:t>
      </w:r>
      <w:r>
        <w:rPr>
          <w:color w:val="000000"/>
          <w:spacing w:val="0"/>
          <w:w w:val="100"/>
          <w:position w:val="0"/>
        </w:rPr>
        <w:t>）</w:t>
        <w:tab/>
        <w:t>基本每股收益和稀释每股收益：按期初股本计算，本期基本每股收益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.3927</w:t>
      </w:r>
      <w:r>
        <w:rPr>
          <w:color w:val="000000"/>
          <w:spacing w:val="0"/>
          <w:w w:val="100"/>
          <w:position w:val="0"/>
        </w:rPr>
        <w:t>元；按本次 股本变动后的股本计算本期基本每股收益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.3877</w:t>
      </w:r>
      <w:r>
        <w:rPr>
          <w:color w:val="000000"/>
          <w:spacing w:val="0"/>
          <w:w w:val="100"/>
          <w:position w:val="0"/>
        </w:rPr>
        <w:t>元；因本期股本增加，导致每股收益下降。对稀 释每股收益的影响与基本每股收益相同。</w:t>
      </w:r>
    </w:p>
    <w:p>
      <w:pPr>
        <w:pStyle w:val="Style13"/>
        <w:keepNext w:val="0"/>
        <w:keepLines w:val="0"/>
        <w:widowControl w:val="0"/>
        <w:shd w:val="clear" w:color="auto" w:fill="auto"/>
        <w:tabs>
          <w:tab w:pos="1723" w:val="left"/>
        </w:tabs>
        <w:bidi w:val="0"/>
        <w:spacing w:before="0" w:after="0" w:line="470" w:lineRule="exact"/>
        <w:ind w:left="640" w:right="0" w:firstLine="500"/>
        <w:jc w:val="both"/>
      </w:pPr>
      <w:bookmarkStart w:id="570" w:name="bookmark570"/>
      <w:r>
        <w:rPr>
          <w:color w:val="000000"/>
          <w:spacing w:val="0"/>
          <w:w w:val="100"/>
          <w:position w:val="0"/>
        </w:rPr>
        <w:t>（</w:t>
      </w:r>
      <w:bookmarkEnd w:id="570"/>
      <w:r>
        <w:rPr>
          <w:rFonts w:ascii="Times New Roman" w:eastAsia="Times New Roman" w:hAnsi="Times New Roman" w:cs="Times New Roman"/>
          <w:color w:val="000000"/>
          <w:spacing w:val="0"/>
          <w:w w:val="100"/>
          <w:position w:val="0"/>
        </w:rPr>
        <w:t>2</w:t>
      </w:r>
      <w:r>
        <w:rPr>
          <w:color w:val="000000"/>
          <w:spacing w:val="0"/>
          <w:w w:val="100"/>
          <w:position w:val="0"/>
        </w:rPr>
        <w:t>）</w:t>
        <w:tab/>
        <w:t>归属于公司普通股股东的每股净资产：按期初股本计算，期末归属于公司普通股股东 的每股净资产</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.41</w:t>
      </w:r>
      <w:r>
        <w:rPr>
          <w:color w:val="000000"/>
          <w:spacing w:val="0"/>
          <w:w w:val="100"/>
          <w:position w:val="0"/>
        </w:rPr>
        <w:t>元，股本增加后，期末归属于公司普通股股东的每股净资产</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.38</w:t>
      </w:r>
      <w:r>
        <w:rPr>
          <w:color w:val="000000"/>
          <w:spacing w:val="0"/>
          <w:w w:val="100"/>
          <w:position w:val="0"/>
        </w:rPr>
        <w:t>元。</w:t>
      </w:r>
    </w:p>
    <w:p>
      <w:pPr>
        <w:pStyle w:val="Style13"/>
        <w:keepNext w:val="0"/>
        <w:keepLines w:val="0"/>
        <w:widowControl w:val="0"/>
        <w:shd w:val="clear" w:color="auto" w:fill="auto"/>
        <w:bidi w:val="0"/>
        <w:spacing w:before="0" w:after="200" w:line="514" w:lineRule="exact"/>
        <w:ind w:left="640" w:right="0" w:firstLine="40"/>
        <w:jc w:val="both"/>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after="200" w:line="470" w:lineRule="exact"/>
        <w:ind w:left="0" w:right="0" w:firstLine="640"/>
        <w:jc w:val="both"/>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2</w:t>
      </w:r>
      <w:bookmarkEnd w:id="573"/>
      <w:r>
        <w:rPr>
          <w:color w:val="000000"/>
          <w:spacing w:val="0"/>
          <w:w w:val="100"/>
          <w:position w:val="0"/>
        </w:rPr>
        <w:t>、限售股份变动情况</w:t>
      </w:r>
      <w:bookmarkEnd w:id="571"/>
      <w:bookmarkEnd w:id="572"/>
      <w:bookmarkEnd w:id="574"/>
    </w:p>
    <w:p>
      <w:pPr>
        <w:pStyle w:val="Style13"/>
        <w:keepNext w:val="0"/>
        <w:keepLines w:val="0"/>
        <w:widowControl w:val="0"/>
        <w:shd w:val="clear" w:color="auto" w:fill="auto"/>
        <w:bidi w:val="0"/>
        <w:spacing w:before="0" w:after="200" w:line="470" w:lineRule="exact"/>
        <w:ind w:left="0" w:right="0" w:firstLine="6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470" w:lineRule="exact"/>
        <w:ind w:left="0" w:right="0" w:firstLine="0"/>
        <w:jc w:val="distribute"/>
      </w:pPr>
      <w:r>
        <w:rPr>
          <w:color w:val="000000"/>
          <w:spacing w:val="0"/>
          <w:w w:val="100"/>
          <w:position w:val="0"/>
        </w:rPr>
        <w:t>单位：股</w:t>
      </w:r>
    </w:p>
    <w:tbl>
      <w:tblPr>
        <w:tblOverlap w:val="never"/>
        <w:jc w:val="center"/>
        <w:tblLayout w:type="fixed"/>
      </w:tblPr>
      <w:tblGrid>
        <w:gridCol w:w="1214"/>
        <w:gridCol w:w="1488"/>
        <w:gridCol w:w="1277"/>
        <w:gridCol w:w="1061"/>
        <w:gridCol w:w="1277"/>
        <w:gridCol w:w="1277"/>
        <w:gridCol w:w="20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期初限售股数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本期解除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期末限售股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拟解除限售日期</w:t>
            </w:r>
          </w:p>
        </w:tc>
      </w:tr>
    </w:tbl>
    <w:p>
      <w:pPr>
        <w:spacing w:lineRule="exact" w:line="1"/>
        <w:rPr>
          <w:sz w:val="2"/>
          <w:szCs w:val="2"/>
        </w:rPr>
      </w:pPr>
      <w:r>
        <w:br w:type="page"/>
      </w:r>
    </w:p>
    <w:tbl>
      <w:tblPr>
        <w:tblOverlap w:val="never"/>
        <w:jc w:val="center"/>
        <w:tblLayout w:type="fixed"/>
      </w:tblPr>
      <w:tblGrid>
        <w:gridCol w:w="1214"/>
        <w:gridCol w:w="1488"/>
        <w:gridCol w:w="1277"/>
        <w:gridCol w:w="1061"/>
        <w:gridCol w:w="1277"/>
        <w:gridCol w:w="1277"/>
        <w:gridCol w:w="206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18,058,300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高管锁定、股 权激励限售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高管锁定股每年解锁 股份总数的</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0"/>
                <w:szCs w:val="20"/>
              </w:rPr>
              <w:t xml:space="preserve">，股 权激励限售股将于 </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 xml:space="preserve">2024 </w:t>
            </w:r>
            <w:r>
              <w:rPr>
                <w:color w:val="000000"/>
                <w:spacing w:val="0"/>
                <w:w w:val="100"/>
                <w:position w:val="0"/>
                <w:sz w:val="20"/>
                <w:szCs w:val="20"/>
              </w:rPr>
              <w:t>年 在满足解锁条件下解 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梁洁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股权激励限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 xml:space="preserve">股权激励限售股将于 </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 xml:space="preserve">2024 </w:t>
            </w:r>
            <w:r>
              <w:rPr>
                <w:color w:val="000000"/>
                <w:spacing w:val="0"/>
                <w:w w:val="100"/>
                <w:position w:val="0"/>
                <w:sz w:val="20"/>
                <w:szCs w:val="20"/>
              </w:rPr>
              <w:t>年 在满足解锁条件下解 锁</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肖德银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股权激励限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 xml:space="preserve">股权激励限售股将于 </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 xml:space="preserve">2024 </w:t>
            </w:r>
            <w:r>
              <w:rPr>
                <w:color w:val="000000"/>
                <w:spacing w:val="0"/>
                <w:w w:val="100"/>
                <w:position w:val="0"/>
                <w:sz w:val="20"/>
                <w:szCs w:val="20"/>
              </w:rPr>
              <w:t>年 在满足解锁条件下解 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阚玉伦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股权激励限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 xml:space="preserve">股权激励限售股将于 </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 xml:space="preserve">2024 </w:t>
            </w:r>
            <w:r>
              <w:rPr>
                <w:color w:val="000000"/>
                <w:spacing w:val="0"/>
                <w:w w:val="100"/>
                <w:position w:val="0"/>
                <w:sz w:val="20"/>
                <w:szCs w:val="20"/>
              </w:rPr>
              <w:t>年 在满足解锁条件下解 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股权激励限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 xml:space="preserve">股权激励限售股将于 </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 xml:space="preserve">2024 </w:t>
            </w:r>
            <w:r>
              <w:rPr>
                <w:color w:val="000000"/>
                <w:spacing w:val="0"/>
                <w:w w:val="100"/>
                <w:position w:val="0"/>
                <w:sz w:val="20"/>
                <w:szCs w:val="20"/>
              </w:rPr>
              <w:t>年 在满足解锁条件下解 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叶艳桃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股权激励限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 xml:space="preserve">股权激励限售股将于 </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 xml:space="preserve">2024 </w:t>
            </w:r>
            <w:r>
              <w:rPr>
                <w:color w:val="000000"/>
                <w:spacing w:val="0"/>
                <w:w w:val="100"/>
                <w:position w:val="0"/>
                <w:sz w:val="20"/>
                <w:szCs w:val="20"/>
              </w:rPr>
              <w:t>年 在满足解锁条件下解 锁</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25,549,375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25,550,500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高管锁定、股 权激励限制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 xml:space="preserve">股权激励限售股将于 </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 xml:space="preserve">2024 </w:t>
            </w:r>
            <w:r>
              <w:rPr>
                <w:color w:val="000000"/>
                <w:spacing w:val="0"/>
                <w:w w:val="100"/>
                <w:position w:val="0"/>
                <w:sz w:val="20"/>
                <w:szCs w:val="20"/>
              </w:rPr>
              <w:t>年 在满足解锁条件下解 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12,560,625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35,049,375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47,608,800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二、证券发行与上市情况</w:t>
      </w:r>
    </w:p>
    <w:p>
      <w:pPr>
        <w:widowControl w:val="0"/>
        <w:spacing w:after="339" w:line="1" w:lineRule="exact"/>
      </w:pPr>
    </w:p>
    <w:p>
      <w:pPr>
        <w:pStyle w:val="Style37"/>
        <w:keepNext/>
        <w:keepLines/>
        <w:widowControl w:val="0"/>
        <w:shd w:val="clear" w:color="auto" w:fill="auto"/>
        <w:bidi w:val="0"/>
        <w:spacing w:before="0" w:after="400" w:line="240" w:lineRule="auto"/>
        <w:ind w:left="0" w:right="0" w:firstLine="660"/>
        <w:jc w:val="left"/>
      </w:pPr>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r>
        <w:rPr>
          <w:color w:val="000000"/>
          <w:spacing w:val="0"/>
          <w:w w:val="100"/>
          <w:position w:val="0"/>
        </w:rPr>
        <w:t>、报告期内证券发行（不含优先股）情况</w:t>
      </w:r>
      <w:bookmarkEnd w:id="575"/>
      <w:bookmarkEnd w:id="576"/>
      <w:bookmarkEnd w:id="577"/>
    </w:p>
    <w:p>
      <w:pPr>
        <w:pStyle w:val="Style13"/>
        <w:keepNext w:val="0"/>
        <w:keepLines w:val="0"/>
        <w:widowControl w:val="0"/>
        <w:shd w:val="clear" w:color="auto" w:fill="auto"/>
        <w:bidi w:val="0"/>
        <w:spacing w:before="0" w:after="360" w:line="240" w:lineRule="auto"/>
        <w:ind w:left="0" w:right="0" w:firstLine="6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1072" w:val="left"/>
        </w:tabs>
        <w:bidi w:val="0"/>
        <w:spacing w:before="0" w:after="200" w:line="468" w:lineRule="exact"/>
        <w:ind w:left="0" w:right="0" w:firstLine="680"/>
        <w:jc w:val="both"/>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bookmarkEnd w:id="580"/>
      <w:r>
        <w:rPr>
          <w:color w:val="000000"/>
          <w:spacing w:val="0"/>
          <w:w w:val="100"/>
          <w:position w:val="0"/>
        </w:rPr>
        <w:t>、</w:t>
        <w:tab/>
        <w:t>公司股份总数及股东结构的变动、公司资产和负债结构的变动情况说明</w:t>
      </w:r>
      <w:bookmarkEnd w:id="578"/>
      <w:bookmarkEnd w:id="579"/>
      <w:bookmarkEnd w:id="581"/>
    </w:p>
    <w:p>
      <w:pPr>
        <w:pStyle w:val="Style13"/>
        <w:keepNext w:val="0"/>
        <w:keepLines w:val="0"/>
        <w:widowControl w:val="0"/>
        <w:shd w:val="clear" w:color="auto" w:fill="auto"/>
        <w:bidi w:val="0"/>
        <w:spacing w:before="0" w:after="40" w:line="468" w:lineRule="exact"/>
        <w:ind w:left="0" w:right="0" w:firstLine="6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00" w:line="468" w:lineRule="exact"/>
        <w:ind w:left="68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日，公司召开第五届董事会第三次会议、第五届监事会第二次会议，审议通过 《关于公司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 票激励计划实施考核管理办法</w:t>
      </w:r>
      <w:r>
        <w:rPr>
          <w:color w:val="000000"/>
          <w:spacing w:val="0"/>
          <w:w w:val="100"/>
          <w:position w:val="0"/>
        </w:rPr>
        <w:t>〉</w:t>
      </w:r>
      <w:r>
        <w:rPr>
          <w:color w:val="000000"/>
          <w:spacing w:val="0"/>
          <w:w w:val="100"/>
          <w:position w:val="0"/>
        </w:rPr>
        <w:t>的议案》等相关议案。该激励计划于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日召开的公司 </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年第一次临时股东大会审议通过并确定实施。公司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年限制性股票激励计划授予限制性股 票总数为</w:t>
      </w:r>
      <w:r>
        <w:rPr>
          <w:rFonts w:ascii="Times New Roman" w:eastAsia="Times New Roman" w:hAnsi="Times New Roman" w:cs="Times New Roman"/>
          <w:color w:val="000000"/>
          <w:spacing w:val="0"/>
          <w:w w:val="100"/>
          <w:position w:val="0"/>
        </w:rPr>
        <w:t>3,804.90</w:t>
      </w:r>
      <w:r>
        <w:rPr>
          <w:color w:val="000000"/>
          <w:spacing w:val="0"/>
          <w:w w:val="100"/>
          <w:position w:val="0"/>
        </w:rPr>
        <w:t>万股，首次授予限制性股票份额为</w:t>
      </w:r>
      <w:r>
        <w:rPr>
          <w:rFonts w:ascii="Times New Roman" w:eastAsia="Times New Roman" w:hAnsi="Times New Roman" w:cs="Times New Roman"/>
          <w:color w:val="000000"/>
          <w:spacing w:val="0"/>
          <w:w w:val="100"/>
          <w:position w:val="0"/>
        </w:rPr>
        <w:t>3,504.9</w:t>
      </w:r>
      <w:r>
        <w:rPr>
          <w:rFonts w:ascii="Times New Roman" w:eastAsia="Times New Roman" w:hAnsi="Times New Roman" w:cs="Times New Roman"/>
          <w:color w:val="000000"/>
          <w:spacing w:val="0"/>
          <w:w w:val="100"/>
          <w:position w:val="0"/>
        </w:rPr>
        <w:t>0</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月公司完成</w:t>
      </w:r>
      <w:r>
        <w:rPr>
          <w:rFonts w:ascii="Times New Roman" w:eastAsia="Times New Roman" w:hAnsi="Times New Roman" w:cs="Times New Roman"/>
          <w:color w:val="000000"/>
          <w:spacing w:val="0"/>
          <w:w w:val="100"/>
          <w:position w:val="0"/>
        </w:rPr>
        <w:t>2021</w:t>
      </w:r>
      <w:r>
        <w:rPr>
          <w:color w:val="000000"/>
          <w:spacing w:val="0"/>
          <w:w w:val="100"/>
          <w:position w:val="0"/>
        </w:rPr>
        <w:t>年限制 性股票激励计划的首次授予登记工作，公司总股由</w:t>
      </w:r>
      <w:r>
        <w:rPr>
          <w:rFonts w:ascii="Times New Roman" w:eastAsia="Times New Roman" w:hAnsi="Times New Roman" w:cs="Times New Roman"/>
          <w:color w:val="000000"/>
          <w:spacing w:val="0"/>
          <w:w w:val="100"/>
          <w:position w:val="0"/>
        </w:rPr>
        <w:t>557,615,000</w:t>
      </w:r>
      <w:r>
        <w:rPr>
          <w:color w:val="000000"/>
          <w:spacing w:val="0"/>
          <w:w w:val="100"/>
          <w:position w:val="0"/>
        </w:rPr>
        <w:t>股变更为</w:t>
      </w:r>
      <w:r>
        <w:rPr>
          <w:rFonts w:ascii="Times New Roman" w:eastAsia="Times New Roman" w:hAnsi="Times New Roman" w:cs="Times New Roman"/>
          <w:color w:val="000000"/>
          <w:spacing w:val="0"/>
          <w:w w:val="100"/>
          <w:position w:val="0"/>
        </w:rPr>
        <w:t>592,664,000</w:t>
      </w:r>
      <w:r>
        <w:rPr>
          <w:color w:val="000000"/>
          <w:spacing w:val="0"/>
          <w:w w:val="100"/>
          <w:position w:val="0"/>
        </w:rPr>
        <w:t>股。</w:t>
      </w:r>
    </w:p>
    <w:p>
      <w:pPr>
        <w:pStyle w:val="Style37"/>
        <w:keepNext/>
        <w:keepLines/>
        <w:widowControl w:val="0"/>
        <w:shd w:val="clear" w:color="auto" w:fill="auto"/>
        <w:tabs>
          <w:tab w:pos="1072" w:val="left"/>
        </w:tabs>
        <w:bidi w:val="0"/>
        <w:spacing w:before="0" w:after="200" w:line="468" w:lineRule="exact"/>
        <w:ind w:left="0" w:right="0" w:firstLine="68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3</w:t>
      </w:r>
      <w:bookmarkEnd w:id="584"/>
      <w:r>
        <w:rPr>
          <w:color w:val="000000"/>
          <w:spacing w:val="0"/>
          <w:w w:val="100"/>
          <w:position w:val="0"/>
        </w:rPr>
        <w:t>、</w:t>
        <w:tab/>
        <w:t>现存的内部职工股情况</w:t>
      </w:r>
      <w:bookmarkEnd w:id="582"/>
      <w:bookmarkEnd w:id="583"/>
      <w:bookmarkEnd w:id="585"/>
    </w:p>
    <w:p>
      <w:pPr>
        <w:pStyle w:val="Style13"/>
        <w:keepNext w:val="0"/>
        <w:keepLines w:val="0"/>
        <w:widowControl w:val="0"/>
        <w:shd w:val="clear" w:color="auto" w:fill="auto"/>
        <w:bidi w:val="0"/>
        <w:spacing w:before="0" w:after="200" w:line="468" w:lineRule="exact"/>
        <w:ind w:left="0" w:right="0" w:firstLine="6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after="140" w:line="468" w:lineRule="exact"/>
        <w:ind w:left="0" w:right="0" w:firstLine="680"/>
        <w:jc w:val="both"/>
      </w:pPr>
      <w:bookmarkStart w:id="586" w:name="bookmark586"/>
      <w:bookmarkStart w:id="587" w:name="bookmark587"/>
      <w:bookmarkStart w:id="588" w:name="bookmark588"/>
      <w:r>
        <w:rPr>
          <w:color w:val="000000"/>
          <w:spacing w:val="0"/>
          <w:w w:val="100"/>
          <w:position w:val="0"/>
        </w:rPr>
        <w:t>三、股东和实际控制人情况</w:t>
      </w:r>
      <w:bookmarkEnd w:id="586"/>
      <w:bookmarkEnd w:id="587"/>
      <w:bookmarkEnd w:id="588"/>
    </w:p>
    <w:p>
      <w:pPr>
        <w:pStyle w:val="Style37"/>
        <w:keepNext/>
        <w:keepLines/>
        <w:widowControl w:val="0"/>
        <w:shd w:val="clear" w:color="auto" w:fill="auto"/>
        <w:bidi w:val="0"/>
        <w:spacing w:before="0" w:after="340" w:line="468" w:lineRule="exact"/>
        <w:ind w:left="0" w:right="0" w:firstLine="680"/>
        <w:jc w:val="both"/>
      </w:pPr>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589"/>
      <w:bookmarkEnd w:id="590"/>
      <w:bookmarkEnd w:id="5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09"/>
        <w:gridCol w:w="797"/>
        <w:gridCol w:w="619"/>
        <w:gridCol w:w="710"/>
        <w:gridCol w:w="274"/>
        <w:gridCol w:w="859"/>
        <w:gridCol w:w="336"/>
        <w:gridCol w:w="797"/>
        <w:gridCol w:w="533"/>
        <w:gridCol w:w="571"/>
        <w:gridCol w:w="490"/>
        <w:gridCol w:w="533"/>
        <w:gridCol w:w="797"/>
        <w:gridCol w:w="197"/>
        <w:gridCol w:w="1142"/>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报告期末普通股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98,716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4"/>
                <w:szCs w:val="24"/>
              </w:rPr>
            </w:pPr>
            <w:r>
              <w:rPr>
                <w:color w:val="000000"/>
                <w:spacing w:val="0"/>
                <w:w w:val="100"/>
                <w:position w:val="0"/>
                <w:sz w:val="24"/>
                <w:szCs w:val="24"/>
              </w:rPr>
              <w:t>注</w:t>
            </w:r>
          </w:p>
          <w:p>
            <w:pPr>
              <w:pStyle w:val="Style2"/>
              <w:keepNext w:val="0"/>
              <w:keepLines w:val="0"/>
              <w:widowControl w:val="0"/>
              <w:shd w:val="clear" w:color="auto" w:fill="auto"/>
              <w:bidi w:val="0"/>
              <w:spacing w:before="0" w:after="0" w:line="180" w:lineRule="auto"/>
              <w:ind w:left="0" w:right="0" w:firstLine="140"/>
              <w:jc w:val="left"/>
              <w:rPr>
                <w:sz w:val="24"/>
                <w:szCs w:val="24"/>
              </w:rPr>
            </w:pPr>
            <w:r>
              <w:rPr>
                <w:rFonts w:ascii="Times New Roman" w:eastAsia="Times New Roman" w:hAnsi="Times New Roman" w:cs="Times New Roman"/>
                <w:color w:val="000000"/>
                <w:spacing w:val="0"/>
                <w:w w:val="100"/>
                <w:position w:val="0"/>
                <w:sz w:val="22"/>
                <w:szCs w:val="22"/>
              </w:rPr>
              <w:t xml:space="preserve">100,688 </w:t>
            </w:r>
            <w:r>
              <w:rPr>
                <w:color w:val="000000"/>
                <w:spacing w:val="0"/>
                <w:w w:val="100"/>
                <w:position w:val="0"/>
                <w:sz w:val="24"/>
                <w:szCs w:val="24"/>
              </w:rPr>
              <w:t>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报告期末表 决权恢复的 优先股股东</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总数（如有）</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年度报告披 露日前上一 月末表决权 恢复的优先 股股东总数</w:t>
            </w:r>
          </w:p>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52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持股</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以上的股东或前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名股东持股情况</w:t>
            </w:r>
          </w:p>
        </w:tc>
      </w:tr>
      <w:tr>
        <w:trPr>
          <w:trHeight w:val="5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both"/>
              <w:rPr>
                <w:sz w:val="20"/>
                <w:szCs w:val="20"/>
              </w:rPr>
            </w:pPr>
            <w:r>
              <w:rPr>
                <w:color w:val="000000"/>
                <w:spacing w:val="0"/>
                <w:w w:val="100"/>
                <w:position w:val="0"/>
                <w:sz w:val="20"/>
                <w:szCs w:val="20"/>
              </w:rPr>
              <w:t>持股 比例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报告期末</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报告期内</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增减变动</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持有有限</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售条件的</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持有无限</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售条件的</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质押或冻结情况</w:t>
            </w:r>
          </w:p>
        </w:tc>
      </w:tr>
      <w:tr>
        <w:trPr>
          <w:trHeight w:val="648"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孙迎彤</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22,244,400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18,058,300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4,186,100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中国银行股份有 限公司一华夏行 业景气混合型证 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境内非国有法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13,936,456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13,936,456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13,936,456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12,694,000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12,694,000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12,694,000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刘益谦</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8,992,800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8,992,800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bl>
    <w:p>
      <w:pPr>
        <w:spacing w:lineRule="exact" w:line="1"/>
        <w:rPr>
          <w:sz w:val="2"/>
          <w:szCs w:val="2"/>
        </w:rPr>
      </w:pPr>
      <w:r>
        <w:br w:type="page"/>
      </w:r>
    </w:p>
    <w:tbl>
      <w:tblPr>
        <w:tblOverlap w:val="never"/>
        <w:jc w:val="center"/>
        <w:tblLayout w:type="fixed"/>
      </w:tblPr>
      <w:tblGrid>
        <w:gridCol w:w="1709"/>
        <w:gridCol w:w="1416"/>
        <w:gridCol w:w="509"/>
        <w:gridCol w:w="202"/>
        <w:gridCol w:w="250"/>
        <w:gridCol w:w="883"/>
        <w:gridCol w:w="1133"/>
        <w:gridCol w:w="1118"/>
        <w:gridCol w:w="1008"/>
        <w:gridCol w:w="566"/>
        <w:gridCol w:w="427"/>
        <w:gridCol w:w="1142"/>
      </w:tblGrid>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余运波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0.99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5,851,600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5,851,600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国泰君安证券股 份有限公司一国 联安中证全指半 导体产品与设备 交易型开放式指 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境内非国有法 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0.65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3,870,287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3,870,287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3,870,287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陆志强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0.62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陈依婷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0.62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复华证券投资信 托股份有限公司 —客户资金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3,433,800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3,433,800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3,433,800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陈瑶希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3,422,000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806"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战略投资者或一般法人因配售新股成为前</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名股东的情况（如有）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72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上述股东中，刘益谦、王薇为一致行动人。除此之外，公司未知其他 股东之间是否存在关联关系或属于一致行动人。</w:t>
            </w:r>
          </w:p>
        </w:tc>
      </w:tr>
      <w:tr>
        <w:trPr>
          <w:trHeight w:val="811"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上述股东涉及委托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受托表决权、放弃表决权</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806"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名股东中存在回购专户的特别说明（如 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51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名无限售条件股东持股情况</w:t>
            </w:r>
          </w:p>
        </w:tc>
      </w:tr>
      <w:tr>
        <w:trPr>
          <w:trHeight w:val="523"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股份种类</w:t>
            </w:r>
          </w:p>
        </w:tc>
      </w:tr>
      <w:tr>
        <w:trPr>
          <w:trHeight w:val="518" w:hRule="exact"/>
        </w:trPr>
        <w:tc>
          <w:tcPr>
            <w:gridSpan w:val="3"/>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w:t>
            </w:r>
          </w:p>
        </w:tc>
      </w:tr>
      <w:tr>
        <w:trPr>
          <w:trHeight w:val="71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中国银行股份有限公司一华夏行业景气 混合型证券投资基金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13,936,456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13,936,456</w:t>
            </w:r>
          </w:p>
        </w:tc>
      </w:tr>
      <w:tr>
        <w:trPr>
          <w:trHeight w:val="51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王薇</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12,694,000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12,694,000</w:t>
            </w:r>
          </w:p>
        </w:tc>
      </w:tr>
      <w:tr>
        <w:trPr>
          <w:trHeight w:val="51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刘益谦</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8,992,800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8,992,800</w:t>
            </w:r>
          </w:p>
        </w:tc>
      </w:tr>
      <w:tr>
        <w:trPr>
          <w:trHeight w:val="52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余运波</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5,851,600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5,851,600</w:t>
            </w:r>
          </w:p>
        </w:tc>
      </w:tr>
      <w:tr>
        <w:trPr>
          <w:trHeight w:val="51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孙迎彤</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4,186,100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4,186,100</w:t>
            </w:r>
          </w:p>
        </w:tc>
      </w:tr>
      <w:tr>
        <w:trPr>
          <w:trHeight w:val="1037"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国泰君安证券股份有限公司一国联安中 证全指半导体产品与设备交易型开放式 指数证券投资基金</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3,870,287</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3,870,287</w:t>
            </w:r>
          </w:p>
        </w:tc>
      </w:tr>
    </w:tbl>
    <w:tbl>
      <w:tblPr>
        <w:tblOverlap w:val="never"/>
        <w:jc w:val="center"/>
        <w:tblLayout w:type="fixed"/>
      </w:tblPr>
      <w:tblGrid>
        <w:gridCol w:w="3634"/>
        <w:gridCol w:w="3605"/>
        <w:gridCol w:w="1555"/>
        <w:gridCol w:w="1570"/>
      </w:tblGrid>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陆志强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3,700,000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陈依婷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复华证券投资信托股份有限公司一客户</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3,433,800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3,433,800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陈瑶希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3,422,000</w:t>
            </w:r>
          </w:p>
        </w:tc>
      </w:tr>
      <w:tr>
        <w:trPr>
          <w:trHeight w:val="11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名无限售流通股股东之间，以及 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名无限售流通股股东和前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 股东之间关联关系或一致行动的说明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上述股东中，刘益谦、王薇为一致行动人。除此之外，公司未知其他 股东之间是否存在关联关系或属于一致行动人。</w:t>
            </w:r>
          </w:p>
        </w:tc>
      </w:tr>
      <w:tr>
        <w:trPr>
          <w:trHeight w:val="22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参与融资融券业务股东情况说明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55"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 公司股东王薇通过普通证券账户持有</w:t>
            </w:r>
            <w:r>
              <w:rPr>
                <w:rFonts w:ascii="Times New Roman" w:eastAsia="Times New Roman" w:hAnsi="Times New Roman" w:cs="Times New Roman"/>
                <w:color w:val="000000"/>
                <w:spacing w:val="0"/>
                <w:w w:val="100"/>
                <w:position w:val="0"/>
                <w:sz w:val="22"/>
                <w:szCs w:val="22"/>
              </w:rPr>
              <w:t>7,221,100</w:t>
            </w:r>
            <w:r>
              <w:rPr>
                <w:color w:val="000000"/>
                <w:spacing w:val="0"/>
                <w:w w:val="100"/>
                <w:position w:val="0"/>
                <w:sz w:val="20"/>
                <w:szCs w:val="20"/>
              </w:rPr>
              <w:t>股，通过东方证券 股份有限公司客户信用交易担保证券账户持有</w:t>
            </w:r>
            <w:r>
              <w:rPr>
                <w:rFonts w:ascii="Times New Roman" w:eastAsia="Times New Roman" w:hAnsi="Times New Roman" w:cs="Times New Roman"/>
                <w:color w:val="000000"/>
                <w:spacing w:val="0"/>
                <w:w w:val="100"/>
                <w:position w:val="0"/>
                <w:sz w:val="22"/>
                <w:szCs w:val="22"/>
              </w:rPr>
              <w:t>5,472,900</w:t>
            </w:r>
            <w:r>
              <w:rPr>
                <w:color w:val="000000"/>
                <w:spacing w:val="0"/>
                <w:w w:val="100"/>
                <w:position w:val="0"/>
                <w:sz w:val="20"/>
                <w:szCs w:val="20"/>
              </w:rPr>
              <w:t xml:space="preserve">股，实际合计 持 </w:t>
            </w:r>
            <w:r>
              <w:rPr>
                <w:rFonts w:ascii="Times New Roman" w:eastAsia="Times New Roman" w:hAnsi="Times New Roman" w:cs="Times New Roman"/>
                <w:color w:val="000000"/>
                <w:spacing w:val="0"/>
                <w:w w:val="100"/>
                <w:position w:val="0"/>
                <w:sz w:val="20"/>
                <w:szCs w:val="20"/>
              </w:rPr>
              <w:t xml:space="preserve">12,694,000 </w:t>
            </w:r>
            <w:r>
              <w:rPr>
                <w:color w:val="000000"/>
                <w:spacing w:val="0"/>
                <w:w w:val="100"/>
                <w:position w:val="0"/>
                <w:sz w:val="20"/>
                <w:szCs w:val="20"/>
              </w:rPr>
              <w:t>股。</w:t>
            </w:r>
          </w:p>
          <w:p>
            <w:pPr>
              <w:pStyle w:val="Style2"/>
              <w:keepNext w:val="0"/>
              <w:keepLines w:val="0"/>
              <w:widowControl w:val="0"/>
              <w:shd w:val="clear" w:color="auto" w:fill="auto"/>
              <w:bidi w:val="0"/>
              <w:spacing w:before="0" w:after="0" w:line="355"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 公司股东陈瑶希通过普通证券账户持有</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0"/>
                <w:szCs w:val="20"/>
              </w:rPr>
              <w:t>股，通过银泰证券有限 责任公司客户信用交易担保证券账户持有</w:t>
            </w:r>
            <w:r>
              <w:rPr>
                <w:rFonts w:ascii="Times New Roman" w:eastAsia="Times New Roman" w:hAnsi="Times New Roman" w:cs="Times New Roman"/>
                <w:color w:val="000000"/>
                <w:spacing w:val="0"/>
                <w:w w:val="100"/>
                <w:position w:val="0"/>
                <w:sz w:val="22"/>
                <w:szCs w:val="22"/>
              </w:rPr>
              <w:t>3,422,000</w:t>
            </w:r>
            <w:r>
              <w:rPr>
                <w:color w:val="000000"/>
                <w:spacing w:val="0"/>
                <w:w w:val="100"/>
                <w:position w:val="0"/>
                <w:sz w:val="20"/>
                <w:szCs w:val="20"/>
              </w:rPr>
              <w:t xml:space="preserve">股，实际合计 </w:t>
            </w:r>
            <w:r>
              <w:rPr>
                <w:rFonts w:ascii="Times New Roman" w:eastAsia="Times New Roman" w:hAnsi="Times New Roman" w:cs="Times New Roman"/>
                <w:color w:val="000000"/>
                <w:spacing w:val="0"/>
                <w:w w:val="100"/>
                <w:position w:val="0"/>
                <w:sz w:val="22"/>
                <w:szCs w:val="22"/>
              </w:rPr>
              <w:t xml:space="preserve">3,422,000 </w:t>
            </w:r>
            <w:r>
              <w:rPr>
                <w:color w:val="000000"/>
                <w:spacing w:val="0"/>
                <w:w w:val="100"/>
                <w:position w:val="0"/>
                <w:sz w:val="20"/>
                <w:szCs w:val="20"/>
              </w:rPr>
              <w:t>股。</w:t>
            </w:r>
          </w:p>
        </w:tc>
      </w:tr>
    </w:tbl>
    <w:p>
      <w:pPr>
        <w:pStyle w:val="Style13"/>
        <w:keepNext w:val="0"/>
        <w:keepLines w:val="0"/>
        <w:widowControl w:val="0"/>
        <w:shd w:val="clear" w:color="auto" w:fill="auto"/>
        <w:bidi w:val="0"/>
        <w:spacing w:before="0" w:after="40" w:line="461" w:lineRule="exact"/>
        <w:ind w:left="0" w:right="0" w:firstLine="140"/>
        <w:jc w:val="left"/>
        <w:rPr>
          <w:sz w:val="20"/>
          <w:szCs w:val="20"/>
        </w:rPr>
      </w:pPr>
      <w:r>
        <w:rPr>
          <w:color w:val="000000"/>
          <w:spacing w:val="0"/>
          <w:w w:val="100"/>
          <w:position w:val="0"/>
          <w:sz w:val="20"/>
          <w:szCs w:val="20"/>
        </w:rPr>
        <w:t>注：为</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0"/>
          <w:szCs w:val="20"/>
        </w:rPr>
        <w:t>日普通股股东总数。</w:t>
      </w:r>
    </w:p>
    <w:p>
      <w:pPr>
        <w:pStyle w:val="Style13"/>
        <w:keepNext w:val="0"/>
        <w:keepLines w:val="0"/>
        <w:widowControl w:val="0"/>
        <w:shd w:val="clear" w:color="auto" w:fill="auto"/>
        <w:bidi w:val="0"/>
        <w:spacing w:before="0" w:after="40" w:line="461" w:lineRule="exact"/>
        <w:ind w:left="0" w:right="0" w:firstLine="140"/>
        <w:jc w:val="left"/>
      </w:pPr>
      <w:r>
        <w:rPr>
          <w:color w:val="000000"/>
          <w:spacing w:val="0"/>
          <w:w w:val="100"/>
          <w:position w:val="0"/>
        </w:rPr>
        <w:t>公司是否具有表决权差异安排</w:t>
      </w:r>
    </w:p>
    <w:p>
      <w:pPr>
        <w:pStyle w:val="Style13"/>
        <w:keepNext w:val="0"/>
        <w:keepLines w:val="0"/>
        <w:widowControl w:val="0"/>
        <w:shd w:val="clear" w:color="auto" w:fill="auto"/>
        <w:bidi w:val="0"/>
        <w:spacing w:before="0" w:after="40" w:line="461" w:lineRule="exact"/>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0" w:line="461" w:lineRule="exact"/>
        <w:ind w:left="0" w:right="0" w:firstLine="1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3"/>
        <w:keepNext w:val="0"/>
        <w:keepLines w:val="0"/>
        <w:widowControl w:val="0"/>
        <w:shd w:val="clear" w:color="auto" w:fill="auto"/>
        <w:bidi w:val="0"/>
        <w:spacing w:before="0" w:after="40" w:line="461" w:lineRule="exact"/>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3"/>
        <w:keepNext w:val="0"/>
        <w:keepLines w:val="0"/>
        <w:widowControl w:val="0"/>
        <w:shd w:val="clear" w:color="auto" w:fill="auto"/>
        <w:bidi w:val="0"/>
        <w:spacing w:before="0" w:after="220" w:line="461" w:lineRule="exact"/>
        <w:ind w:left="0" w:right="0" w:firstLine="1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220" w:line="461" w:lineRule="exact"/>
        <w:ind w:left="0" w:right="0" w:firstLine="140"/>
        <w:jc w:val="left"/>
      </w:pPr>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592"/>
      <w:bookmarkEnd w:id="593"/>
      <w:bookmarkEnd w:id="594"/>
    </w:p>
    <w:p>
      <w:pPr>
        <w:pStyle w:val="Style13"/>
        <w:keepNext w:val="0"/>
        <w:keepLines w:val="0"/>
        <w:widowControl w:val="0"/>
        <w:shd w:val="clear" w:color="auto" w:fill="auto"/>
        <w:bidi w:val="0"/>
        <w:spacing w:before="0" w:after="40" w:line="461" w:lineRule="exact"/>
        <w:ind w:left="0" w:right="0" w:firstLine="140"/>
        <w:jc w:val="left"/>
      </w:pPr>
      <w:r>
        <w:rPr>
          <w:color w:val="000000"/>
          <w:spacing w:val="0"/>
          <w:w w:val="100"/>
          <w:position w:val="0"/>
        </w:rPr>
        <w:t>控股股东性质：无控股主体</w:t>
      </w:r>
    </w:p>
    <w:p>
      <w:pPr>
        <w:pStyle w:val="Style13"/>
        <w:keepNext w:val="0"/>
        <w:keepLines w:val="0"/>
        <w:widowControl w:val="0"/>
        <w:shd w:val="clear" w:color="auto" w:fill="auto"/>
        <w:bidi w:val="0"/>
        <w:spacing w:before="0" w:after="40" w:line="461" w:lineRule="exact"/>
        <w:ind w:left="0" w:right="0" w:firstLine="140"/>
        <w:jc w:val="left"/>
      </w:pPr>
      <w:r>
        <w:rPr>
          <w:color w:val="000000"/>
          <w:spacing w:val="0"/>
          <w:w w:val="100"/>
          <w:position w:val="0"/>
        </w:rPr>
        <w:t>控股股东类型：不适用</w:t>
      </w:r>
    </w:p>
    <w:p>
      <w:pPr>
        <w:pStyle w:val="Style13"/>
        <w:keepNext w:val="0"/>
        <w:keepLines w:val="0"/>
        <w:widowControl w:val="0"/>
        <w:shd w:val="clear" w:color="auto" w:fill="auto"/>
        <w:bidi w:val="0"/>
        <w:spacing w:before="0" w:after="40" w:line="461" w:lineRule="exact"/>
        <w:ind w:left="0" w:right="0" w:firstLine="140"/>
        <w:jc w:val="left"/>
      </w:pPr>
      <w:r>
        <w:rPr>
          <w:color w:val="000000"/>
          <w:spacing w:val="0"/>
          <w:w w:val="100"/>
          <w:position w:val="0"/>
        </w:rPr>
        <w:t>公司不存在控股股东情况的说明</w:t>
      </w:r>
    </w:p>
    <w:p>
      <w:pPr>
        <w:pStyle w:val="Style13"/>
        <w:keepNext w:val="0"/>
        <w:keepLines w:val="0"/>
        <w:widowControl w:val="0"/>
        <w:shd w:val="clear" w:color="auto" w:fill="auto"/>
        <w:bidi w:val="0"/>
        <w:spacing w:before="0" w:after="40" w:line="461" w:lineRule="exact"/>
        <w:ind w:left="140" w:right="0" w:firstLine="460"/>
        <w:jc w:val="left"/>
      </w:pPr>
      <w:r>
        <w:rPr>
          <w:color w:val="000000"/>
          <w:spacing w:val="0"/>
          <w:w w:val="100"/>
          <w:position w:val="0"/>
        </w:rPr>
        <w:t>公司股权分散，无控股股东、实际控制人。截止本报告期末，孙迎彤先生持有公司</w:t>
      </w:r>
      <w:r>
        <w:rPr>
          <w:rFonts w:ascii="Times New Roman" w:eastAsia="Times New Roman" w:hAnsi="Times New Roman" w:cs="Times New Roman"/>
          <w:color w:val="000000"/>
          <w:spacing w:val="0"/>
          <w:w w:val="100"/>
          <w:position w:val="0"/>
        </w:rPr>
        <w:t xml:space="preserve">22,244,400 </w:t>
      </w:r>
      <w:r>
        <w:rPr>
          <w:color w:val="000000"/>
          <w:spacing w:val="0"/>
          <w:w w:val="100"/>
          <w:position w:val="0"/>
        </w:rPr>
        <w:t>股股份，占公司股本总额的</w:t>
      </w:r>
      <w:r>
        <w:rPr>
          <w:rFonts w:ascii="Times New Roman" w:eastAsia="Times New Roman" w:hAnsi="Times New Roman" w:cs="Times New Roman"/>
          <w:color w:val="000000"/>
          <w:spacing w:val="0"/>
          <w:w w:val="100"/>
          <w:position w:val="0"/>
        </w:rPr>
        <w:t>3.75%</w:t>
      </w:r>
      <w:r>
        <w:rPr>
          <w:color w:val="000000"/>
          <w:spacing w:val="0"/>
          <w:w w:val="100"/>
          <w:position w:val="0"/>
        </w:rPr>
        <w:t>，为公司第一大股东。</w:t>
      </w:r>
    </w:p>
    <w:p>
      <w:pPr>
        <w:pStyle w:val="Style13"/>
        <w:keepNext w:val="0"/>
        <w:keepLines w:val="0"/>
        <w:widowControl w:val="0"/>
        <w:shd w:val="clear" w:color="auto" w:fill="auto"/>
        <w:bidi w:val="0"/>
        <w:spacing w:before="0" w:after="40" w:line="461" w:lineRule="exact"/>
        <w:ind w:left="0" w:right="0" w:firstLine="140"/>
        <w:jc w:val="left"/>
      </w:pPr>
      <w:r>
        <w:rPr>
          <w:color w:val="000000"/>
          <w:spacing w:val="0"/>
          <w:w w:val="100"/>
          <w:position w:val="0"/>
        </w:rPr>
        <w:t>控股股东报告期内变更</w:t>
      </w:r>
    </w:p>
    <w:p>
      <w:pPr>
        <w:pStyle w:val="Style13"/>
        <w:keepNext w:val="0"/>
        <w:keepLines w:val="0"/>
        <w:widowControl w:val="0"/>
        <w:shd w:val="clear" w:color="auto" w:fill="auto"/>
        <w:bidi w:val="0"/>
        <w:spacing w:before="0" w:after="220" w:line="461" w:lineRule="exact"/>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公司报告期控股股东未发生变更。</w:t>
      </w:r>
    </w:p>
    <w:p>
      <w:pPr>
        <w:pStyle w:val="Style37"/>
        <w:keepNext/>
        <w:keepLines/>
        <w:widowControl w:val="0"/>
        <w:shd w:val="clear" w:color="auto" w:fill="auto"/>
        <w:tabs>
          <w:tab w:pos="1092" w:val="left"/>
        </w:tabs>
        <w:bidi w:val="0"/>
        <w:spacing w:before="0" w:after="280" w:line="386" w:lineRule="exact"/>
        <w:ind w:left="0" w:right="0" w:firstLine="70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3</w:t>
      </w:r>
      <w:bookmarkEnd w:id="597"/>
      <w:r>
        <w:rPr>
          <w:color w:val="000000"/>
          <w:spacing w:val="0"/>
          <w:w w:val="100"/>
          <w:position w:val="0"/>
        </w:rPr>
        <w:t>、</w:t>
        <w:tab/>
        <w:t>公司实际控制人及其一致行动人</w:t>
      </w:r>
      <w:bookmarkEnd w:id="595"/>
      <w:bookmarkEnd w:id="596"/>
      <w:bookmarkEnd w:id="598"/>
    </w:p>
    <w:p>
      <w:pPr>
        <w:pStyle w:val="Style13"/>
        <w:keepNext w:val="0"/>
        <w:keepLines w:val="0"/>
        <w:widowControl w:val="0"/>
        <w:shd w:val="clear" w:color="auto" w:fill="auto"/>
        <w:bidi w:val="0"/>
        <w:spacing w:before="0" w:after="100" w:line="386" w:lineRule="exact"/>
        <w:ind w:left="0" w:right="0" w:firstLine="700"/>
        <w:jc w:val="both"/>
      </w:pPr>
      <w:r>
        <w:rPr>
          <w:color w:val="000000"/>
          <w:spacing w:val="0"/>
          <w:w w:val="100"/>
          <w:position w:val="0"/>
        </w:rPr>
        <w:t>实际控制人性质：无实际控制人</w:t>
      </w:r>
    </w:p>
    <w:p>
      <w:pPr>
        <w:pStyle w:val="Style13"/>
        <w:keepNext w:val="0"/>
        <w:keepLines w:val="0"/>
        <w:widowControl w:val="0"/>
        <w:shd w:val="clear" w:color="auto" w:fill="auto"/>
        <w:bidi w:val="0"/>
        <w:spacing w:before="0" w:after="100" w:line="386" w:lineRule="exact"/>
        <w:ind w:left="0" w:right="0" w:firstLine="700"/>
        <w:jc w:val="both"/>
      </w:pPr>
      <w:r>
        <w:rPr>
          <w:color w:val="000000"/>
          <w:spacing w:val="0"/>
          <w:w w:val="100"/>
          <w:position w:val="0"/>
        </w:rPr>
        <w:t>实际控制人类型：不适用</w:t>
      </w:r>
    </w:p>
    <w:p>
      <w:pPr>
        <w:pStyle w:val="Style13"/>
        <w:keepNext w:val="0"/>
        <w:keepLines w:val="0"/>
        <w:widowControl w:val="0"/>
        <w:shd w:val="clear" w:color="auto" w:fill="auto"/>
        <w:bidi w:val="0"/>
        <w:spacing w:before="0" w:after="100" w:line="386" w:lineRule="exact"/>
        <w:ind w:left="0" w:right="0" w:firstLine="700"/>
        <w:jc w:val="both"/>
      </w:pPr>
      <w:r>
        <w:rPr>
          <w:color w:val="000000"/>
          <w:spacing w:val="0"/>
          <w:w w:val="100"/>
          <w:position w:val="0"/>
        </w:rPr>
        <w:t>公司不存在实际控制人情况的说明</w:t>
      </w:r>
    </w:p>
    <w:p>
      <w:pPr>
        <w:pStyle w:val="Style13"/>
        <w:keepNext w:val="0"/>
        <w:keepLines w:val="0"/>
        <w:widowControl w:val="0"/>
        <w:shd w:val="clear" w:color="auto" w:fill="auto"/>
        <w:bidi w:val="0"/>
        <w:spacing w:before="0" w:after="100" w:line="456" w:lineRule="exact"/>
        <w:ind w:left="700" w:right="0" w:firstLine="460"/>
        <w:jc w:val="left"/>
      </w:pPr>
      <w:r>
        <w:rPr>
          <w:color w:val="000000"/>
          <w:spacing w:val="0"/>
          <w:w w:val="100"/>
          <w:position w:val="0"/>
        </w:rPr>
        <w:t>公司股权分散，无控股股东、实际控制人。截止本报告期末，孙迎彤先生持有公司</w:t>
      </w:r>
      <w:r>
        <w:rPr>
          <w:rFonts w:ascii="Times New Roman" w:eastAsia="Times New Roman" w:hAnsi="Times New Roman" w:cs="Times New Roman"/>
          <w:color w:val="000000"/>
          <w:spacing w:val="0"/>
          <w:w w:val="100"/>
          <w:position w:val="0"/>
        </w:rPr>
        <w:t xml:space="preserve">22,244,400 </w:t>
      </w:r>
      <w:r>
        <w:rPr>
          <w:color w:val="000000"/>
          <w:spacing w:val="0"/>
          <w:w w:val="100"/>
          <w:position w:val="0"/>
        </w:rPr>
        <w:t>股股份，占公司股本总额的</w:t>
      </w:r>
      <w:r>
        <w:rPr>
          <w:rFonts w:ascii="Times New Roman" w:eastAsia="Times New Roman" w:hAnsi="Times New Roman" w:cs="Times New Roman"/>
          <w:color w:val="000000"/>
          <w:spacing w:val="0"/>
          <w:w w:val="100"/>
          <w:position w:val="0"/>
        </w:rPr>
        <w:t>3.75%</w:t>
      </w:r>
      <w:r>
        <w:rPr>
          <w:color w:val="000000"/>
          <w:spacing w:val="0"/>
          <w:w w:val="100"/>
          <w:position w:val="0"/>
        </w:rPr>
        <w:t>，为公司第一大股东。</w:t>
      </w:r>
    </w:p>
    <w:p>
      <w:pPr>
        <w:pStyle w:val="Style13"/>
        <w:keepNext w:val="0"/>
        <w:keepLines w:val="0"/>
        <w:widowControl w:val="0"/>
        <w:shd w:val="clear" w:color="auto" w:fill="auto"/>
        <w:bidi w:val="0"/>
        <w:spacing w:before="0" w:after="280" w:line="386" w:lineRule="exact"/>
        <w:ind w:left="0" w:right="0" w:firstLine="70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rPr>
        <w:t>10%</w:t>
      </w:r>
      <w:r>
        <w:rPr>
          <w:color w:val="000000"/>
          <w:spacing w:val="0"/>
          <w:w w:val="100"/>
          <w:position w:val="0"/>
        </w:rPr>
        <w:t>以上的股东情况</w:t>
      </w:r>
    </w:p>
    <w:p>
      <w:pPr>
        <w:pStyle w:val="Style13"/>
        <w:keepNext w:val="0"/>
        <w:keepLines w:val="0"/>
        <w:widowControl w:val="0"/>
        <w:shd w:val="clear" w:color="auto" w:fill="auto"/>
        <w:bidi w:val="0"/>
        <w:spacing w:before="0" w:after="0" w:line="360" w:lineRule="auto"/>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3"/>
        <w:keepNext w:val="0"/>
        <w:keepLines w:val="0"/>
        <w:widowControl w:val="0"/>
        <w:shd w:val="clear" w:color="auto" w:fill="auto"/>
        <w:bidi w:val="0"/>
        <w:spacing w:before="0" w:after="100" w:line="386" w:lineRule="exact"/>
        <w:ind w:left="0" w:right="0" w:firstLine="70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rPr>
        <w:t>5%</w:t>
      </w:r>
      <w:r>
        <w:rPr>
          <w:color w:val="000000"/>
          <w:spacing w:val="0"/>
          <w:w w:val="100"/>
          <w:position w:val="0"/>
        </w:rPr>
        <w:t>以上的股东情况</w:t>
      </w:r>
    </w:p>
    <w:p>
      <w:pPr>
        <w:pStyle w:val="Style13"/>
        <w:keepNext w:val="0"/>
        <w:keepLines w:val="0"/>
        <w:widowControl w:val="0"/>
        <w:shd w:val="clear" w:color="auto" w:fill="auto"/>
        <w:bidi w:val="0"/>
        <w:spacing w:before="0" w:after="100" w:line="386" w:lineRule="exact"/>
        <w:ind w:left="0" w:right="0" w:firstLine="700"/>
        <w:jc w:val="left"/>
      </w:pPr>
      <w:r>
        <w:rPr>
          <w:color w:val="000000"/>
          <w:spacing w:val="0"/>
          <w:w w:val="100"/>
          <w:position w:val="0"/>
        </w:rPr>
        <w:t>不适用</w:t>
      </w:r>
    </w:p>
    <w:p>
      <w:pPr>
        <w:pStyle w:val="Style13"/>
        <w:keepNext w:val="0"/>
        <w:keepLines w:val="0"/>
        <w:widowControl w:val="0"/>
        <w:shd w:val="clear" w:color="auto" w:fill="auto"/>
        <w:bidi w:val="0"/>
        <w:spacing w:before="0" w:after="100" w:line="386" w:lineRule="exact"/>
        <w:ind w:left="0" w:right="0" w:firstLine="700"/>
        <w:jc w:val="left"/>
      </w:pPr>
      <w:r>
        <w:rPr>
          <w:color w:val="000000"/>
          <w:spacing w:val="0"/>
          <w:w w:val="100"/>
          <w:position w:val="0"/>
        </w:rPr>
        <w:t>最终控制层面持股情况</w:t>
      </w:r>
    </w:p>
    <w:p>
      <w:pPr>
        <w:pStyle w:val="Style13"/>
        <w:keepNext w:val="0"/>
        <w:keepLines w:val="0"/>
        <w:widowControl w:val="0"/>
        <w:shd w:val="clear" w:color="auto" w:fill="auto"/>
        <w:bidi w:val="0"/>
        <w:spacing w:before="0" w:after="100" w:line="386" w:lineRule="exact"/>
        <w:ind w:left="0" w:right="0" w:firstLine="700"/>
        <w:jc w:val="left"/>
      </w:pPr>
      <w:r>
        <w:rPr>
          <w:color w:val="000000"/>
          <w:spacing w:val="0"/>
          <w:w w:val="100"/>
          <w:position w:val="0"/>
        </w:rPr>
        <w:t>不适用</w:t>
      </w:r>
    </w:p>
    <w:p>
      <w:pPr>
        <w:pStyle w:val="Style13"/>
        <w:keepNext w:val="0"/>
        <w:keepLines w:val="0"/>
        <w:widowControl w:val="0"/>
        <w:shd w:val="clear" w:color="auto" w:fill="auto"/>
        <w:bidi w:val="0"/>
        <w:spacing w:before="0" w:after="100" w:line="386" w:lineRule="exact"/>
        <w:ind w:left="0" w:right="0" w:firstLine="700"/>
        <w:jc w:val="left"/>
      </w:pPr>
      <w:r>
        <w:rPr>
          <w:color w:val="000000"/>
          <w:spacing w:val="0"/>
          <w:w w:val="100"/>
          <w:position w:val="0"/>
        </w:rPr>
        <w:t>实际控制人报告期内变更</w:t>
      </w:r>
    </w:p>
    <w:p>
      <w:pPr>
        <w:pStyle w:val="Style13"/>
        <w:keepNext w:val="0"/>
        <w:keepLines w:val="0"/>
        <w:widowControl w:val="0"/>
        <w:shd w:val="clear" w:color="auto" w:fill="auto"/>
        <w:bidi w:val="0"/>
        <w:spacing w:before="0" w:after="100" w:line="386" w:lineRule="exact"/>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100" w:line="386" w:lineRule="exact"/>
        <w:ind w:left="0" w:right="0" w:firstLine="700"/>
        <w:jc w:val="left"/>
      </w:pPr>
      <w:r>
        <w:rPr>
          <w:color w:val="000000"/>
          <w:spacing w:val="0"/>
          <w:w w:val="100"/>
          <w:position w:val="0"/>
        </w:rPr>
        <w:t>实际控制人通过信托或其他资产管理方式控制公司</w:t>
      </w:r>
    </w:p>
    <w:p>
      <w:pPr>
        <w:pStyle w:val="Style13"/>
        <w:keepNext w:val="0"/>
        <w:keepLines w:val="0"/>
        <w:widowControl w:val="0"/>
        <w:shd w:val="clear" w:color="auto" w:fill="auto"/>
        <w:bidi w:val="0"/>
        <w:spacing w:before="0" w:after="360" w:line="386" w:lineRule="exact"/>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1092" w:val="left"/>
        </w:tabs>
        <w:bidi w:val="0"/>
        <w:spacing w:before="0" w:after="360" w:line="317" w:lineRule="exact"/>
        <w:ind w:left="70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4</w:t>
      </w:r>
      <w:bookmarkEnd w:id="601"/>
      <w:r>
        <w:rPr>
          <w:color w:val="000000"/>
          <w:spacing w:val="0"/>
          <w:w w:val="100"/>
          <w:position w:val="0"/>
        </w:rPr>
        <w:t>、</w:t>
        <w:tab/>
        <w:t>公司控股股东或第一大股东及其一致行动人累计质押股份数量占其所持公司股份数量比例达 到</w:t>
      </w:r>
      <w:r>
        <w:rPr>
          <w:rFonts w:ascii="Times New Roman" w:eastAsia="Times New Roman" w:hAnsi="Times New Roman" w:cs="Times New Roman"/>
          <w:color w:val="000000"/>
          <w:spacing w:val="0"/>
          <w:w w:val="100"/>
          <w:position w:val="0"/>
        </w:rPr>
        <w:t>80%</w:t>
      </w:r>
      <w:bookmarkEnd w:id="599"/>
      <w:bookmarkEnd w:id="600"/>
      <w:bookmarkEnd w:id="602"/>
    </w:p>
    <w:p>
      <w:pPr>
        <w:pStyle w:val="Style13"/>
        <w:keepNext w:val="0"/>
        <w:keepLines w:val="0"/>
        <w:widowControl w:val="0"/>
        <w:shd w:val="clear" w:color="auto" w:fill="auto"/>
        <w:bidi w:val="0"/>
        <w:spacing w:before="0" w:after="280" w:line="386" w:lineRule="exact"/>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1092" w:val="left"/>
        </w:tabs>
        <w:bidi w:val="0"/>
        <w:spacing w:before="0" w:after="280" w:line="386" w:lineRule="exact"/>
        <w:ind w:left="0" w:right="0" w:firstLine="70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5</w:t>
      </w:r>
      <w:bookmarkEnd w:id="60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3"/>
      <w:bookmarkEnd w:id="604"/>
      <w:bookmarkEnd w:id="606"/>
    </w:p>
    <w:p>
      <w:pPr>
        <w:pStyle w:val="Style13"/>
        <w:keepNext w:val="0"/>
        <w:keepLines w:val="0"/>
        <w:widowControl w:val="0"/>
        <w:shd w:val="clear" w:color="auto" w:fill="auto"/>
        <w:bidi w:val="0"/>
        <w:spacing w:before="0" w:after="280" w:line="386" w:lineRule="exact"/>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1092" w:val="left"/>
        </w:tabs>
        <w:bidi w:val="0"/>
        <w:spacing w:before="0" w:after="280" w:line="386" w:lineRule="exact"/>
        <w:ind w:left="0" w:right="0" w:firstLine="70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6</w:t>
      </w:r>
      <w:bookmarkEnd w:id="609"/>
      <w:r>
        <w:rPr>
          <w:color w:val="000000"/>
          <w:spacing w:val="0"/>
          <w:w w:val="100"/>
          <w:position w:val="0"/>
        </w:rPr>
        <w:t>、</w:t>
        <w:tab/>
        <w:t>控股股东、实际控制人、重组方及其他承诺主体股份限制减持情况</w:t>
      </w:r>
      <w:bookmarkEnd w:id="607"/>
      <w:bookmarkEnd w:id="608"/>
      <w:bookmarkEnd w:id="610"/>
    </w:p>
    <w:p>
      <w:pPr>
        <w:pStyle w:val="Style13"/>
        <w:keepNext w:val="0"/>
        <w:keepLines w:val="0"/>
        <w:widowControl w:val="0"/>
        <w:shd w:val="clear" w:color="auto" w:fill="auto"/>
        <w:bidi w:val="0"/>
        <w:spacing w:before="0" w:after="280" w:line="386" w:lineRule="exact"/>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after="420" w:line="386" w:lineRule="exact"/>
        <w:ind w:left="0" w:right="0" w:firstLine="700"/>
        <w:jc w:val="left"/>
      </w:pPr>
      <w:bookmarkStart w:id="611" w:name="bookmark611"/>
      <w:bookmarkStart w:id="612" w:name="bookmark612"/>
      <w:bookmarkStart w:id="613" w:name="bookmark613"/>
      <w:bookmarkStart w:id="614" w:name="bookmark614"/>
      <w:r>
        <w:rPr>
          <w:color w:val="000000"/>
          <w:spacing w:val="0"/>
          <w:w w:val="100"/>
          <w:position w:val="0"/>
        </w:rPr>
        <w:t>四</w:t>
      </w:r>
      <w:bookmarkEnd w:id="613"/>
      <w:r>
        <w:rPr>
          <w:color w:val="000000"/>
          <w:spacing w:val="0"/>
          <w:w w:val="100"/>
          <w:position w:val="0"/>
        </w:rPr>
        <w:t>、股份回购在报告期的具体实施情况</w:t>
      </w:r>
      <w:bookmarkEnd w:id="611"/>
      <w:bookmarkEnd w:id="612"/>
      <w:bookmarkEnd w:id="614"/>
    </w:p>
    <w:p>
      <w:pPr>
        <w:pStyle w:val="Style13"/>
        <w:keepNext w:val="0"/>
        <w:keepLines w:val="0"/>
        <w:widowControl w:val="0"/>
        <w:shd w:val="clear" w:color="auto" w:fill="auto"/>
        <w:bidi w:val="0"/>
        <w:spacing w:before="0" w:after="200" w:line="240" w:lineRule="auto"/>
        <w:ind w:left="0" w:right="0" w:firstLine="700"/>
        <w:jc w:val="both"/>
      </w:pPr>
      <w:r>
        <w:rPr>
          <w:color w:val="000000"/>
          <w:spacing w:val="0"/>
          <w:w w:val="100"/>
          <w:position w:val="0"/>
        </w:rPr>
        <w:t>股份回购的实施进展情况</w:t>
      </w:r>
    </w:p>
    <w:p>
      <w:pPr>
        <w:pStyle w:val="Style13"/>
        <w:keepNext w:val="0"/>
        <w:keepLines w:val="0"/>
        <w:widowControl w:val="0"/>
        <w:shd w:val="clear" w:color="auto" w:fill="auto"/>
        <w:bidi w:val="0"/>
        <w:spacing w:before="0" w:after="24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0" w:firstLine="700"/>
        <w:jc w:val="both"/>
      </w:pPr>
      <w:r>
        <w:rPr>
          <w:color w:val="000000"/>
          <w:spacing w:val="0"/>
          <w:w w:val="100"/>
          <w:position w:val="0"/>
        </w:rPr>
        <w:t>采用集中竞价方式减持回购股份的实施进展情况</w:t>
      </w:r>
    </w:p>
    <w:p>
      <w:pPr>
        <w:pStyle w:val="Style13"/>
        <w:keepNext w:val="0"/>
        <w:keepLines w:val="0"/>
        <w:widowControl w:val="0"/>
        <w:shd w:val="clear" w:color="auto" w:fill="auto"/>
        <w:bidi w:val="0"/>
        <w:spacing w:before="0" w:after="240" w:line="240" w:lineRule="auto"/>
        <w:ind w:left="0" w:right="0" w:firstLine="700"/>
        <w:jc w:val="both"/>
        <w:sectPr>
          <w:footnotePr>
            <w:pos w:val="pageBottom"/>
            <w:numFmt w:val="decimal"/>
            <w:numRestart w:val="continuous"/>
          </w:footnotePr>
          <w:pgSz w:w="11900" w:h="16840"/>
          <w:pgMar w:top="1128" w:right="346" w:bottom="1447" w:left="30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line="1" w:lineRule="exact"/>
      </w:pPr>
      <w:r>
        <mc:AlternateContent>
          <mc:Choice Requires="wps">
            <w:drawing>
              <wp:anchor distT="0" distB="304800" distL="0" distR="0" simplePos="0" relativeHeight="125829380" behindDoc="0" locked="0" layoutInCell="1" allowOverlap="1">
                <wp:simplePos x="0" y="0"/>
                <wp:positionH relativeFrom="page">
                  <wp:posOffset>2693035</wp:posOffset>
                </wp:positionH>
                <wp:positionV relativeFrom="paragraph">
                  <wp:posOffset>0</wp:posOffset>
                </wp:positionV>
                <wp:extent cx="2170430" cy="243840"/>
                <wp:wrapTopAndBottom/>
                <wp:docPr id="10" name="Shape 10"/>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615" w:name="bookmark615"/>
                            <w:bookmarkStart w:id="616" w:name="bookmark616"/>
                            <w:bookmarkStart w:id="617" w:name="bookmark617"/>
                            <w:r>
                              <w:rPr>
                                <w:color w:val="000000"/>
                                <w:spacing w:val="0"/>
                                <w:w w:val="100"/>
                                <w:position w:val="0"/>
                              </w:rPr>
                              <w:t>第八节优先股相关情况</w:t>
                            </w:r>
                            <w:bookmarkEnd w:id="615"/>
                            <w:bookmarkEnd w:id="616"/>
                            <w:bookmarkEnd w:id="617"/>
                          </w:p>
                        </w:txbxContent>
                      </wps:txbx>
                      <wps:bodyPr wrap="none" lIns="0" tIns="0" rIns="0" bIns="0">
                        <a:noAutoFit/>
                      </wps:bodyPr>
                    </wps:wsp>
                  </a:graphicData>
                </a:graphic>
              </wp:anchor>
            </w:drawing>
          </mc:Choice>
          <mc:Fallback>
            <w:pict>
              <v:shape id="_x0000_s1036" type="#_x0000_t202" style="position:absolute;margin-left:212.05000000000001pt;margin-top:0;width:170.90000000000001pt;height:19.199999999999999pt;z-index:-125829373;mso-wrap-distance-left:0;mso-wrap-distance-right:0;mso-wrap-distance-bottom:24.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615" w:name="bookmark615"/>
                      <w:bookmarkStart w:id="616" w:name="bookmark616"/>
                      <w:bookmarkStart w:id="617" w:name="bookmark617"/>
                      <w:r>
                        <w:rPr>
                          <w:color w:val="000000"/>
                          <w:spacing w:val="0"/>
                          <w:w w:val="100"/>
                          <w:position w:val="0"/>
                        </w:rPr>
                        <w:t>第八节优先股相关情况</w:t>
                      </w:r>
                      <w:bookmarkEnd w:id="615"/>
                      <w:bookmarkEnd w:id="616"/>
                      <w:bookmarkEnd w:id="617"/>
                    </w:p>
                  </w:txbxContent>
                </v:textbox>
                <w10:wrap type="topAndBottom" anchorx="page"/>
              </v:shape>
            </w:pict>
          </mc:Fallback>
        </mc:AlternateContent>
      </w:r>
    </w:p>
    <w:p>
      <w:pPr>
        <w:pStyle w:val="Style13"/>
        <w:keepNext w:val="0"/>
        <w:keepLines w:val="0"/>
        <w:widowControl w:val="0"/>
        <w:shd w:val="clear" w:color="auto" w:fill="auto"/>
        <w:bidi w:val="0"/>
        <w:spacing w:before="0" w:after="22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0" w:line="240" w:lineRule="auto"/>
        <w:ind w:left="0" w:right="0" w:firstLine="700"/>
        <w:jc w:val="both"/>
        <w:sectPr>
          <w:footnotePr>
            <w:pos w:val="pageBottom"/>
            <w:numFmt w:val="decimal"/>
            <w:numRestart w:val="continuous"/>
          </w:footnotePr>
          <w:pgSz w:w="11900" w:h="16840"/>
          <w:pgMar w:top="1930" w:right="1108" w:bottom="1930" w:left="430"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0" w:after="620" w:line="240" w:lineRule="auto"/>
        <w:ind w:left="0" w:right="0" w:firstLine="0"/>
        <w:jc w:val="center"/>
      </w:pPr>
      <w:bookmarkStart w:id="618" w:name="bookmark618"/>
      <w:bookmarkStart w:id="619" w:name="bookmark619"/>
      <w:bookmarkStart w:id="620" w:name="bookmark620"/>
      <w:r>
        <w:rPr>
          <w:color w:val="000000"/>
          <w:spacing w:val="0"/>
          <w:w w:val="100"/>
          <w:position w:val="0"/>
        </w:rPr>
        <w:t>第九节债券相关情况</w:t>
      </w:r>
      <w:bookmarkEnd w:id="618"/>
      <w:bookmarkEnd w:id="619"/>
      <w:bookmarkEnd w:id="620"/>
    </w:p>
    <w:p>
      <w:pPr>
        <w:pStyle w:val="Style13"/>
        <w:keepNext w:val="0"/>
        <w:keepLines w:val="0"/>
        <w:widowControl w:val="0"/>
        <w:shd w:val="clear" w:color="auto" w:fill="auto"/>
        <w:bidi w:val="0"/>
        <w:spacing w:before="0" w:after="400" w:line="240" w:lineRule="auto"/>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520" w:line="240" w:lineRule="auto"/>
        <w:ind w:left="0" w:right="0" w:firstLine="700"/>
        <w:jc w:val="left"/>
        <w:rPr>
          <w:sz w:val="20"/>
          <w:szCs w:val="20"/>
        </w:rPr>
        <w:sectPr>
          <w:footnotePr>
            <w:pos w:val="pageBottom"/>
            <w:numFmt w:val="decimal"/>
            <w:numRestart w:val="continuous"/>
          </w:footnotePr>
          <w:pgSz w:w="11900" w:h="16840"/>
          <w:pgMar w:top="1930" w:right="1108" w:bottom="1930" w:left="430" w:header="0" w:footer="3" w:gutter="0"/>
          <w:cols w:space="720"/>
          <w:noEndnote/>
          <w:rtlGutter w:val="0"/>
          <w:docGrid w:linePitch="360"/>
        </w:sectPr>
      </w:pPr>
      <w:r>
        <w:rPr>
          <w:color w:val="000000"/>
          <w:spacing w:val="0"/>
          <w:w w:val="100"/>
          <w:position w:val="0"/>
          <w:sz w:val="22"/>
          <w:szCs w:val="22"/>
        </w:rPr>
        <w:t>报告期公司不存在非金融企业债务融资工具</w:t>
      </w:r>
      <w:r>
        <w:rPr>
          <w:color w:val="000000"/>
          <w:spacing w:val="0"/>
          <w:w w:val="100"/>
          <w:position w:val="0"/>
          <w:sz w:val="20"/>
          <w:szCs w:val="20"/>
        </w:rPr>
        <w:t>。</w:t>
      </w:r>
    </w:p>
    <w:p>
      <w:pPr>
        <w:pStyle w:val="Style17"/>
        <w:keepNext/>
        <w:keepLines/>
        <w:widowControl w:val="0"/>
        <w:shd w:val="clear" w:color="auto" w:fill="auto"/>
        <w:bidi w:val="0"/>
        <w:spacing w:before="380" w:after="540" w:line="240" w:lineRule="auto"/>
        <w:ind w:left="0" w:right="0" w:firstLine="0"/>
        <w:jc w:val="center"/>
      </w:pPr>
      <w:bookmarkStart w:id="621" w:name="bookmark621"/>
      <w:bookmarkStart w:id="622" w:name="bookmark622"/>
      <w:bookmarkStart w:id="623" w:name="bookmark623"/>
      <w:r>
        <w:rPr>
          <w:color w:val="000000"/>
          <w:spacing w:val="0"/>
          <w:w w:val="100"/>
          <w:position w:val="0"/>
        </w:rPr>
        <w:t>第十节财务报告</w:t>
      </w:r>
      <w:bookmarkEnd w:id="621"/>
      <w:bookmarkEnd w:id="622"/>
      <w:bookmarkEnd w:id="623"/>
    </w:p>
    <w:p>
      <w:pPr>
        <w:pStyle w:val="Style13"/>
        <w:keepNext w:val="0"/>
        <w:keepLines w:val="0"/>
        <w:widowControl w:val="0"/>
        <w:shd w:val="clear" w:color="auto" w:fill="auto"/>
        <w:bidi w:val="0"/>
        <w:spacing w:before="0" w:after="340" w:line="240" w:lineRule="auto"/>
        <w:ind w:left="0" w:right="0" w:firstLine="680"/>
        <w:jc w:val="both"/>
      </w:pPr>
      <w:bookmarkStart w:id="624" w:name="bookmark624"/>
      <w:r>
        <w:rPr>
          <w:b/>
          <w:bCs/>
          <w:color w:val="000000"/>
          <w:spacing w:val="0"/>
          <w:w w:val="100"/>
          <w:position w:val="0"/>
        </w:rPr>
        <w:t>一</w:t>
      </w:r>
      <w:bookmarkEnd w:id="624"/>
      <w:r>
        <w:rPr>
          <w:b/>
          <w:bCs/>
          <w:color w:val="000000"/>
          <w:spacing w:val="0"/>
          <w:w w:val="100"/>
          <w:position w:val="0"/>
        </w:rPr>
        <w:t>、审计报告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中兴财光华审会字（</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2"/>
                <w:szCs w:val="22"/>
              </w:rPr>
              <w:t>318036</w:t>
            </w:r>
            <w:r>
              <w:rPr>
                <w:color w:val="000000"/>
                <w:spacing w:val="0"/>
                <w:w w:val="100"/>
                <w:position w:val="0"/>
                <w:sz w:val="20"/>
                <w:szCs w:val="2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周书奕、马福珠</w:t>
            </w:r>
          </w:p>
        </w:tc>
      </w:tr>
    </w:tbl>
    <w:p>
      <w:pPr>
        <w:widowControl w:val="0"/>
        <w:spacing w:after="339" w:line="1" w:lineRule="exact"/>
      </w:pPr>
    </w:p>
    <w:p>
      <w:pPr>
        <w:pStyle w:val="Style17"/>
        <w:keepNext/>
        <w:keepLines/>
        <w:widowControl w:val="0"/>
        <w:shd w:val="clear" w:color="auto" w:fill="auto"/>
        <w:bidi w:val="0"/>
        <w:spacing w:before="0" w:after="40" w:line="240" w:lineRule="auto"/>
        <w:ind w:left="0" w:right="0" w:firstLine="0"/>
        <w:jc w:val="center"/>
      </w:pPr>
      <w:bookmarkStart w:id="625" w:name="bookmark625"/>
      <w:bookmarkStart w:id="626" w:name="bookmark626"/>
      <w:bookmarkStart w:id="627" w:name="bookmark627"/>
      <w:r>
        <w:rPr>
          <w:color w:val="000000"/>
          <w:spacing w:val="0"/>
          <w:w w:val="100"/>
          <w:position w:val="0"/>
        </w:rPr>
        <w:t>审计报告正文</w:t>
      </w:r>
      <w:bookmarkEnd w:id="625"/>
      <w:bookmarkEnd w:id="626"/>
      <w:bookmarkEnd w:id="627"/>
    </w:p>
    <w:p>
      <w:pPr>
        <w:pStyle w:val="Style13"/>
        <w:keepNext w:val="0"/>
        <w:keepLines w:val="0"/>
        <w:widowControl w:val="0"/>
        <w:shd w:val="clear" w:color="auto" w:fill="auto"/>
        <w:bidi w:val="0"/>
        <w:spacing w:before="0" w:after="40" w:line="468" w:lineRule="exact"/>
        <w:ind w:left="0" w:right="0" w:firstLine="680"/>
        <w:jc w:val="both"/>
      </w:pPr>
      <w:r>
        <w:rPr>
          <w:color w:val="000000"/>
          <w:spacing w:val="0"/>
          <w:w w:val="100"/>
          <w:position w:val="0"/>
        </w:rPr>
        <w:t>国民技术股份有限公司全体股东：</w:t>
      </w:r>
    </w:p>
    <w:p>
      <w:pPr>
        <w:pStyle w:val="Style37"/>
        <w:keepNext/>
        <w:keepLines/>
        <w:widowControl w:val="0"/>
        <w:shd w:val="clear" w:color="auto" w:fill="auto"/>
        <w:tabs>
          <w:tab w:pos="1662" w:val="left"/>
        </w:tabs>
        <w:bidi w:val="0"/>
        <w:spacing w:before="0" w:after="40" w:line="468" w:lineRule="exact"/>
        <w:ind w:left="1160" w:right="0" w:firstLine="0"/>
        <w:jc w:val="both"/>
      </w:pPr>
      <w:bookmarkStart w:id="628" w:name="bookmark628"/>
      <w:bookmarkStart w:id="629" w:name="bookmark629"/>
      <w:bookmarkStart w:id="630" w:name="bookmark630"/>
      <w:bookmarkStart w:id="631" w:name="bookmark631"/>
      <w:r>
        <w:rPr>
          <w:color w:val="000000"/>
          <w:spacing w:val="0"/>
          <w:w w:val="100"/>
          <w:position w:val="0"/>
        </w:rPr>
        <w:t>一</w:t>
      </w:r>
      <w:bookmarkEnd w:id="630"/>
      <w:r>
        <w:rPr>
          <w:color w:val="000000"/>
          <w:spacing w:val="0"/>
          <w:w w:val="100"/>
          <w:position w:val="0"/>
        </w:rPr>
        <w:t>、</w:t>
        <w:tab/>
        <w:t>审计意见</w:t>
      </w:r>
      <w:bookmarkEnd w:id="628"/>
      <w:bookmarkEnd w:id="629"/>
      <w:bookmarkEnd w:id="631"/>
    </w:p>
    <w:p>
      <w:pPr>
        <w:pStyle w:val="Style13"/>
        <w:keepNext w:val="0"/>
        <w:keepLines w:val="0"/>
        <w:widowControl w:val="0"/>
        <w:shd w:val="clear" w:color="auto" w:fill="auto"/>
        <w:bidi w:val="0"/>
        <w:spacing w:before="0" w:after="40" w:line="466" w:lineRule="exact"/>
        <w:ind w:left="680" w:right="0" w:firstLine="480"/>
        <w:jc w:val="both"/>
      </w:pPr>
      <w:r>
        <w:rPr>
          <w:color w:val="000000"/>
          <w:spacing w:val="0"/>
          <w:w w:val="100"/>
          <w:position w:val="0"/>
        </w:rPr>
        <w:t>我们审计了国民技术股份有限公司（以下简称国民技术公司）财务报表，包括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年度的合并及公司利润表、合并及公司现金流量表、合并 及公司股东权益变动表以及财务报表附注。</w:t>
      </w:r>
    </w:p>
    <w:p>
      <w:pPr>
        <w:pStyle w:val="Style13"/>
        <w:keepNext w:val="0"/>
        <w:keepLines w:val="0"/>
        <w:widowControl w:val="0"/>
        <w:shd w:val="clear" w:color="auto" w:fill="auto"/>
        <w:bidi w:val="0"/>
        <w:spacing w:before="0" w:after="40" w:line="468" w:lineRule="exact"/>
        <w:ind w:left="680" w:right="0" w:firstLine="480"/>
        <w:jc w:val="both"/>
      </w:pPr>
      <w:r>
        <w:rPr>
          <w:color w:val="000000"/>
          <w:spacing w:val="0"/>
          <w:w w:val="100"/>
          <w:position w:val="0"/>
        </w:rPr>
        <w:t>我们认为，后附的财务报表在所有重大方面按照企业会计准则的规定编制，公允反映了国民 技术公司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年度的合并及公司经营成果和 现金流量。</w:t>
      </w:r>
    </w:p>
    <w:p>
      <w:pPr>
        <w:pStyle w:val="Style37"/>
        <w:keepNext/>
        <w:keepLines/>
        <w:widowControl w:val="0"/>
        <w:shd w:val="clear" w:color="auto" w:fill="auto"/>
        <w:tabs>
          <w:tab w:pos="1662" w:val="left"/>
        </w:tabs>
        <w:bidi w:val="0"/>
        <w:spacing w:before="0" w:after="40" w:line="468" w:lineRule="exact"/>
        <w:ind w:left="1160" w:right="0" w:firstLine="0"/>
        <w:jc w:val="both"/>
      </w:pPr>
      <w:bookmarkStart w:id="632" w:name="bookmark632"/>
      <w:bookmarkStart w:id="633" w:name="bookmark633"/>
      <w:bookmarkStart w:id="634" w:name="bookmark634"/>
      <w:bookmarkStart w:id="635" w:name="bookmark635"/>
      <w:r>
        <w:rPr>
          <w:color w:val="000000"/>
          <w:spacing w:val="0"/>
          <w:w w:val="100"/>
          <w:position w:val="0"/>
        </w:rPr>
        <w:t>二</w:t>
      </w:r>
      <w:bookmarkEnd w:id="634"/>
      <w:r>
        <w:rPr>
          <w:color w:val="000000"/>
          <w:spacing w:val="0"/>
          <w:w w:val="100"/>
          <w:position w:val="0"/>
        </w:rPr>
        <w:t>、</w:t>
        <w:tab/>
        <w:t>形成审计意见的基础</w:t>
      </w:r>
      <w:bookmarkEnd w:id="632"/>
      <w:bookmarkEnd w:id="633"/>
      <w:bookmarkEnd w:id="635"/>
    </w:p>
    <w:p>
      <w:pPr>
        <w:pStyle w:val="Style13"/>
        <w:keepNext w:val="0"/>
        <w:keepLines w:val="0"/>
        <w:widowControl w:val="0"/>
        <w:shd w:val="clear" w:color="auto" w:fill="auto"/>
        <w:bidi w:val="0"/>
        <w:spacing w:before="0" w:after="40" w:line="467" w:lineRule="exact"/>
        <w:ind w:left="680" w:right="0" w:firstLine="48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则，我们独立于国民技术公司，并履行了职业道德方面的其他责任。我们相信，我们获取的审计 证据是充分、适当的，为发表审计意见提供了基础。</w:t>
      </w:r>
    </w:p>
    <w:p>
      <w:pPr>
        <w:pStyle w:val="Style37"/>
        <w:keepNext/>
        <w:keepLines/>
        <w:widowControl w:val="0"/>
        <w:shd w:val="clear" w:color="auto" w:fill="auto"/>
        <w:tabs>
          <w:tab w:pos="1667" w:val="left"/>
        </w:tabs>
        <w:bidi w:val="0"/>
        <w:spacing w:before="0" w:after="40" w:line="468" w:lineRule="exact"/>
        <w:ind w:left="1160" w:right="0" w:firstLine="0"/>
        <w:jc w:val="both"/>
      </w:pPr>
      <w:bookmarkStart w:id="636" w:name="bookmark636"/>
      <w:bookmarkStart w:id="637" w:name="bookmark637"/>
      <w:bookmarkStart w:id="638" w:name="bookmark638"/>
      <w:bookmarkStart w:id="639" w:name="bookmark639"/>
      <w:r>
        <w:rPr>
          <w:color w:val="000000"/>
          <w:spacing w:val="0"/>
          <w:w w:val="100"/>
          <w:position w:val="0"/>
        </w:rPr>
        <w:t>三</w:t>
      </w:r>
      <w:bookmarkEnd w:id="638"/>
      <w:r>
        <w:rPr>
          <w:color w:val="000000"/>
          <w:spacing w:val="0"/>
          <w:w w:val="100"/>
          <w:position w:val="0"/>
        </w:rPr>
        <w:t>、</w:t>
        <w:tab/>
        <w:t>关键审计事项</w:t>
      </w:r>
      <w:bookmarkEnd w:id="636"/>
      <w:bookmarkEnd w:id="637"/>
      <w:bookmarkEnd w:id="639"/>
    </w:p>
    <w:p>
      <w:pPr>
        <w:pStyle w:val="Style13"/>
        <w:keepNext w:val="0"/>
        <w:keepLines w:val="0"/>
        <w:widowControl w:val="0"/>
        <w:shd w:val="clear" w:color="auto" w:fill="auto"/>
        <w:bidi w:val="0"/>
        <w:spacing w:before="0" w:after="240" w:line="470" w:lineRule="exact"/>
        <w:ind w:left="680" w:right="0" w:firstLine="48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应对以对财务报表整体进行审计并形成审计意见为背景，我们不对这些事项单独发表意见。我们 确定下列事项是需要在审计报告中沟通的关键审计事项。</w:t>
      </w:r>
    </w:p>
    <w:p>
      <w:pPr>
        <w:pStyle w:val="Style13"/>
        <w:keepNext w:val="0"/>
        <w:keepLines w:val="0"/>
        <w:widowControl w:val="0"/>
        <w:shd w:val="clear" w:color="auto" w:fill="auto"/>
        <w:bidi w:val="0"/>
        <w:spacing w:before="0" w:after="40" w:line="240" w:lineRule="auto"/>
        <w:ind w:left="1160" w:right="0" w:firstLine="0"/>
        <w:jc w:val="both"/>
      </w:pPr>
      <w:r>
        <w:rPr>
          <w:color w:val="000000"/>
          <w:spacing w:val="0"/>
          <w:w w:val="100"/>
          <w:position w:val="0"/>
        </w:rPr>
        <w:t>（一）收入确认</w:t>
      </w:r>
    </w:p>
    <w:p>
      <w:pPr>
        <w:pStyle w:val="Style13"/>
        <w:keepNext w:val="0"/>
        <w:keepLines w:val="0"/>
        <w:widowControl w:val="0"/>
        <w:numPr>
          <w:ilvl w:val="0"/>
          <w:numId w:val="15"/>
        </w:numPr>
        <w:shd w:val="clear" w:color="auto" w:fill="auto"/>
        <w:tabs>
          <w:tab w:pos="1365" w:val="left"/>
        </w:tabs>
        <w:bidi w:val="0"/>
        <w:spacing w:before="0" w:after="0" w:line="470" w:lineRule="exact"/>
        <w:ind w:left="1040" w:right="0" w:firstLine="0"/>
        <w:jc w:val="left"/>
      </w:pPr>
      <w:bookmarkStart w:id="640" w:name="bookmark640"/>
      <w:bookmarkEnd w:id="640"/>
      <w:r>
        <w:rPr>
          <w:color w:val="000000"/>
          <w:spacing w:val="0"/>
          <w:w w:val="100"/>
          <w:position w:val="0"/>
        </w:rPr>
        <w:t>事项描述</w:t>
      </w:r>
    </w:p>
    <w:p>
      <w:pPr>
        <w:pStyle w:val="Style13"/>
        <w:keepNext w:val="0"/>
        <w:keepLines w:val="0"/>
        <w:widowControl w:val="0"/>
        <w:shd w:val="clear" w:color="auto" w:fill="auto"/>
        <w:bidi w:val="0"/>
        <w:spacing w:before="0" w:after="0" w:line="470" w:lineRule="exact"/>
        <w:ind w:left="580" w:right="0" w:firstLine="460"/>
        <w:jc w:val="left"/>
      </w:pPr>
      <w:r>
        <w:rPr>
          <w:color w:val="000000"/>
          <w:spacing w:val="0"/>
          <w:w w:val="100"/>
          <w:position w:val="0"/>
        </w:rPr>
        <w:t>如财务报表附注五、</w:t>
      </w:r>
      <w:r>
        <w:rPr>
          <w:rFonts w:ascii="Times New Roman" w:eastAsia="Times New Roman" w:hAnsi="Times New Roman" w:cs="Times New Roman"/>
          <w:color w:val="000000"/>
          <w:spacing w:val="0"/>
          <w:w w:val="100"/>
          <w:position w:val="0"/>
        </w:rPr>
        <w:t xml:space="preserve">41 </w:t>
      </w:r>
      <w:r>
        <w:rPr>
          <w:color w:val="000000"/>
          <w:spacing w:val="0"/>
          <w:w w:val="100"/>
          <w:position w:val="0"/>
        </w:rPr>
        <w:t>“营业收入和营业成本”所述，国民技术公司</w:t>
      </w:r>
      <w:r>
        <w:rPr>
          <w:rFonts w:ascii="Times New Roman" w:eastAsia="Times New Roman" w:hAnsi="Times New Roman" w:cs="Times New Roman"/>
          <w:color w:val="000000"/>
          <w:spacing w:val="0"/>
          <w:w w:val="100"/>
          <w:position w:val="0"/>
        </w:rPr>
        <w:t>2021</w:t>
      </w:r>
      <w:r>
        <w:rPr>
          <w:color w:val="000000"/>
          <w:spacing w:val="0"/>
          <w:w w:val="100"/>
          <w:position w:val="0"/>
        </w:rPr>
        <w:t>年度主营业务收 入为</w:t>
      </w:r>
      <w:r>
        <w:rPr>
          <w:rFonts w:ascii="Times New Roman" w:eastAsia="Times New Roman" w:hAnsi="Times New Roman" w:cs="Times New Roman"/>
          <w:color w:val="000000"/>
          <w:spacing w:val="0"/>
          <w:w w:val="100"/>
          <w:position w:val="0"/>
        </w:rPr>
        <w:t>99,382.00</w:t>
      </w:r>
      <w:r>
        <w:rPr>
          <w:color w:val="000000"/>
          <w:spacing w:val="0"/>
          <w:w w:val="100"/>
          <w:position w:val="0"/>
        </w:rPr>
        <w:t>万元，较</w:t>
      </w:r>
      <w:r>
        <w:rPr>
          <w:rFonts w:ascii="Times New Roman" w:eastAsia="Times New Roman" w:hAnsi="Times New Roman" w:cs="Times New Roman"/>
          <w:color w:val="000000"/>
          <w:spacing w:val="0"/>
          <w:w w:val="100"/>
          <w:position w:val="0"/>
        </w:rPr>
        <w:t>2020</w:t>
      </w:r>
      <w:r>
        <w:rPr>
          <w:color w:val="000000"/>
          <w:spacing w:val="0"/>
          <w:w w:val="100"/>
          <w:position w:val="0"/>
        </w:rPr>
        <w:t>年度增长</w:t>
      </w:r>
      <w:r>
        <w:rPr>
          <w:rFonts w:ascii="Times New Roman" w:eastAsia="Times New Roman" w:hAnsi="Times New Roman" w:cs="Times New Roman"/>
          <w:color w:val="000000"/>
          <w:spacing w:val="0"/>
          <w:w w:val="100"/>
          <w:position w:val="0"/>
        </w:rPr>
        <w:t>176.32%</w:t>
      </w:r>
      <w:r>
        <w:rPr>
          <w:color w:val="000000"/>
          <w:spacing w:val="0"/>
          <w:w w:val="100"/>
          <w:position w:val="0"/>
        </w:rPr>
        <w:t>，主要系芯片类产品及负极材料销售及加工收入 增长。由于收入是国民技术公司的关键业绩指标之一，存在国民技术公司管理层</w:t>
      </w:r>
      <w:r>
        <w:rPr>
          <w:rFonts w:ascii="Times New Roman" w:eastAsia="Times New Roman" w:hAnsi="Times New Roman" w:cs="Times New Roman"/>
          <w:color w:val="000000"/>
          <w:spacing w:val="0"/>
          <w:w w:val="100"/>
          <w:position w:val="0"/>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rPr>
        <w:t xml:space="preserve">） </w:t>
      </w:r>
      <w:r>
        <w:rPr>
          <w:color w:val="000000"/>
          <w:spacing w:val="0"/>
          <w:w w:val="100"/>
          <w:position w:val="0"/>
        </w:rPr>
        <w:t>为了达到特定目标或期望而操纵收入确认的固有风险，因此，我们将芯片类产品收入及负极材料 销售及加工收入认定为关键审计事项。</w:t>
      </w:r>
    </w:p>
    <w:p>
      <w:pPr>
        <w:pStyle w:val="Style13"/>
        <w:keepNext w:val="0"/>
        <w:keepLines w:val="0"/>
        <w:widowControl w:val="0"/>
        <w:numPr>
          <w:ilvl w:val="0"/>
          <w:numId w:val="15"/>
        </w:numPr>
        <w:shd w:val="clear" w:color="auto" w:fill="auto"/>
        <w:tabs>
          <w:tab w:pos="1384" w:val="left"/>
        </w:tabs>
        <w:bidi w:val="0"/>
        <w:spacing w:before="0" w:after="0" w:line="470" w:lineRule="exact"/>
        <w:ind w:left="1040" w:right="0" w:firstLine="0"/>
        <w:jc w:val="left"/>
      </w:pPr>
      <w:bookmarkStart w:id="641" w:name="bookmark641"/>
      <w:bookmarkEnd w:id="641"/>
      <w:r>
        <w:rPr>
          <w:color w:val="000000"/>
          <w:spacing w:val="0"/>
          <w:w w:val="100"/>
          <w:position w:val="0"/>
        </w:rPr>
        <w:t>审计应对</w:t>
      </w:r>
    </w:p>
    <w:p>
      <w:pPr>
        <w:pStyle w:val="Style13"/>
        <w:keepNext w:val="0"/>
        <w:keepLines w:val="0"/>
        <w:widowControl w:val="0"/>
        <w:shd w:val="clear" w:color="auto" w:fill="auto"/>
        <w:bidi w:val="0"/>
        <w:spacing w:before="0" w:after="0" w:line="470" w:lineRule="exact"/>
        <w:ind w:left="1040" w:right="0" w:firstLine="0"/>
        <w:jc w:val="left"/>
      </w:pPr>
      <w:r>
        <w:rPr>
          <w:color w:val="000000"/>
          <w:spacing w:val="0"/>
          <w:w w:val="100"/>
          <w:position w:val="0"/>
        </w:rPr>
        <w:t>我们针对上述关键审计事项执行的主要审计程序如下：</w:t>
      </w:r>
    </w:p>
    <w:p>
      <w:pPr>
        <w:pStyle w:val="Style13"/>
        <w:keepNext w:val="0"/>
        <w:keepLines w:val="0"/>
        <w:widowControl w:val="0"/>
        <w:shd w:val="clear" w:color="auto" w:fill="auto"/>
        <w:tabs>
          <w:tab w:pos="1673" w:val="left"/>
        </w:tabs>
        <w:bidi w:val="0"/>
        <w:spacing w:before="0" w:after="0" w:line="475" w:lineRule="exact"/>
        <w:ind w:left="580" w:right="0" w:firstLine="460"/>
        <w:jc w:val="left"/>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rPr>
        <w:t>1</w:t>
      </w:r>
      <w:r>
        <w:rPr>
          <w:color w:val="000000"/>
          <w:spacing w:val="0"/>
          <w:w w:val="100"/>
          <w:position w:val="0"/>
        </w:rPr>
        <w:t>）</w:t>
        <w:tab/>
        <w:t>了解与收入确认相关的关键内部控制，评价这些控制的设计，确定其是否得到执行， 并测试相关内部控制的运行有效性；</w:t>
      </w:r>
    </w:p>
    <w:p>
      <w:pPr>
        <w:pStyle w:val="Style13"/>
        <w:keepNext w:val="0"/>
        <w:keepLines w:val="0"/>
        <w:widowControl w:val="0"/>
        <w:shd w:val="clear" w:color="auto" w:fill="auto"/>
        <w:tabs>
          <w:tab w:pos="1678" w:val="left"/>
        </w:tabs>
        <w:bidi w:val="0"/>
        <w:spacing w:before="0" w:after="0" w:line="475" w:lineRule="exact"/>
        <w:ind w:left="580" w:right="0" w:firstLine="460"/>
        <w:jc w:val="left"/>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rPr>
        <w:t>2</w:t>
      </w:r>
      <w:r>
        <w:rPr>
          <w:color w:val="000000"/>
          <w:spacing w:val="0"/>
          <w:w w:val="100"/>
          <w:position w:val="0"/>
        </w:rPr>
        <w:t>）</w:t>
        <w:tab/>
        <w:t>检查主要的销售合同，了解主要合同条款或条件，评价收入确认政策是否符合企业会 计准则的规定；</w:t>
      </w:r>
    </w:p>
    <w:p>
      <w:pPr>
        <w:pStyle w:val="Style13"/>
        <w:keepNext w:val="0"/>
        <w:keepLines w:val="0"/>
        <w:widowControl w:val="0"/>
        <w:shd w:val="clear" w:color="auto" w:fill="auto"/>
        <w:tabs>
          <w:tab w:pos="1678" w:val="left"/>
        </w:tabs>
        <w:bidi w:val="0"/>
        <w:spacing w:before="0" w:after="0" w:line="468" w:lineRule="exact"/>
        <w:ind w:left="580" w:right="0" w:firstLine="460"/>
        <w:jc w:val="left"/>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rPr>
        <w:t>3</w:t>
      </w:r>
      <w:r>
        <w:rPr>
          <w:color w:val="000000"/>
          <w:spacing w:val="0"/>
          <w:w w:val="100"/>
          <w:position w:val="0"/>
        </w:rPr>
        <w:t>）</w:t>
        <w:tab/>
        <w:t>对于内销收入，以抽样方式检查与收入确认相关的支持性文件，包括销售合同、订单、 销售发票、出库单、物流单据、客户签收单、客户对账单等；对于出口收入，获取电子口岸信息 并与账面记录核对，并以抽样方式检查销售合同、出口报关单、销售发票等支持性文件；</w:t>
      </w:r>
    </w:p>
    <w:p>
      <w:pPr>
        <w:pStyle w:val="Style13"/>
        <w:keepNext w:val="0"/>
        <w:keepLines w:val="0"/>
        <w:widowControl w:val="0"/>
        <w:shd w:val="clear" w:color="auto" w:fill="auto"/>
        <w:tabs>
          <w:tab w:pos="1678" w:val="left"/>
        </w:tabs>
        <w:bidi w:val="0"/>
        <w:spacing w:before="0" w:after="0" w:line="490" w:lineRule="exact"/>
        <w:ind w:left="580" w:right="0" w:firstLine="460"/>
        <w:jc w:val="left"/>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rPr>
        <w:t>4</w:t>
      </w:r>
      <w:r>
        <w:rPr>
          <w:color w:val="000000"/>
          <w:spacing w:val="0"/>
          <w:w w:val="100"/>
          <w:position w:val="0"/>
        </w:rPr>
        <w:t>）</w:t>
        <w:tab/>
        <w:t>对营业收入及毛利率按月度、产品、客户等实施分析程序，识别是否存在重大或异常 波动，并查明波动原因；</w:t>
      </w:r>
    </w:p>
    <w:p>
      <w:pPr>
        <w:pStyle w:val="Style13"/>
        <w:keepNext w:val="0"/>
        <w:keepLines w:val="0"/>
        <w:widowControl w:val="0"/>
        <w:shd w:val="clear" w:color="auto" w:fill="auto"/>
        <w:tabs>
          <w:tab w:pos="1584" w:val="left"/>
        </w:tabs>
        <w:bidi w:val="0"/>
        <w:spacing w:before="0" w:after="0" w:line="490" w:lineRule="exact"/>
        <w:ind w:left="1040" w:right="0" w:firstLine="0"/>
        <w:jc w:val="left"/>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rPr>
        <w:t>5</w:t>
      </w:r>
      <w:r>
        <w:rPr>
          <w:color w:val="000000"/>
          <w:spacing w:val="0"/>
          <w:w w:val="100"/>
          <w:position w:val="0"/>
        </w:rPr>
        <w:t>）</w:t>
        <w:tab/>
        <w:t>结合应收账款函证，以抽样方式向主要客户独立函证报告期内销售额；</w:t>
      </w:r>
    </w:p>
    <w:p>
      <w:pPr>
        <w:pStyle w:val="Style13"/>
        <w:keepNext w:val="0"/>
        <w:keepLines w:val="0"/>
        <w:widowControl w:val="0"/>
        <w:shd w:val="clear" w:color="auto" w:fill="auto"/>
        <w:tabs>
          <w:tab w:pos="1678" w:val="left"/>
        </w:tabs>
        <w:bidi w:val="0"/>
        <w:spacing w:before="0" w:after="0" w:line="470" w:lineRule="exact"/>
        <w:ind w:left="580" w:right="0" w:firstLine="46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rPr>
        <w:t>6</w:t>
      </w:r>
      <w:r>
        <w:rPr>
          <w:color w:val="000000"/>
          <w:spacing w:val="0"/>
          <w:w w:val="100"/>
          <w:position w:val="0"/>
        </w:rPr>
        <w:t>）</w:t>
        <w:tab/>
        <w:t>对资产负债表日前后确认的营业收入实施截止测试，评价营业收入是否在恰当期间确 认；</w:t>
      </w:r>
    </w:p>
    <w:p>
      <w:pPr>
        <w:pStyle w:val="Style13"/>
        <w:keepNext w:val="0"/>
        <w:keepLines w:val="0"/>
        <w:widowControl w:val="0"/>
        <w:shd w:val="clear" w:color="auto" w:fill="auto"/>
        <w:tabs>
          <w:tab w:pos="1584" w:val="left"/>
        </w:tabs>
        <w:bidi w:val="0"/>
        <w:spacing w:before="0" w:after="0" w:line="470" w:lineRule="exact"/>
        <w:ind w:left="1040" w:right="0" w:firstLine="0"/>
        <w:jc w:val="left"/>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rPr>
        <w:t>7</w:t>
      </w:r>
      <w:r>
        <w:rPr>
          <w:color w:val="000000"/>
          <w:spacing w:val="0"/>
          <w:w w:val="100"/>
          <w:position w:val="0"/>
        </w:rPr>
        <w:t>）</w:t>
        <w:tab/>
        <w:t>检查与营业收入相关的信息是否已在财务报表中作出恰当列报。</w:t>
      </w:r>
    </w:p>
    <w:p>
      <w:pPr>
        <w:pStyle w:val="Style13"/>
        <w:keepNext w:val="0"/>
        <w:keepLines w:val="0"/>
        <w:widowControl w:val="0"/>
        <w:shd w:val="clear" w:color="auto" w:fill="auto"/>
        <w:bidi w:val="0"/>
        <w:spacing w:before="0" w:after="0" w:line="470" w:lineRule="exact"/>
        <w:ind w:left="1040" w:right="0" w:firstLine="0"/>
        <w:jc w:val="left"/>
      </w:pPr>
      <w:r>
        <w:rPr>
          <w:color w:val="000000"/>
          <w:spacing w:val="0"/>
          <w:w w:val="100"/>
          <w:position w:val="0"/>
        </w:rPr>
        <w:t>（二）华夏芯（北京）通用处理器技术有限公司股权转让</w:t>
      </w:r>
    </w:p>
    <w:p>
      <w:pPr>
        <w:pStyle w:val="Style13"/>
        <w:keepNext w:val="0"/>
        <w:keepLines w:val="0"/>
        <w:widowControl w:val="0"/>
        <w:numPr>
          <w:ilvl w:val="0"/>
          <w:numId w:val="17"/>
        </w:numPr>
        <w:shd w:val="clear" w:color="auto" w:fill="auto"/>
        <w:bidi w:val="0"/>
        <w:spacing w:before="0" w:after="0" w:line="470" w:lineRule="exact"/>
        <w:ind w:left="1040" w:right="0" w:firstLine="0"/>
        <w:jc w:val="left"/>
      </w:pPr>
      <w:bookmarkStart w:id="649" w:name="bookmark649"/>
      <w:bookmarkEnd w:id="649"/>
      <w:r>
        <w:rPr>
          <w:color w:val="000000"/>
          <w:spacing w:val="0"/>
          <w:w w:val="100"/>
          <w:position w:val="0"/>
        </w:rPr>
        <w:t>事项描述</w:t>
      </w:r>
    </w:p>
    <w:p>
      <w:pPr>
        <w:pStyle w:val="Style13"/>
        <w:keepNext w:val="0"/>
        <w:keepLines w:val="0"/>
        <w:widowControl w:val="0"/>
        <w:shd w:val="clear" w:color="auto" w:fill="auto"/>
        <w:bidi w:val="0"/>
        <w:spacing w:before="0" w:after="0" w:line="470" w:lineRule="exact"/>
        <w:ind w:left="1040" w:right="0" w:firstLine="0"/>
        <w:jc w:val="left"/>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 xml:space="preserve">48 </w:t>
      </w:r>
      <w:r>
        <w:rPr>
          <w:color w:val="000000"/>
          <w:spacing w:val="0"/>
          <w:w w:val="100"/>
          <w:position w:val="0"/>
        </w:rPr>
        <w:t>“投资收益”。</w:t>
      </w:r>
    </w:p>
    <w:p>
      <w:pPr>
        <w:pStyle w:val="Style13"/>
        <w:keepNext w:val="0"/>
        <w:keepLines w:val="0"/>
        <w:widowControl w:val="0"/>
        <w:shd w:val="clear" w:color="auto" w:fill="auto"/>
        <w:bidi w:val="0"/>
        <w:spacing w:before="0" w:after="40" w:line="469" w:lineRule="exact"/>
        <w:ind w:left="580" w:right="0" w:firstLine="46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日国民技术公司全资子公司深圳前海国民投资管理有限公司（以下简称 “国民投资”）与业绩承诺方李科奕签署的《补偿及股权转让协议》，国民投资以</w:t>
      </w:r>
      <w:r>
        <w:rPr>
          <w:rFonts w:ascii="Times New Roman" w:eastAsia="Times New Roman" w:hAnsi="Times New Roman" w:cs="Times New Roman"/>
          <w:color w:val="000000"/>
          <w:spacing w:val="0"/>
          <w:w w:val="100"/>
          <w:position w:val="0"/>
        </w:rPr>
        <w:t>16,921.37</w:t>
      </w:r>
      <w:r>
        <w:rPr>
          <w:color w:val="000000"/>
          <w:spacing w:val="0"/>
          <w:w w:val="100"/>
          <w:position w:val="0"/>
        </w:rPr>
        <w:t>万 元的对价将持有的华夏芯（北京）通用处理器技术有限公司（以下简称“华夏芯”）</w:t>
      </w:r>
      <w:r>
        <w:rPr>
          <w:rFonts w:ascii="Times New Roman" w:eastAsia="Times New Roman" w:hAnsi="Times New Roman" w:cs="Times New Roman"/>
          <w:color w:val="000000"/>
          <w:spacing w:val="0"/>
          <w:w w:val="100"/>
          <w:position w:val="0"/>
        </w:rPr>
        <w:t>21.374%</w:t>
      </w:r>
      <w:r>
        <w:rPr>
          <w:color w:val="000000"/>
          <w:spacing w:val="0"/>
          <w:w w:val="100"/>
          <w:position w:val="0"/>
        </w:rPr>
        <w:t>股 权转让给业绩承诺方李科奕。</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年度国民投资公司已收到全部股权转让款，并完成工商变更， </w:t>
      </w:r>
      <w:r>
        <w:rPr>
          <w:color w:val="000000"/>
          <w:spacing w:val="0"/>
          <w:w w:val="100"/>
          <w:position w:val="0"/>
        </w:rPr>
        <w:t>确认投资收益</w:t>
      </w:r>
      <w:r>
        <w:rPr>
          <w:rFonts w:ascii="Times New Roman" w:eastAsia="Times New Roman" w:hAnsi="Times New Roman" w:cs="Times New Roman"/>
          <w:color w:val="000000"/>
          <w:spacing w:val="0"/>
          <w:w w:val="100"/>
          <w:position w:val="0"/>
        </w:rPr>
        <w:t>6,907.47</w:t>
      </w:r>
      <w:r>
        <w:rPr>
          <w:color w:val="000000"/>
          <w:spacing w:val="0"/>
          <w:w w:val="100"/>
          <w:position w:val="0"/>
        </w:rPr>
        <w:t>万元。该事项对</w:t>
      </w:r>
      <w:r>
        <w:rPr>
          <w:rFonts w:ascii="Times New Roman" w:eastAsia="Times New Roman" w:hAnsi="Times New Roman" w:cs="Times New Roman"/>
          <w:color w:val="000000"/>
          <w:spacing w:val="0"/>
          <w:w w:val="100"/>
          <w:position w:val="0"/>
        </w:rPr>
        <w:t>2021</w:t>
      </w:r>
      <w:r>
        <w:rPr>
          <w:color w:val="000000"/>
          <w:spacing w:val="0"/>
          <w:w w:val="100"/>
          <w:position w:val="0"/>
        </w:rPr>
        <w:t>年财务报表影响重大。因此，我们将该事项认定为 关键审计事项。</w:t>
      </w:r>
    </w:p>
    <w:p>
      <w:pPr>
        <w:pStyle w:val="Style13"/>
        <w:keepNext w:val="0"/>
        <w:keepLines w:val="0"/>
        <w:widowControl w:val="0"/>
        <w:shd w:val="clear" w:color="auto" w:fill="auto"/>
        <w:bidi w:val="0"/>
        <w:spacing w:before="0" w:after="40" w:line="480" w:lineRule="exact"/>
        <w:ind w:left="104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13"/>
        <w:keepNext w:val="0"/>
        <w:keepLines w:val="0"/>
        <w:widowControl w:val="0"/>
        <w:shd w:val="clear" w:color="auto" w:fill="auto"/>
        <w:bidi w:val="0"/>
        <w:spacing w:before="0" w:after="40" w:line="470" w:lineRule="exact"/>
        <w:ind w:left="1040" w:right="0" w:firstLine="0"/>
        <w:jc w:val="left"/>
      </w:pPr>
      <w:r>
        <w:rPr>
          <w:color w:val="000000"/>
          <w:spacing w:val="0"/>
          <w:w w:val="100"/>
          <w:position w:val="0"/>
        </w:rPr>
        <w:t>我们针对上述关键审计事项执行的主要审计程序如下：</w:t>
      </w:r>
    </w:p>
    <w:p>
      <w:pPr>
        <w:pStyle w:val="Style13"/>
        <w:keepNext w:val="0"/>
        <w:keepLines w:val="0"/>
        <w:widowControl w:val="0"/>
        <w:shd w:val="clear" w:color="auto" w:fill="auto"/>
        <w:tabs>
          <w:tab w:pos="1552" w:val="left"/>
        </w:tabs>
        <w:bidi w:val="0"/>
        <w:spacing w:before="0" w:after="40" w:line="470" w:lineRule="exact"/>
        <w:ind w:left="1040" w:right="0" w:firstLine="0"/>
        <w:jc w:val="left"/>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rPr>
        <w:t>1</w:t>
      </w:r>
      <w:r>
        <w:rPr>
          <w:color w:val="000000"/>
          <w:spacing w:val="0"/>
          <w:w w:val="100"/>
          <w:position w:val="0"/>
        </w:rPr>
        <w:t>）</w:t>
        <w:tab/>
        <w:t>查阅上述《补偿及股权转让协议》及国民技术公司相关决议文件；</w:t>
      </w:r>
    </w:p>
    <w:p>
      <w:pPr>
        <w:pStyle w:val="Style13"/>
        <w:keepNext w:val="0"/>
        <w:keepLines w:val="0"/>
        <w:widowControl w:val="0"/>
        <w:shd w:val="clear" w:color="auto" w:fill="auto"/>
        <w:tabs>
          <w:tab w:pos="1552" w:val="left"/>
        </w:tabs>
        <w:bidi w:val="0"/>
        <w:spacing w:before="0" w:after="40" w:line="470" w:lineRule="exact"/>
        <w:ind w:left="1040" w:right="0" w:firstLine="0"/>
        <w:jc w:val="left"/>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rPr>
        <w:t>2</w:t>
      </w:r>
      <w:r>
        <w:rPr>
          <w:color w:val="000000"/>
          <w:spacing w:val="0"/>
          <w:w w:val="100"/>
          <w:position w:val="0"/>
        </w:rPr>
        <w:t>）</w:t>
        <w:tab/>
        <w:t>检查相关银行收款回单，与资金流水核对，确认款项已实际收到；</w:t>
      </w:r>
    </w:p>
    <w:p>
      <w:pPr>
        <w:pStyle w:val="Style13"/>
        <w:keepNext w:val="0"/>
        <w:keepLines w:val="0"/>
        <w:widowControl w:val="0"/>
        <w:shd w:val="clear" w:color="auto" w:fill="auto"/>
        <w:tabs>
          <w:tab w:pos="1552" w:val="left"/>
        </w:tabs>
        <w:bidi w:val="0"/>
        <w:spacing w:before="0" w:after="40" w:line="470" w:lineRule="exact"/>
        <w:ind w:left="1040" w:right="0" w:firstLine="0"/>
        <w:jc w:val="left"/>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rPr>
        <w:t>3</w:t>
      </w:r>
      <w:r>
        <w:rPr>
          <w:color w:val="000000"/>
          <w:spacing w:val="0"/>
          <w:w w:val="100"/>
          <w:position w:val="0"/>
        </w:rPr>
        <w:t>）</w:t>
        <w:tab/>
        <w:t>查询华夏芯工商信息及股权变更情况；</w:t>
      </w:r>
    </w:p>
    <w:p>
      <w:pPr>
        <w:pStyle w:val="Style13"/>
        <w:keepNext w:val="0"/>
        <w:keepLines w:val="0"/>
        <w:widowControl w:val="0"/>
        <w:shd w:val="clear" w:color="auto" w:fill="auto"/>
        <w:tabs>
          <w:tab w:pos="1552" w:val="left"/>
        </w:tabs>
        <w:bidi w:val="0"/>
        <w:spacing w:before="0" w:after="40" w:line="470" w:lineRule="exact"/>
        <w:ind w:left="1040" w:right="0" w:firstLine="0"/>
        <w:jc w:val="left"/>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rPr>
        <w:t>4</w:t>
      </w:r>
      <w:r>
        <w:rPr>
          <w:color w:val="000000"/>
          <w:spacing w:val="0"/>
          <w:w w:val="100"/>
          <w:position w:val="0"/>
        </w:rPr>
        <w:t>）</w:t>
        <w:tab/>
        <w:t>评估管理层对该事项的会计处理及披露。</w:t>
      </w:r>
    </w:p>
    <w:p>
      <w:pPr>
        <w:pStyle w:val="Style13"/>
        <w:keepNext w:val="0"/>
        <w:keepLines w:val="0"/>
        <w:widowControl w:val="0"/>
        <w:shd w:val="clear" w:color="auto" w:fill="auto"/>
        <w:tabs>
          <w:tab w:pos="1667" w:val="left"/>
        </w:tabs>
        <w:bidi w:val="0"/>
        <w:spacing w:before="0" w:after="40" w:line="470" w:lineRule="exact"/>
        <w:ind w:left="1040" w:right="0" w:firstLine="0"/>
        <w:jc w:val="left"/>
      </w:pPr>
      <w:bookmarkStart w:id="654" w:name="bookmark654"/>
      <w:r>
        <w:rPr>
          <w:color w:val="000000"/>
          <w:spacing w:val="0"/>
          <w:w w:val="100"/>
          <w:position w:val="0"/>
        </w:rPr>
        <w:t>（</w:t>
      </w:r>
      <w:bookmarkEnd w:id="654"/>
      <w:r>
        <w:rPr>
          <w:color w:val="000000"/>
          <w:spacing w:val="0"/>
          <w:w w:val="100"/>
          <w:position w:val="0"/>
        </w:rPr>
        <w:t>三）</w:t>
        <w:tab/>
        <w:t>股份支付</w:t>
      </w:r>
    </w:p>
    <w:p>
      <w:pPr>
        <w:pStyle w:val="Style13"/>
        <w:keepNext w:val="0"/>
        <w:keepLines w:val="0"/>
        <w:widowControl w:val="0"/>
        <w:numPr>
          <w:ilvl w:val="0"/>
          <w:numId w:val="19"/>
        </w:numPr>
        <w:shd w:val="clear" w:color="auto" w:fill="auto"/>
        <w:tabs>
          <w:tab w:pos="1365" w:val="left"/>
        </w:tabs>
        <w:bidi w:val="0"/>
        <w:spacing w:before="0" w:after="0" w:line="470" w:lineRule="exact"/>
        <w:ind w:left="1040" w:right="0" w:firstLine="0"/>
        <w:jc w:val="both"/>
      </w:pPr>
      <w:bookmarkStart w:id="655" w:name="bookmark655"/>
      <w:bookmarkEnd w:id="655"/>
      <w:r>
        <w:rPr>
          <w:color w:val="000000"/>
          <w:spacing w:val="0"/>
          <w:w w:val="100"/>
          <w:position w:val="0"/>
        </w:rPr>
        <w:t>事项描述</w:t>
      </w:r>
    </w:p>
    <w:p>
      <w:pPr>
        <w:pStyle w:val="Style13"/>
        <w:keepNext w:val="0"/>
        <w:keepLines w:val="0"/>
        <w:widowControl w:val="0"/>
        <w:shd w:val="clear" w:color="auto" w:fill="auto"/>
        <w:bidi w:val="0"/>
        <w:spacing w:before="0" w:after="40" w:line="480" w:lineRule="exact"/>
        <w:ind w:left="580" w:right="0" w:firstLine="460"/>
        <w:jc w:val="both"/>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 xml:space="preserve">34 </w:t>
      </w:r>
      <w:r>
        <w:rPr>
          <w:color w:val="000000"/>
          <w:spacing w:val="0"/>
          <w:w w:val="100"/>
          <w:position w:val="0"/>
        </w:rPr>
        <w:t>“股本”、附注五、</w:t>
      </w:r>
      <w:r>
        <w:rPr>
          <w:rFonts w:ascii="Times New Roman" w:eastAsia="Times New Roman" w:hAnsi="Times New Roman" w:cs="Times New Roman"/>
          <w:color w:val="000000"/>
          <w:spacing w:val="0"/>
          <w:w w:val="100"/>
          <w:position w:val="0"/>
        </w:rPr>
        <w:t xml:space="preserve">35 </w:t>
      </w:r>
      <w:r>
        <w:rPr>
          <w:color w:val="000000"/>
          <w:spacing w:val="0"/>
          <w:w w:val="100"/>
          <w:position w:val="0"/>
        </w:rPr>
        <w:t>“资本公积”、附注五、</w:t>
      </w:r>
      <w:r>
        <w:rPr>
          <w:rFonts w:ascii="Times New Roman" w:eastAsia="Times New Roman" w:hAnsi="Times New Roman" w:cs="Times New Roman"/>
          <w:color w:val="000000"/>
          <w:spacing w:val="0"/>
          <w:w w:val="100"/>
          <w:position w:val="0"/>
        </w:rPr>
        <w:t xml:space="preserve">36 </w:t>
      </w:r>
      <w:r>
        <w:rPr>
          <w:color w:val="000000"/>
          <w:spacing w:val="0"/>
          <w:w w:val="100"/>
          <w:position w:val="0"/>
        </w:rPr>
        <w:t>“库 存股”、附注十一、“股份支付”。</w:t>
      </w:r>
    </w:p>
    <w:p>
      <w:pPr>
        <w:pStyle w:val="Style13"/>
        <w:keepNext w:val="0"/>
        <w:keepLines w:val="0"/>
        <w:widowControl w:val="0"/>
        <w:shd w:val="clear" w:color="auto" w:fill="auto"/>
        <w:bidi w:val="0"/>
        <w:spacing w:before="0" w:after="40" w:line="470" w:lineRule="exact"/>
        <w:ind w:left="58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日国民技术公司召开第五届董事会第三次会议，审议通过了《关于公司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w:t>
      </w:r>
      <w:r>
        <w:rPr>
          <w:rFonts w:ascii="Times New Roman" w:eastAsia="Times New Roman" w:hAnsi="Times New Roman" w:cs="Times New Roman"/>
          <w:color w:val="000000"/>
          <w:spacing w:val="0"/>
          <w:w w:val="100"/>
          <w:position w:val="0"/>
        </w:rPr>
        <w:t>2021</w:t>
      </w:r>
      <w:r>
        <w:rPr>
          <w:color w:val="000000"/>
          <w:spacing w:val="0"/>
          <w:w w:val="100"/>
          <w:position w:val="0"/>
        </w:rPr>
        <w:t>年第一次临 时股东大会会议决议。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日国民技术公司召开第五届董事会第四次会议，审议通过 了《关于向激励对象首次授予限制性股票的议案》。本次基于股份支付确认的费用对财务报表的 影响重大，且其估值涉及管理层重大估计和判断，因此，我们将该事项认定为关键审计事项。</w:t>
      </w:r>
    </w:p>
    <w:p>
      <w:pPr>
        <w:pStyle w:val="Style13"/>
        <w:keepNext w:val="0"/>
        <w:keepLines w:val="0"/>
        <w:widowControl w:val="0"/>
        <w:numPr>
          <w:ilvl w:val="0"/>
          <w:numId w:val="19"/>
        </w:numPr>
        <w:shd w:val="clear" w:color="auto" w:fill="auto"/>
        <w:tabs>
          <w:tab w:pos="1384" w:val="left"/>
        </w:tabs>
        <w:bidi w:val="0"/>
        <w:spacing w:before="0" w:after="40" w:line="470" w:lineRule="exact"/>
        <w:ind w:left="1040" w:right="0" w:firstLine="0"/>
        <w:jc w:val="both"/>
      </w:pPr>
      <w:bookmarkStart w:id="656" w:name="bookmark656"/>
      <w:bookmarkEnd w:id="656"/>
      <w:r>
        <w:rPr>
          <w:color w:val="000000"/>
          <w:spacing w:val="0"/>
          <w:w w:val="100"/>
          <w:position w:val="0"/>
        </w:rPr>
        <w:t>审计应对</w:t>
      </w:r>
    </w:p>
    <w:p>
      <w:pPr>
        <w:pStyle w:val="Style13"/>
        <w:keepNext w:val="0"/>
        <w:keepLines w:val="0"/>
        <w:widowControl w:val="0"/>
        <w:shd w:val="clear" w:color="auto" w:fill="auto"/>
        <w:tabs>
          <w:tab w:pos="1673" w:val="left"/>
        </w:tabs>
        <w:bidi w:val="0"/>
        <w:spacing w:before="0" w:after="40" w:line="466" w:lineRule="exact"/>
        <w:ind w:left="580" w:right="0" w:firstLine="460"/>
        <w:jc w:val="left"/>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rPr>
        <w:t>1</w:t>
      </w:r>
      <w:r>
        <w:rPr>
          <w:color w:val="000000"/>
          <w:spacing w:val="0"/>
          <w:w w:val="100"/>
          <w:position w:val="0"/>
        </w:rPr>
        <w:t>）</w:t>
        <w:tab/>
        <w:t>获取并检查经批准的《关于向激励对象首次授予限制性股票的议案》及相关的董事会 决议、股东大会决议，检查该计划实施的相关证据；</w:t>
      </w:r>
    </w:p>
    <w:p>
      <w:pPr>
        <w:pStyle w:val="Style13"/>
        <w:keepNext w:val="0"/>
        <w:keepLines w:val="0"/>
        <w:widowControl w:val="0"/>
        <w:shd w:val="clear" w:color="auto" w:fill="auto"/>
        <w:tabs>
          <w:tab w:pos="1673" w:val="left"/>
        </w:tabs>
        <w:bidi w:val="0"/>
        <w:spacing w:before="0" w:after="40" w:line="470" w:lineRule="exact"/>
        <w:ind w:left="580" w:right="0" w:firstLine="460"/>
        <w:jc w:val="left"/>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rPr>
        <w:t>2</w:t>
      </w:r>
      <w:r>
        <w:rPr>
          <w:color w:val="000000"/>
          <w:spacing w:val="0"/>
          <w:w w:val="100"/>
          <w:position w:val="0"/>
        </w:rPr>
        <w:t>）</w:t>
        <w:tab/>
        <w:t>检查管理层对首次授予日股票公允价值做出估计的依据，检查管理层对于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日可行权数量做出估计的依据，并评价管理层估计结果的合理性；</w:t>
      </w:r>
    </w:p>
    <w:p>
      <w:pPr>
        <w:pStyle w:val="Style13"/>
        <w:keepNext w:val="0"/>
        <w:keepLines w:val="0"/>
        <w:widowControl w:val="0"/>
        <w:shd w:val="clear" w:color="auto" w:fill="auto"/>
        <w:tabs>
          <w:tab w:pos="1552" w:val="left"/>
        </w:tabs>
        <w:bidi w:val="0"/>
        <w:spacing w:before="0" w:after="40" w:line="470" w:lineRule="exact"/>
        <w:ind w:left="1040" w:right="0" w:firstLine="0"/>
        <w:jc w:val="left"/>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rPr>
        <w:t>3</w:t>
      </w:r>
      <w:r>
        <w:rPr>
          <w:color w:val="000000"/>
          <w:spacing w:val="0"/>
          <w:w w:val="100"/>
          <w:position w:val="0"/>
        </w:rPr>
        <w:t>）</w:t>
        <w:tab/>
        <w:t>检查并复核国民技术公司于</w:t>
      </w:r>
      <w:r>
        <w:rPr>
          <w:rFonts w:ascii="Times New Roman" w:eastAsia="Times New Roman" w:hAnsi="Times New Roman" w:cs="Times New Roman"/>
          <w:color w:val="000000"/>
          <w:spacing w:val="0"/>
          <w:w w:val="100"/>
          <w:position w:val="0"/>
        </w:rPr>
        <w:t>2021</w:t>
      </w:r>
      <w:r>
        <w:rPr>
          <w:color w:val="000000"/>
          <w:spacing w:val="0"/>
          <w:w w:val="100"/>
          <w:position w:val="0"/>
        </w:rPr>
        <w:t>年度确认的股份支付费用计算依据、计算过程及结果;</w:t>
      </w:r>
    </w:p>
    <w:p>
      <w:pPr>
        <w:pStyle w:val="Style13"/>
        <w:keepNext w:val="0"/>
        <w:keepLines w:val="0"/>
        <w:widowControl w:val="0"/>
        <w:shd w:val="clear" w:color="auto" w:fill="auto"/>
        <w:tabs>
          <w:tab w:pos="1552" w:val="left"/>
        </w:tabs>
        <w:bidi w:val="0"/>
        <w:spacing w:before="0" w:after="40" w:line="470" w:lineRule="exact"/>
        <w:ind w:left="1040" w:right="0" w:firstLine="0"/>
        <w:jc w:val="left"/>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4</w:t>
      </w:r>
      <w:r>
        <w:rPr>
          <w:color w:val="000000"/>
          <w:spacing w:val="0"/>
          <w:w w:val="100"/>
          <w:position w:val="0"/>
        </w:rPr>
        <w:t>）</w:t>
        <w:tab/>
        <w:t>检查股份支付及相关会计估计的列报是否充分、恰当。</w:t>
      </w:r>
    </w:p>
    <w:p>
      <w:pPr>
        <w:pStyle w:val="Style13"/>
        <w:keepNext w:val="0"/>
        <w:keepLines w:val="0"/>
        <w:widowControl w:val="0"/>
        <w:shd w:val="clear" w:color="auto" w:fill="auto"/>
        <w:tabs>
          <w:tab w:pos="1667" w:val="left"/>
        </w:tabs>
        <w:bidi w:val="0"/>
        <w:spacing w:before="0" w:after="40" w:line="470" w:lineRule="exact"/>
        <w:ind w:left="1040" w:right="0" w:firstLine="0"/>
        <w:jc w:val="left"/>
      </w:pPr>
      <w:bookmarkStart w:id="661" w:name="bookmark661"/>
      <w:r>
        <w:rPr>
          <w:color w:val="000000"/>
          <w:spacing w:val="0"/>
          <w:w w:val="100"/>
          <w:position w:val="0"/>
        </w:rPr>
        <w:t>（</w:t>
      </w:r>
      <w:bookmarkEnd w:id="661"/>
      <w:r>
        <w:rPr>
          <w:color w:val="000000"/>
          <w:spacing w:val="0"/>
          <w:w w:val="100"/>
          <w:position w:val="0"/>
        </w:rPr>
        <w:t>四）</w:t>
        <w:tab/>
        <w:t>交易性金融资产公允价值变动</w:t>
      </w:r>
    </w:p>
    <w:p>
      <w:pPr>
        <w:pStyle w:val="Style13"/>
        <w:keepNext w:val="0"/>
        <w:keepLines w:val="0"/>
        <w:widowControl w:val="0"/>
        <w:numPr>
          <w:ilvl w:val="0"/>
          <w:numId w:val="21"/>
        </w:numPr>
        <w:shd w:val="clear" w:color="auto" w:fill="auto"/>
        <w:bidi w:val="0"/>
        <w:spacing w:before="0" w:after="40" w:line="470" w:lineRule="exact"/>
        <w:ind w:left="1040" w:right="0" w:firstLine="0"/>
        <w:jc w:val="left"/>
      </w:pPr>
      <w:bookmarkStart w:id="662" w:name="bookmark662"/>
      <w:bookmarkEnd w:id="662"/>
      <w:r>
        <w:rPr>
          <w:color w:val="000000"/>
          <w:spacing w:val="0"/>
          <w:w w:val="100"/>
          <w:position w:val="0"/>
        </w:rPr>
        <w:t>事项描述</w:t>
      </w:r>
    </w:p>
    <w:p>
      <w:pPr>
        <w:pStyle w:val="Style13"/>
        <w:keepNext w:val="0"/>
        <w:keepLines w:val="0"/>
        <w:widowControl w:val="0"/>
        <w:shd w:val="clear" w:color="auto" w:fill="auto"/>
        <w:bidi w:val="0"/>
        <w:spacing w:before="0" w:after="40" w:line="470" w:lineRule="exact"/>
        <w:ind w:left="1040" w:right="0" w:firstLine="0"/>
        <w:jc w:val="left"/>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 xml:space="preserve">2 </w:t>
      </w:r>
      <w:r>
        <w:rPr>
          <w:color w:val="000000"/>
          <w:spacing w:val="0"/>
          <w:w w:val="100"/>
          <w:position w:val="0"/>
        </w:rPr>
        <w:t>“交易性金融资产”、附注五、</w:t>
      </w:r>
      <w:r>
        <w:rPr>
          <w:rFonts w:ascii="Times New Roman" w:eastAsia="Times New Roman" w:hAnsi="Times New Roman" w:cs="Times New Roman"/>
          <w:color w:val="000000"/>
          <w:spacing w:val="0"/>
          <w:w w:val="100"/>
          <w:position w:val="0"/>
        </w:rPr>
        <w:t xml:space="preserve">49 </w:t>
      </w:r>
      <w:r>
        <w:rPr>
          <w:color w:val="000000"/>
          <w:spacing w:val="0"/>
          <w:w w:val="100"/>
          <w:position w:val="0"/>
        </w:rPr>
        <w:t>“公允价值变动损</w:t>
      </w:r>
    </w:p>
    <w:p>
      <w:pPr>
        <w:pStyle w:val="Style13"/>
        <w:keepNext w:val="0"/>
        <w:keepLines w:val="0"/>
        <w:widowControl w:val="0"/>
        <w:shd w:val="clear" w:color="auto" w:fill="auto"/>
        <w:bidi w:val="0"/>
        <w:spacing w:before="0" w:after="0" w:line="470" w:lineRule="exact"/>
        <w:ind w:left="58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年度，公司交易性金融资产</w:t>
      </w:r>
      <w:r>
        <w:rPr>
          <w:rFonts w:ascii="Times New Roman" w:eastAsia="Times New Roman" w:hAnsi="Times New Roman" w:cs="Times New Roman"/>
          <w:color w:val="000000"/>
          <w:spacing w:val="0"/>
          <w:w w:val="100"/>
          <w:position w:val="0"/>
        </w:rPr>
        <w:t>-</w:t>
      </w:r>
      <w:r>
        <w:rPr>
          <w:color w:val="000000"/>
          <w:spacing w:val="0"/>
          <w:w w:val="100"/>
          <w:position w:val="0"/>
        </w:rPr>
        <w:t>深圳思齐资本信息技术私募创业投资基金企业（有限合伙） 公允价值变动损益</w:t>
      </w:r>
      <w:r>
        <w:rPr>
          <w:rFonts w:ascii="Times New Roman" w:eastAsia="Times New Roman" w:hAnsi="Times New Roman" w:cs="Times New Roman"/>
          <w:color w:val="000000"/>
          <w:spacing w:val="0"/>
          <w:w w:val="100"/>
          <w:position w:val="0"/>
        </w:rPr>
        <w:t>8,355.14</w:t>
      </w:r>
      <w:r>
        <w:rPr>
          <w:color w:val="000000"/>
          <w:spacing w:val="0"/>
          <w:w w:val="100"/>
          <w:position w:val="0"/>
        </w:rPr>
        <w:t>万元。</w:t>
      </w:r>
    </w:p>
    <w:p>
      <w:pPr>
        <w:pStyle w:val="Style13"/>
        <w:keepNext w:val="0"/>
        <w:keepLines w:val="0"/>
        <w:widowControl w:val="0"/>
        <w:shd w:val="clear" w:color="auto" w:fill="auto"/>
        <w:bidi w:val="0"/>
        <w:spacing w:before="0" w:after="0" w:line="466" w:lineRule="exact"/>
        <w:ind w:left="580" w:right="0" w:firstLine="460"/>
        <w:jc w:val="both"/>
      </w:pPr>
      <w:r>
        <w:rPr>
          <w:color w:val="000000"/>
          <w:spacing w:val="0"/>
          <w:w w:val="100"/>
          <w:position w:val="0"/>
        </w:rPr>
        <w:t>由于交易性金融资产公允价值估值涉及到公司管理层的判断，且对本期财务报表损益产生重 大影响，因此我们将该事项确定为关键审计事项。</w:t>
      </w:r>
    </w:p>
    <w:p>
      <w:pPr>
        <w:pStyle w:val="Style13"/>
        <w:keepNext w:val="0"/>
        <w:keepLines w:val="0"/>
        <w:widowControl w:val="0"/>
        <w:shd w:val="clear" w:color="auto" w:fill="auto"/>
        <w:bidi w:val="0"/>
        <w:spacing w:before="0" w:after="0" w:line="475" w:lineRule="exact"/>
        <w:ind w:left="104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13"/>
        <w:keepNext w:val="0"/>
        <w:keepLines w:val="0"/>
        <w:widowControl w:val="0"/>
        <w:shd w:val="clear" w:color="auto" w:fill="auto"/>
        <w:tabs>
          <w:tab w:pos="1673" w:val="left"/>
        </w:tabs>
        <w:bidi w:val="0"/>
        <w:spacing w:before="0" w:after="0" w:line="475" w:lineRule="exact"/>
        <w:ind w:left="580" w:right="0" w:firstLine="46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1</w:t>
      </w:r>
      <w:r>
        <w:rPr>
          <w:color w:val="000000"/>
          <w:spacing w:val="0"/>
          <w:w w:val="100"/>
          <w:position w:val="0"/>
        </w:rPr>
        <w:t>）</w:t>
        <w:tab/>
        <w:t>了解与金融工具分类、估值计量等相关的关键内部控制，评价这些控制的设计，确定 是否得到执行，并测试相关内部控制的运行有效性；</w:t>
      </w:r>
    </w:p>
    <w:p>
      <w:pPr>
        <w:pStyle w:val="Style13"/>
        <w:keepNext w:val="0"/>
        <w:keepLines w:val="0"/>
        <w:widowControl w:val="0"/>
        <w:shd w:val="clear" w:color="auto" w:fill="auto"/>
        <w:tabs>
          <w:tab w:pos="1673" w:val="left"/>
        </w:tabs>
        <w:bidi w:val="0"/>
        <w:spacing w:before="0" w:after="0" w:line="475" w:lineRule="exact"/>
        <w:ind w:left="580" w:right="0" w:firstLine="46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rPr>
        <w:t>2</w:t>
      </w:r>
      <w:r>
        <w:rPr>
          <w:color w:val="000000"/>
          <w:spacing w:val="0"/>
          <w:w w:val="100"/>
          <w:position w:val="0"/>
        </w:rPr>
        <w:t>）</w:t>
        <w:tab/>
        <w:t>获取公司交易性金融资产公允价值估值体系、方法及参数选取标准，评价估值体系、 方法的合理性；</w:t>
      </w:r>
    </w:p>
    <w:p>
      <w:pPr>
        <w:pStyle w:val="Style13"/>
        <w:keepNext w:val="0"/>
        <w:keepLines w:val="0"/>
        <w:widowControl w:val="0"/>
        <w:shd w:val="clear" w:color="auto" w:fill="auto"/>
        <w:tabs>
          <w:tab w:pos="1553" w:val="left"/>
        </w:tabs>
        <w:bidi w:val="0"/>
        <w:spacing w:before="0" w:after="0" w:line="475" w:lineRule="exact"/>
        <w:ind w:left="1040" w:right="0" w:firstLine="0"/>
        <w:jc w:val="left"/>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rPr>
        <w:t>3</w:t>
      </w:r>
      <w:r>
        <w:rPr>
          <w:color w:val="000000"/>
          <w:spacing w:val="0"/>
          <w:w w:val="100"/>
          <w:position w:val="0"/>
        </w:rPr>
        <w:t>）</w:t>
        <w:tab/>
        <w:t>了解并评价管理层聘用的外部估值专家的胜任能力、专业素质和客观性；</w:t>
      </w:r>
    </w:p>
    <w:p>
      <w:pPr>
        <w:pStyle w:val="Style13"/>
        <w:keepNext w:val="0"/>
        <w:keepLines w:val="0"/>
        <w:widowControl w:val="0"/>
        <w:shd w:val="clear" w:color="auto" w:fill="auto"/>
        <w:tabs>
          <w:tab w:pos="1673" w:val="left"/>
        </w:tabs>
        <w:bidi w:val="0"/>
        <w:spacing w:before="0" w:after="0" w:line="490" w:lineRule="exact"/>
        <w:ind w:left="580" w:right="0" w:firstLine="46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rPr>
        <w:t>4</w:t>
      </w:r>
      <w:r>
        <w:rPr>
          <w:color w:val="000000"/>
          <w:spacing w:val="0"/>
          <w:w w:val="100"/>
          <w:position w:val="0"/>
        </w:rPr>
        <w:t>）</w:t>
        <w:tab/>
        <w:t>获取公司及外部估值专家对交易性金融资产公允价值的估值过程与结果，评价公司在 公允价值估值过程中使用参数的情况，并复核交易性金融资产公允价值估值结果的准确性；</w:t>
      </w:r>
    </w:p>
    <w:p>
      <w:pPr>
        <w:pStyle w:val="Style13"/>
        <w:keepNext w:val="0"/>
        <w:keepLines w:val="0"/>
        <w:widowControl w:val="0"/>
        <w:shd w:val="clear" w:color="auto" w:fill="auto"/>
        <w:tabs>
          <w:tab w:pos="1553" w:val="left"/>
        </w:tabs>
        <w:bidi w:val="0"/>
        <w:spacing w:before="0" w:after="0" w:line="490" w:lineRule="exact"/>
        <w:ind w:left="1040" w:right="0" w:firstLine="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rPr>
        <w:t>5</w:t>
      </w:r>
      <w:r>
        <w:rPr>
          <w:color w:val="000000"/>
          <w:spacing w:val="0"/>
          <w:w w:val="100"/>
          <w:position w:val="0"/>
        </w:rPr>
        <w:t>）</w:t>
        <w:tab/>
        <w:t>检查与交易性金融资产公允价值变动相关信息是否已在财务报表中作出恰当列报。</w:t>
      </w:r>
    </w:p>
    <w:p>
      <w:pPr>
        <w:pStyle w:val="Style37"/>
        <w:keepNext/>
        <w:keepLines/>
        <w:widowControl w:val="0"/>
        <w:shd w:val="clear" w:color="auto" w:fill="auto"/>
        <w:tabs>
          <w:tab w:pos="1553" w:val="left"/>
        </w:tabs>
        <w:bidi w:val="0"/>
        <w:spacing w:before="0" w:after="0" w:line="475" w:lineRule="exact"/>
        <w:ind w:left="1040" w:right="0" w:firstLine="0"/>
        <w:jc w:val="both"/>
      </w:pPr>
      <w:bookmarkStart w:id="668" w:name="bookmark668"/>
      <w:bookmarkStart w:id="669" w:name="bookmark669"/>
      <w:bookmarkStart w:id="670" w:name="bookmark670"/>
      <w:bookmarkStart w:id="671" w:name="bookmark671"/>
      <w:r>
        <w:rPr>
          <w:color w:val="000000"/>
          <w:spacing w:val="0"/>
          <w:w w:val="100"/>
          <w:position w:val="0"/>
        </w:rPr>
        <w:t>四</w:t>
      </w:r>
      <w:bookmarkEnd w:id="670"/>
      <w:r>
        <w:rPr>
          <w:color w:val="000000"/>
          <w:spacing w:val="0"/>
          <w:w w:val="100"/>
          <w:position w:val="0"/>
        </w:rPr>
        <w:t>、</w:t>
        <w:tab/>
        <w:t>其他信息</w:t>
      </w:r>
      <w:bookmarkEnd w:id="668"/>
      <w:bookmarkEnd w:id="669"/>
      <w:bookmarkEnd w:id="671"/>
    </w:p>
    <w:p>
      <w:pPr>
        <w:pStyle w:val="Style13"/>
        <w:keepNext w:val="0"/>
        <w:keepLines w:val="0"/>
        <w:widowControl w:val="0"/>
        <w:shd w:val="clear" w:color="auto" w:fill="auto"/>
        <w:bidi w:val="0"/>
        <w:spacing w:before="0" w:after="0" w:line="480" w:lineRule="exact"/>
        <w:ind w:left="580" w:right="0" w:firstLine="460"/>
        <w:jc w:val="both"/>
      </w:pPr>
      <w:r>
        <w:rPr>
          <w:color w:val="000000"/>
          <w:spacing w:val="0"/>
          <w:w w:val="100"/>
          <w:position w:val="0"/>
        </w:rPr>
        <w:t>管理层对其他信息负责。其他信息包括国民技术公司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年年度报告中涵盖的信息，但不 包括财务报表和我们的审计报告。</w:t>
      </w:r>
    </w:p>
    <w:p>
      <w:pPr>
        <w:pStyle w:val="Style13"/>
        <w:keepNext w:val="0"/>
        <w:keepLines w:val="0"/>
        <w:widowControl w:val="0"/>
        <w:shd w:val="clear" w:color="auto" w:fill="auto"/>
        <w:bidi w:val="0"/>
        <w:spacing w:before="0" w:after="0" w:line="466" w:lineRule="exact"/>
        <w:ind w:left="580" w:right="0" w:firstLine="460"/>
        <w:jc w:val="both"/>
      </w:pPr>
      <w:r>
        <w:rPr>
          <w:color w:val="000000"/>
          <w:spacing w:val="0"/>
          <w:w w:val="100"/>
          <w:position w:val="0"/>
        </w:rPr>
        <w:t>我们对财务报表发表的审计意见不涵盖其他信息，我们也不对其他信息发表任何形式的鉴证 结论。</w:t>
      </w:r>
    </w:p>
    <w:p>
      <w:pPr>
        <w:pStyle w:val="Style13"/>
        <w:keepNext w:val="0"/>
        <w:keepLines w:val="0"/>
        <w:widowControl w:val="0"/>
        <w:shd w:val="clear" w:color="auto" w:fill="auto"/>
        <w:bidi w:val="0"/>
        <w:spacing w:before="0" w:after="0" w:line="475" w:lineRule="exact"/>
        <w:ind w:left="580" w:right="0" w:firstLine="46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13"/>
        <w:keepNext w:val="0"/>
        <w:keepLines w:val="0"/>
        <w:widowControl w:val="0"/>
        <w:shd w:val="clear" w:color="auto" w:fill="auto"/>
        <w:bidi w:val="0"/>
        <w:spacing w:before="0" w:after="0" w:line="480" w:lineRule="exact"/>
        <w:ind w:left="580" w:right="0" w:firstLine="46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37"/>
        <w:keepNext/>
        <w:keepLines/>
        <w:widowControl w:val="0"/>
        <w:shd w:val="clear" w:color="auto" w:fill="auto"/>
        <w:tabs>
          <w:tab w:pos="1553" w:val="left"/>
        </w:tabs>
        <w:bidi w:val="0"/>
        <w:spacing w:before="0" w:after="0" w:line="475" w:lineRule="exact"/>
        <w:ind w:left="1040" w:right="0" w:firstLine="0"/>
        <w:jc w:val="both"/>
      </w:pPr>
      <w:bookmarkStart w:id="672" w:name="bookmark672"/>
      <w:bookmarkStart w:id="673" w:name="bookmark673"/>
      <w:bookmarkStart w:id="674" w:name="bookmark674"/>
      <w:bookmarkStart w:id="675" w:name="bookmark675"/>
      <w:r>
        <w:rPr>
          <w:color w:val="000000"/>
          <w:spacing w:val="0"/>
          <w:w w:val="100"/>
          <w:position w:val="0"/>
        </w:rPr>
        <w:t>五</w:t>
      </w:r>
      <w:bookmarkEnd w:id="674"/>
      <w:r>
        <w:rPr>
          <w:color w:val="000000"/>
          <w:spacing w:val="0"/>
          <w:w w:val="100"/>
          <w:position w:val="0"/>
        </w:rPr>
        <w:t>、</w:t>
        <w:tab/>
        <w:t>管理层和治理层对财务报表的责任</w:t>
      </w:r>
      <w:bookmarkEnd w:id="672"/>
      <w:bookmarkEnd w:id="673"/>
      <w:bookmarkEnd w:id="675"/>
    </w:p>
    <w:p>
      <w:pPr>
        <w:pStyle w:val="Style13"/>
        <w:keepNext w:val="0"/>
        <w:keepLines w:val="0"/>
        <w:widowControl w:val="0"/>
        <w:shd w:val="clear" w:color="auto" w:fill="auto"/>
        <w:bidi w:val="0"/>
        <w:spacing w:before="0" w:after="0" w:line="470" w:lineRule="exact"/>
        <w:ind w:left="580" w:right="0" w:firstLine="46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13"/>
        <w:keepNext w:val="0"/>
        <w:keepLines w:val="0"/>
        <w:widowControl w:val="0"/>
        <w:shd w:val="clear" w:color="auto" w:fill="auto"/>
        <w:bidi w:val="0"/>
        <w:spacing w:before="0" w:after="0" w:line="468" w:lineRule="exact"/>
        <w:ind w:left="580" w:right="0" w:firstLine="460"/>
        <w:jc w:val="both"/>
      </w:pPr>
      <w:r>
        <w:rPr>
          <w:color w:val="000000"/>
          <w:spacing w:val="0"/>
          <w:w w:val="100"/>
          <w:position w:val="0"/>
        </w:rPr>
        <w:t>在编制财务报表时，管理层负责评估国民技术公司的持续经营能力，披露与持续经营相关的 事项（如适用），并运用持续经营假设，除非管理层计划清算国民技术公司、终止运营或别无其 他现实的选择。</w:t>
      </w:r>
    </w:p>
    <w:p>
      <w:pPr>
        <w:pStyle w:val="Style13"/>
        <w:keepNext w:val="0"/>
        <w:keepLines w:val="0"/>
        <w:widowControl w:val="0"/>
        <w:shd w:val="clear" w:color="auto" w:fill="auto"/>
        <w:bidi w:val="0"/>
        <w:spacing w:before="0" w:after="540" w:line="473" w:lineRule="exact"/>
        <w:ind w:left="1040" w:right="0" w:firstLine="0"/>
        <w:jc w:val="both"/>
      </w:pPr>
      <w:r>
        <w:rPr>
          <w:color w:val="000000"/>
          <w:spacing w:val="0"/>
          <w:w w:val="100"/>
          <w:position w:val="0"/>
        </w:rPr>
        <w:t>治理层负责监督国民技术公司的财务报告过程。</w:t>
      </w:r>
    </w:p>
    <w:p>
      <w:pPr>
        <w:pStyle w:val="Style37"/>
        <w:keepNext/>
        <w:keepLines/>
        <w:widowControl w:val="0"/>
        <w:shd w:val="clear" w:color="auto" w:fill="auto"/>
        <w:bidi w:val="0"/>
        <w:spacing w:before="0" w:after="0" w:line="473" w:lineRule="exact"/>
        <w:ind w:left="1040" w:right="0" w:firstLine="0"/>
        <w:jc w:val="both"/>
      </w:pPr>
      <w:bookmarkStart w:id="676" w:name="bookmark676"/>
      <w:bookmarkStart w:id="677" w:name="bookmark677"/>
      <w:bookmarkStart w:id="678" w:name="bookmark678"/>
      <w:bookmarkStart w:id="679" w:name="bookmark679"/>
      <w:r>
        <w:rPr>
          <w:color w:val="000000"/>
          <w:spacing w:val="0"/>
          <w:w w:val="100"/>
          <w:position w:val="0"/>
        </w:rPr>
        <w:t>六</w:t>
      </w:r>
      <w:bookmarkEnd w:id="678"/>
      <w:r>
        <w:rPr>
          <w:color w:val="000000"/>
          <w:spacing w:val="0"/>
          <w:w w:val="100"/>
          <w:position w:val="0"/>
        </w:rPr>
        <w:t>、注册会计师对财务报表审计的责任</w:t>
      </w:r>
      <w:bookmarkEnd w:id="676"/>
      <w:bookmarkEnd w:id="677"/>
      <w:bookmarkEnd w:id="679"/>
    </w:p>
    <w:p>
      <w:pPr>
        <w:pStyle w:val="Style13"/>
        <w:keepNext w:val="0"/>
        <w:keepLines w:val="0"/>
        <w:widowControl w:val="0"/>
        <w:shd w:val="clear" w:color="auto" w:fill="auto"/>
        <w:bidi w:val="0"/>
        <w:spacing w:before="0" w:after="0" w:line="469" w:lineRule="exact"/>
        <w:ind w:left="580" w:right="0" w:firstLine="46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13"/>
        <w:keepNext w:val="0"/>
        <w:keepLines w:val="0"/>
        <w:widowControl w:val="0"/>
        <w:shd w:val="clear" w:color="auto" w:fill="auto"/>
        <w:bidi w:val="0"/>
        <w:spacing w:before="0" w:after="0" w:line="470" w:lineRule="exact"/>
        <w:ind w:left="580" w:right="0" w:firstLine="460"/>
        <w:jc w:val="both"/>
      </w:pPr>
      <w:r>
        <w:rPr>
          <w:color w:val="000000"/>
          <w:spacing w:val="0"/>
          <w:w w:val="100"/>
          <w:position w:val="0"/>
        </w:rPr>
        <w:t>在按照审计准则执行审计工作的过程中，我们运用职业判断，并保持职业怀疑。同时，我 们也执行以下工作：</w:t>
      </w:r>
    </w:p>
    <w:p>
      <w:pPr>
        <w:pStyle w:val="Style13"/>
        <w:keepNext w:val="0"/>
        <w:keepLines w:val="0"/>
        <w:widowControl w:val="0"/>
        <w:shd w:val="clear" w:color="auto" w:fill="auto"/>
        <w:tabs>
          <w:tab w:pos="1664" w:val="left"/>
        </w:tabs>
        <w:bidi w:val="0"/>
        <w:spacing w:before="0" w:after="0" w:line="470" w:lineRule="exact"/>
        <w:ind w:left="580" w:right="0" w:firstLine="46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 对这些风险，并获取充分、适当的审计证据，作为发表审计意见的基础。由于舞弊可能涉及串通、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13"/>
        <w:keepNext w:val="0"/>
        <w:keepLines w:val="0"/>
        <w:widowControl w:val="0"/>
        <w:shd w:val="clear" w:color="auto" w:fill="auto"/>
        <w:tabs>
          <w:tab w:pos="1660" w:val="left"/>
        </w:tabs>
        <w:bidi w:val="0"/>
        <w:spacing w:before="0" w:after="0" w:line="470" w:lineRule="exact"/>
        <w:ind w:left="580" w:right="0" w:firstLine="46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 性发表意见。</w:t>
      </w:r>
    </w:p>
    <w:p>
      <w:pPr>
        <w:pStyle w:val="Style13"/>
        <w:keepNext w:val="0"/>
        <w:keepLines w:val="0"/>
        <w:widowControl w:val="0"/>
        <w:shd w:val="clear" w:color="auto" w:fill="auto"/>
        <w:tabs>
          <w:tab w:pos="1600" w:val="left"/>
        </w:tabs>
        <w:bidi w:val="0"/>
        <w:spacing w:before="0" w:after="0" w:line="473" w:lineRule="exact"/>
        <w:ind w:left="1040" w:right="0" w:firstLine="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13"/>
        <w:keepNext w:val="0"/>
        <w:keepLines w:val="0"/>
        <w:widowControl w:val="0"/>
        <w:shd w:val="clear" w:color="auto" w:fill="auto"/>
        <w:tabs>
          <w:tab w:pos="1664" w:val="left"/>
        </w:tabs>
        <w:bidi w:val="0"/>
        <w:spacing w:before="0" w:after="0" w:line="475" w:lineRule="exact"/>
        <w:ind w:left="580" w:right="0" w:firstLine="46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 导致对国民技术公司持续经营能力产生重大疑虑的事项或情况是否存在重大不确定性得出结论。 如果我们得出结论认为存在重大不确定性，审计准则要求我们在审计报告中提请报表使用者注意 财务报表中的相关披露；如果披露不充分，我们应当发表非无保留意见。我们的结论基于截至审 计报告日可获得的信息。然而，未来的事项或情况可能导致国民技术公司不能持续经营。</w:t>
      </w:r>
    </w:p>
    <w:p>
      <w:pPr>
        <w:pStyle w:val="Style13"/>
        <w:keepNext w:val="0"/>
        <w:keepLines w:val="0"/>
        <w:widowControl w:val="0"/>
        <w:shd w:val="clear" w:color="auto" w:fill="auto"/>
        <w:tabs>
          <w:tab w:pos="1660" w:val="left"/>
        </w:tabs>
        <w:bidi w:val="0"/>
        <w:spacing w:before="0" w:after="0" w:line="475" w:lineRule="exact"/>
        <w:ind w:left="580" w:right="0" w:firstLine="46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 项。</w:t>
      </w:r>
    </w:p>
    <w:p>
      <w:pPr>
        <w:pStyle w:val="Style13"/>
        <w:keepNext w:val="0"/>
        <w:keepLines w:val="0"/>
        <w:widowControl w:val="0"/>
        <w:shd w:val="clear" w:color="auto" w:fill="auto"/>
        <w:tabs>
          <w:tab w:pos="1664" w:val="left"/>
        </w:tabs>
        <w:bidi w:val="0"/>
        <w:spacing w:before="0" w:after="0" w:line="475" w:lineRule="exact"/>
        <w:ind w:left="580" w:right="0" w:firstLine="46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6</w:t>
      </w:r>
      <w:r>
        <w:rPr>
          <w:color w:val="000000"/>
          <w:spacing w:val="0"/>
          <w:w w:val="100"/>
          <w:position w:val="0"/>
        </w:rPr>
        <w:t>）</w:t>
        <w:tab/>
        <w:t>就国民技术公司中实体或业务活动的财务信息获取充分、适当的审计证据，以对财务 报表发表审计意见。我们负责指导、监督和执行集团审计，并对审计意见承担全部责任。</w:t>
      </w:r>
    </w:p>
    <w:p>
      <w:pPr>
        <w:pStyle w:val="Style13"/>
        <w:keepNext w:val="0"/>
        <w:keepLines w:val="0"/>
        <w:widowControl w:val="0"/>
        <w:shd w:val="clear" w:color="auto" w:fill="auto"/>
        <w:bidi w:val="0"/>
        <w:spacing w:before="0" w:after="0" w:line="475" w:lineRule="exact"/>
        <w:ind w:left="580" w:right="0" w:firstLine="46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13"/>
        <w:keepNext w:val="0"/>
        <w:keepLines w:val="0"/>
        <w:widowControl w:val="0"/>
        <w:shd w:val="clear" w:color="auto" w:fill="auto"/>
        <w:bidi w:val="0"/>
        <w:spacing w:before="0" w:after="0" w:line="473" w:lineRule="exact"/>
        <w:ind w:left="1040" w:right="0" w:firstLine="0"/>
        <w:jc w:val="both"/>
      </w:pPr>
      <w:r>
        <w:rPr>
          <w:color w:val="000000"/>
          <w:spacing w:val="0"/>
          <w:w w:val="100"/>
          <w:position w:val="0"/>
        </w:rPr>
        <w:t>我们还就遵守与独立性相关的职业道德要求向治理层提供声明，并与治理层沟通可能被合理</w:t>
      </w:r>
      <w:r>
        <w:br w:type="page"/>
      </w:r>
    </w:p>
    <w:p>
      <w:pPr>
        <w:pStyle w:val="Style13"/>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认为影响我们独立性的所有关系和其他事项，以及相关的防范措施（如适用）。</w:t>
      </w:r>
    </w:p>
    <w:p>
      <w:pPr>
        <w:pStyle w:val="Style13"/>
        <w:keepNext w:val="0"/>
        <w:keepLines w:val="0"/>
        <w:widowControl w:val="0"/>
        <w:shd w:val="clear" w:color="auto" w:fill="auto"/>
        <w:bidi w:val="0"/>
        <w:spacing w:before="0" w:after="220" w:line="240" w:lineRule="auto"/>
        <w:ind w:left="1040" w:right="0" w:firstLine="0"/>
        <w:jc w:val="left"/>
      </w:pPr>
      <w:r>
        <w:rPr>
          <w:color w:val="000000"/>
          <w:spacing w:val="0"/>
          <w:w w:val="100"/>
          <w:position w:val="0"/>
        </w:rPr>
        <w:t>从与治理层沟通过的事项中，我们确定哪些事项对本期财务报表审计最为重要，因而构成关</w:t>
      </w:r>
    </w:p>
    <w:p>
      <w:pPr>
        <w:pStyle w:val="Style13"/>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键审计事项。我们在审计报告中描述这些事项，除非法律法规禁止公开披露这些事项，或在极少</w:t>
      </w:r>
    </w:p>
    <w:p>
      <w:pPr>
        <w:pStyle w:val="Style13"/>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数情形下，如果合理预期在审计报告中沟通某事项造成的负面后果超过在公众利益方面产生的益</w:t>
      </w:r>
    </w:p>
    <w:p>
      <w:pPr>
        <w:pStyle w:val="Style1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处，我们确定不应在审计报告中沟通该事项。</w:t>
      </w:r>
    </w:p>
    <w:p>
      <w:pPr>
        <w:widowControl w:val="0"/>
        <w:spacing w:line="1" w:lineRule="exact"/>
        <w:sectPr>
          <w:footnotePr>
            <w:pos w:val="pageBottom"/>
            <w:numFmt w:val="decimal"/>
            <w:numRestart w:val="continuous"/>
          </w:footnotePr>
          <w:pgSz w:w="11900" w:h="16840"/>
          <w:pgMar w:top="1542" w:right="1012" w:bottom="1489" w:left="525" w:header="0" w:footer="3" w:gutter="0"/>
          <w:cols w:space="720"/>
          <w:noEndnote/>
          <w:rtlGutter w:val="0"/>
          <w:docGrid w:linePitch="360"/>
        </w:sectPr>
      </w:pPr>
      <w:r>
        <mc:AlternateContent>
          <mc:Choice Requires="wps">
            <w:drawing>
              <wp:anchor distT="812800" distB="0" distL="0" distR="0" simplePos="0" relativeHeight="125829382" behindDoc="0" locked="0" layoutInCell="1" allowOverlap="1">
                <wp:simplePos x="0" y="0"/>
                <wp:positionH relativeFrom="page">
                  <wp:posOffset>964565</wp:posOffset>
                </wp:positionH>
                <wp:positionV relativeFrom="paragraph">
                  <wp:posOffset>812800</wp:posOffset>
                </wp:positionV>
                <wp:extent cx="1618615" cy="179705"/>
                <wp:wrapTopAndBottom/>
                <wp:docPr id="12" name="Shape 12"/>
                <a:graphic xmlns:a="http://schemas.openxmlformats.org/drawingml/2006/main">
                  <a:graphicData uri="http://schemas.microsoft.com/office/word/2010/wordprocessingShape">
                    <wps:wsp>
                      <wps:cNvSpPr txBox="1"/>
                      <wps:spPr>
                        <a:xfrm>
                          <a:ext cx="1618615" cy="1797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w:t>
                            </w:r>
                          </w:p>
                        </w:txbxContent>
                      </wps:txbx>
                      <wps:bodyPr wrap="none" lIns="0" tIns="0" rIns="0" bIns="0">
                        <a:noAutoFit/>
                      </wps:bodyPr>
                    </wps:wsp>
                  </a:graphicData>
                </a:graphic>
              </wp:anchor>
            </w:drawing>
          </mc:Choice>
          <mc:Fallback>
            <w:pict>
              <v:shape id="_x0000_s1038" type="#_x0000_t202" style="position:absolute;margin-left:75.950000000000003pt;margin-top:64.pt;width:127.45pt;height:14.15pt;z-index:-125829371;mso-wrap-distance-left:0;mso-wrap-distance-top:64.pt;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w:t>
                      </w:r>
                    </w:p>
                  </w:txbxContent>
                </v:textbox>
                <w10:wrap type="topAndBottom" anchorx="page"/>
              </v:shape>
            </w:pict>
          </mc:Fallback>
        </mc:AlternateContent>
      </w:r>
      <w:r>
        <mc:AlternateContent>
          <mc:Choice Requires="wps">
            <w:drawing>
              <wp:anchor distT="812800" distB="3175" distL="0" distR="0" simplePos="0" relativeHeight="125829384" behindDoc="0" locked="0" layoutInCell="1" allowOverlap="1">
                <wp:simplePos x="0" y="0"/>
                <wp:positionH relativeFrom="page">
                  <wp:posOffset>4984750</wp:posOffset>
                </wp:positionH>
                <wp:positionV relativeFrom="paragraph">
                  <wp:posOffset>812800</wp:posOffset>
                </wp:positionV>
                <wp:extent cx="1618615" cy="176530"/>
                <wp:wrapTopAndBottom/>
                <wp:docPr id="14" name="Shape 14"/>
                <a:graphic xmlns:a="http://schemas.openxmlformats.org/drawingml/2006/main">
                  <a:graphicData uri="http://schemas.microsoft.com/office/word/2010/wordprocessingShape">
                    <wps:wsp>
                      <wps:cNvSpPr txBox="1"/>
                      <wps:spPr>
                        <a:xfrm>
                          <a:ext cx="1618615" cy="1765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中国注册会计师：周书奕</w:t>
                            </w:r>
                          </w:p>
                        </w:txbxContent>
                      </wps:txbx>
                      <wps:bodyPr wrap="none" lIns="0" tIns="0" rIns="0" bIns="0">
                        <a:noAutoFit/>
                      </wps:bodyPr>
                    </wps:wsp>
                  </a:graphicData>
                </a:graphic>
              </wp:anchor>
            </w:drawing>
          </mc:Choice>
          <mc:Fallback>
            <w:pict>
              <v:shape id="_x0000_s1040" type="#_x0000_t202" style="position:absolute;margin-left:392.5pt;margin-top:64.pt;width:127.45pt;height:13.9pt;z-index:-125829369;mso-wrap-distance-left:0;mso-wrap-distance-top:64.pt;mso-wrap-distance-right:0;mso-wrap-distance-bottom:0.2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中国注册会计师：周书奕</w:t>
                      </w:r>
                    </w:p>
                  </w:txbxContent>
                </v:textbox>
                <w10:wrap type="topAndBottom" anchorx="page"/>
              </v:shape>
            </w:pict>
          </mc:Fallback>
        </mc:AlternateContent>
      </w:r>
    </w:p>
    <w:p>
      <w:pPr>
        <w:widowControl w:val="0"/>
        <w:spacing w:line="136" w:lineRule="exact"/>
        <w:rPr>
          <w:sz w:val="11"/>
          <w:szCs w:val="11"/>
        </w:rPr>
      </w:pPr>
    </w:p>
    <w:p>
      <w:pPr>
        <w:widowControl w:val="0"/>
        <w:spacing w:line="1" w:lineRule="exact"/>
        <w:sectPr>
          <w:footnotePr>
            <w:pos w:val="pageBottom"/>
            <w:numFmt w:val="decimal"/>
            <w:numRestart w:val="continuous"/>
          </w:footnotePr>
          <w:type w:val="continuous"/>
          <w:pgSz w:w="11900" w:h="16840"/>
          <w:pgMar w:top="1433" w:right="0" w:bottom="1469" w:left="0" w:header="0" w:footer="3" w:gutter="0"/>
          <w:cols w:space="720"/>
          <w:noEndnote/>
          <w:rtlGutter w:val="0"/>
          <w:docGrid w:linePitch="360"/>
        </w:sectPr>
      </w:pPr>
    </w:p>
    <w:p>
      <w:pPr>
        <w:pStyle w:val="Style13"/>
        <w:keepNext w:val="0"/>
        <w:keepLines w:val="0"/>
        <w:widowControl w:val="0"/>
        <w:shd w:val="clear" w:color="auto" w:fill="auto"/>
        <w:bidi w:val="0"/>
        <w:spacing w:before="0" w:after="240" w:line="240" w:lineRule="auto"/>
        <w:ind w:left="0" w:right="0" w:firstLine="420"/>
        <w:jc w:val="left"/>
      </w:pPr>
      <w:r>
        <mc:AlternateContent>
          <mc:Choice Requires="wps">
            <w:drawing>
              <wp:anchor distT="0" distB="0" distL="114300" distR="114300" simplePos="0" relativeHeight="125829386" behindDoc="0" locked="0" layoutInCell="1" allowOverlap="1">
                <wp:simplePos x="0" y="0"/>
                <wp:positionH relativeFrom="page">
                  <wp:posOffset>5831840</wp:posOffset>
                </wp:positionH>
                <wp:positionV relativeFrom="paragraph">
                  <wp:posOffset>12700</wp:posOffset>
                </wp:positionV>
                <wp:extent cx="987425" cy="170815"/>
                <wp:wrapSquare wrapText="left"/>
                <wp:docPr id="16" name="Shape 16"/>
                <a:graphic xmlns:a="http://schemas.openxmlformats.org/drawingml/2006/main">
                  <a:graphicData uri="http://schemas.microsoft.com/office/word/2010/wordprocessingShape">
                    <wps:wsp>
                      <wps:cNvSpPr txBox="1"/>
                      <wps:spPr>
                        <a:xfrm>
                          <a:ext cx="987425" cy="1708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（项目合伙人）</w:t>
                            </w:r>
                          </w:p>
                        </w:txbxContent>
                      </wps:txbx>
                      <wps:bodyPr wrap="none" lIns="0" tIns="0" rIns="0" bIns="0">
                        <a:noAutoFit/>
                      </wps:bodyPr>
                    </wps:wsp>
                  </a:graphicData>
                </a:graphic>
              </wp:anchor>
            </w:drawing>
          </mc:Choice>
          <mc:Fallback>
            <w:pict>
              <v:shape id="_x0000_s1042" type="#_x0000_t202" style="position:absolute;margin-left:459.19999999999999pt;margin-top:1.pt;width:77.75pt;height:13.450000000000001pt;z-index:-125829367;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（项目合伙人）</w:t>
                      </w:r>
                    </w:p>
                  </w:txbxContent>
                </v:textbox>
                <w10:wrap type="square" side="left" anchorx="page"/>
              </v:shape>
            </w:pict>
          </mc:Fallback>
        </mc:AlternateContent>
      </w:r>
      <w:r>
        <w:rPr>
          <w:color w:val="000000"/>
          <w:spacing w:val="0"/>
          <w:w w:val="100"/>
          <w:position w:val="0"/>
        </w:rPr>
        <w:t>（特殊普通合伙）</w:t>
      </w:r>
    </w:p>
    <w:p>
      <w:pPr>
        <w:pStyle w:val="Style13"/>
        <w:keepNext w:val="0"/>
        <w:keepLines w:val="0"/>
        <w:widowControl w:val="0"/>
        <w:shd w:val="clear" w:color="auto" w:fill="auto"/>
        <w:bidi w:val="0"/>
        <w:spacing w:before="0" w:after="1160" w:line="240" w:lineRule="auto"/>
        <w:ind w:left="6780" w:right="0" w:firstLine="0"/>
        <w:jc w:val="left"/>
      </w:pPr>
      <w:r>
        <w:rPr>
          <w:color w:val="000000"/>
          <w:spacing w:val="0"/>
          <w:w w:val="100"/>
          <w:position w:val="0"/>
        </w:rPr>
        <w:t>中国注册会计师：马福珠</w:t>
      </w:r>
    </w:p>
    <w:p>
      <w:pPr>
        <w:pStyle w:val="Style74"/>
        <w:keepNext w:val="0"/>
        <w:keepLines w:val="0"/>
        <w:widowControl w:val="0"/>
        <w:shd w:val="clear" w:color="auto" w:fill="auto"/>
        <w:bidi w:val="0"/>
        <w:spacing w:before="0" w:after="0" w:line="240" w:lineRule="auto"/>
        <w:ind w:right="0" w:firstLine="0"/>
        <w:jc w:val="left"/>
      </w:pPr>
      <w:r>
        <mc:AlternateContent>
          <mc:Choice Requires="wps">
            <w:drawing>
              <wp:anchor distT="0" distB="0" distL="114300" distR="114300" simplePos="0" relativeHeight="125829388" behindDoc="0" locked="0" layoutInCell="1" allowOverlap="1">
                <wp:simplePos x="0" y="0"/>
                <wp:positionH relativeFrom="page">
                  <wp:posOffset>915670</wp:posOffset>
                </wp:positionH>
                <wp:positionV relativeFrom="paragraph">
                  <wp:posOffset>12700</wp:posOffset>
                </wp:positionV>
                <wp:extent cx="670560" cy="176530"/>
                <wp:wrapSquare wrapText="right"/>
                <wp:docPr id="18" name="Shape 18"/>
                <a:graphic xmlns:a="http://schemas.openxmlformats.org/drawingml/2006/main">
                  <a:graphicData uri="http://schemas.microsoft.com/office/word/2010/wordprocessingShape">
                    <wps:wsp>
                      <wps:cNvSpPr txBox="1"/>
                      <wps:spPr>
                        <a:xfrm>
                          <a:ext cx="670560" cy="1765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44" type="#_x0000_t202" style="position:absolute;margin-left:72.100000000000009pt;margin-top:1.pt;width:52.800000000000004pt;height:13.9pt;z-index:-125829365;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br w:type="page"/>
      </w:r>
    </w:p>
    <w:p>
      <w:pPr>
        <w:pStyle w:val="Style33"/>
        <w:keepNext/>
        <w:keepLines/>
        <w:widowControl w:val="0"/>
        <w:shd w:val="clear" w:color="auto" w:fill="auto"/>
        <w:bidi w:val="0"/>
        <w:spacing w:before="0" w:after="42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rPr>
        <w:t>二</w:t>
      </w:r>
      <w:bookmarkEnd w:id="688"/>
      <w:r>
        <w:rPr>
          <w:color w:val="000000"/>
          <w:spacing w:val="0"/>
          <w:w w:val="100"/>
          <w:position w:val="0"/>
        </w:rPr>
        <w:t>、财务报表</w:t>
      </w:r>
      <w:bookmarkEnd w:id="686"/>
      <w:bookmarkEnd w:id="687"/>
      <w:bookmarkEnd w:id="689"/>
    </w:p>
    <w:p>
      <w:pPr>
        <w:pStyle w:val="Style13"/>
        <w:keepNext w:val="0"/>
        <w:keepLines w:val="0"/>
        <w:widowControl w:val="0"/>
        <w:shd w:val="clear" w:color="auto" w:fill="auto"/>
        <w:bidi w:val="0"/>
        <w:spacing w:before="0" w:after="420" w:line="240" w:lineRule="auto"/>
        <w:ind w:left="0" w:right="0" w:firstLine="0"/>
        <w:jc w:val="left"/>
      </w:pPr>
      <w:r>
        <w:rPr>
          <w:color w:val="000000"/>
          <w:spacing w:val="0"/>
          <w:w w:val="100"/>
          <w:position w:val="0"/>
        </w:rPr>
        <w:t>财务附注中报表的单位为：元</w:t>
      </w:r>
    </w:p>
    <w:p>
      <w:pPr>
        <w:pStyle w:val="Style37"/>
        <w:keepNext/>
        <w:keepLines/>
        <w:widowControl w:val="0"/>
        <w:shd w:val="clear" w:color="auto" w:fill="auto"/>
        <w:bidi w:val="0"/>
        <w:spacing w:before="0" w:after="420" w:line="240" w:lineRule="auto"/>
        <w:ind w:left="0" w:right="0" w:firstLine="0"/>
        <w:jc w:val="left"/>
      </w:pPr>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90"/>
      <w:bookmarkEnd w:id="691"/>
      <w:bookmarkEnd w:id="692"/>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编制单位：国民技术股份有限公司</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533,985,416.09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295,788,279.48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140,353,935.06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57,732,195.35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6,615,596.83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20,749,979.78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207,571,087.73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202,917,873.97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131,690,674.07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20,780,180.07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7,946,259.07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11,686,228.00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7,928,477.71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22,612,729.55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320,303,346.26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182,019,017.88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101,967,376.78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24,965,806.64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24,522,406.03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1,381,425,177.36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940,776,266.89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69,560,369.05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69,402,345.88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372,948,961.00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379,019,310.00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423,159,536.56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363,036,571.69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45,258,895.41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35,223,603.10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58,022,891.24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127,796,050.10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94,754,160.65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52,883,598.25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56,216,219.44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40,794,110.25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40,794,110.25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18,996,543.31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17,890,585.89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65,262,434.08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48,383,422.43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11,837,018.36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1,286,520,407.61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1,104,720,329.33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2,667,945,584.97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2,045,496,596.22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90,175,725.00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100,189,138.89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117,258,840.34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28,306,071.80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139,278,888.74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140,452,013.01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56,571,251.85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8,092,035.13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50,852,885.54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27,684,761.01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16,380,165.25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1,350,908.36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240,466,892.16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236,736,393.16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32,864,192.66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20,636,033.14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8,850,197.25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44,353,100.35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752,699,038.79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607,800,454.85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285,000,000.00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317,000,000.00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48,568,640.71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1,070,169.61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29,040,282.86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31,304,131.46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363,679,093.18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348,304,131.46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1,116,378,131.97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956,104,586.31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592,646,000.00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557,615,000.00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2,377,328,818.37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2,071,515,680.86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213,689,100.00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131,219,464.49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134,274,200.28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68,560,890.84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68,560,890.84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-1,413,360,932.49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-1,632,336,889.59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1,542,705,141.21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1,199,628,882.39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8,862,311.79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-110,236,872.48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1,551,567,453.00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1,089,392,009.91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2,667,945,584.97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2,045,496,596.22</w:t>
            </w:r>
          </w:p>
        </w:tc>
      </w:tr>
    </w:tbl>
    <w:p>
      <w:pPr>
        <w:widowControl w:val="0"/>
        <w:spacing w:after="139" w:line="1" w:lineRule="exact"/>
      </w:pPr>
    </w:p>
    <w:p>
      <w:pPr>
        <w:pStyle w:val="Style13"/>
        <w:keepNext w:val="0"/>
        <w:keepLines w:val="0"/>
        <w:widowControl w:val="0"/>
        <w:shd w:val="clear" w:color="auto" w:fill="auto"/>
        <w:tabs>
          <w:tab w:pos="3331" w:val="left"/>
          <w:tab w:pos="7109" w:val="left"/>
        </w:tabs>
        <w:bidi w:val="0"/>
        <w:spacing w:before="0" w:after="400" w:line="240" w:lineRule="auto"/>
        <w:ind w:left="0" w:right="0" w:firstLine="0"/>
        <w:jc w:val="left"/>
      </w:pPr>
      <w:r>
        <w:rPr>
          <w:color w:val="000000"/>
          <w:spacing w:val="0"/>
          <w:w w:val="100"/>
          <w:position w:val="0"/>
        </w:rPr>
        <w:t>法定代表人：孙迎彤</w:t>
        <w:tab/>
        <w:t>主管会计工作负责人：徐辉</w:t>
        <w:tab/>
        <w:t>会计机构负责人：余永德</w:t>
      </w:r>
    </w:p>
    <w:p>
      <w:pPr>
        <w:pStyle w:val="Style37"/>
        <w:keepNext/>
        <w:keepLines/>
        <w:widowControl w:val="0"/>
        <w:shd w:val="clear" w:color="auto" w:fill="auto"/>
        <w:bidi w:val="0"/>
        <w:spacing w:before="0" w:after="36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、母公司资产负债表</w:t>
      </w:r>
      <w:bookmarkEnd w:id="693"/>
      <w:bookmarkEnd w:id="694"/>
      <w:bookmarkEnd w:id="696"/>
    </w:p>
    <w:p>
      <w:pPr>
        <w:pStyle w:val="Style30"/>
        <w:keepNext w:val="0"/>
        <w:keepLines w:val="0"/>
        <w:widowControl w:val="0"/>
        <w:shd w:val="clear" w:color="auto" w:fill="auto"/>
        <w:bidi w:val="0"/>
        <w:spacing w:before="0" w:after="0" w:line="240" w:lineRule="auto"/>
        <w:ind w:left="8688"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454,479,400.00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225,846,823.86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100,626,463.72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17,075,047.47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5,417,696.83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19,625,314.28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128,312,708.84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98,585,746.64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34,088,675.96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4,089,334.05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3,238,966.65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1,039,749.77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494,104,325.71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774,332,763.30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206,896,024.40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92,842,374.12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12,197,277.33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6,347,766.86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1,439,361,539.44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1,239,784,920.35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223,366,040.91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68,210,578.00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3,682,961.82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3,547,205.88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402,701,894.18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409,286,518.75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244,233,539.74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241,247,361.14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23,611,504.42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15,094,745.81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110,784,563.96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76,612,482.59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52,883,598.25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56,216,219.44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15,741,863.75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15,104,599.44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60,495,545.28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4,306,268.54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1,156,902,526.66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870,224,965.24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2,596,264,066.10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2,110,009,885.59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90,175,725.00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100,189,138.89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5,700,876.40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26,196,085.86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2,847,923.88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69,908,981.53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39,424,223.13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45,941,610.55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3,484,990.94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37,086,667.34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20,266,269.01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7,792,691.05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718,445.71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232,636,689.91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20,214,479.06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2700" distB="3175" distL="114300" distR="4921250" simplePos="0" relativeHeight="125829390" behindDoc="0" locked="0" layoutInCell="1" allowOverlap="1">
                <wp:simplePos x="0" y="0"/>
                <wp:positionH relativeFrom="page">
                  <wp:posOffset>689610</wp:posOffset>
                </wp:positionH>
                <wp:positionV relativeFrom="margin">
                  <wp:posOffset>8271510</wp:posOffset>
                </wp:positionV>
                <wp:extent cx="1337945" cy="176530"/>
                <wp:wrapTopAndBottom/>
                <wp:docPr id="20" name="Shape 20"/>
                <a:graphic xmlns:a="http://schemas.openxmlformats.org/drawingml/2006/main">
                  <a:graphicData uri="http://schemas.microsoft.com/office/word/2010/wordprocessingShape">
                    <wps:wsp>
                      <wps:cNvSpPr txBox="1"/>
                      <wps:spPr>
                        <a:xfrm>
                          <a:ext cx="1337945" cy="1765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法定代表人：孙迎彤</w:t>
                            </w:r>
                          </w:p>
                        </w:txbxContent>
                      </wps:txbx>
                      <wps:bodyPr wrap="none" lIns="0" tIns="0" rIns="0" bIns="0">
                        <a:noAutoFit/>
                      </wps:bodyPr>
                    </wps:wsp>
                  </a:graphicData>
                </a:graphic>
              </wp:anchor>
            </w:drawing>
          </mc:Choice>
          <mc:Fallback>
            <w:pict>
              <v:shape id="_x0000_s1046" type="#_x0000_t202" style="position:absolute;margin-left:54.300000000000004pt;margin-top:651.30000000000007pt;width:105.35000000000001pt;height:13.9pt;z-index:-125829363;mso-wrap-distance-left:9.pt;mso-wrap-distance-top:1.pt;mso-wrap-distance-right:387.5pt;mso-wrap-distance-bottom:0.2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法定代表人：孙迎彤</w:t>
                      </w:r>
                    </w:p>
                  </w:txbxContent>
                </v:textbox>
                <w10:wrap type="topAndBottom" anchorx="page" anchory="margin"/>
              </v:shape>
            </w:pict>
          </mc:Fallback>
        </mc:AlternateContent>
      </w:r>
      <w:r>
        <mc:AlternateContent>
          <mc:Choice Requires="wps">
            <w:drawing>
              <wp:anchor distT="12700" distB="0" distL="2232660" distR="2372995" simplePos="0" relativeHeight="125829392" behindDoc="0" locked="0" layoutInCell="1" allowOverlap="1">
                <wp:simplePos x="0" y="0"/>
                <wp:positionH relativeFrom="page">
                  <wp:posOffset>2807970</wp:posOffset>
                </wp:positionH>
                <wp:positionV relativeFrom="margin">
                  <wp:posOffset>8271510</wp:posOffset>
                </wp:positionV>
                <wp:extent cx="1767840" cy="179705"/>
                <wp:wrapTopAndBottom/>
                <wp:docPr id="22" name="Shape 22"/>
                <a:graphic xmlns:a="http://schemas.openxmlformats.org/drawingml/2006/main">
                  <a:graphicData uri="http://schemas.microsoft.com/office/word/2010/wordprocessingShape">
                    <wps:wsp>
                      <wps:cNvSpPr txBox="1"/>
                      <wps:spPr>
                        <a:xfrm>
                          <a:ext cx="1767840" cy="1797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主管会计工作负责人：徐辉</w:t>
                            </w:r>
                          </w:p>
                        </w:txbxContent>
                      </wps:txbx>
                      <wps:bodyPr wrap="none" lIns="0" tIns="0" rIns="0" bIns="0">
                        <a:noAutoFit/>
                      </wps:bodyPr>
                    </wps:wsp>
                  </a:graphicData>
                </a:graphic>
              </wp:anchor>
            </w:drawing>
          </mc:Choice>
          <mc:Fallback>
            <w:pict>
              <v:shape id="_x0000_s1048" type="#_x0000_t202" style="position:absolute;margin-left:221.09999999999999pt;margin-top:651.30000000000007pt;width:139.20000000000002pt;height:14.15pt;z-index:-125829361;mso-wrap-distance-left:175.80000000000001pt;mso-wrap-distance-top:1.pt;mso-wrap-distance-right:186.84999999999999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主管会计工作负责人：徐辉</w:t>
                      </w:r>
                    </w:p>
                  </w:txbxContent>
                </v:textbox>
                <w10:wrap type="topAndBottom" anchorx="page" anchory="margin"/>
              </v:shape>
            </w:pict>
          </mc:Fallback>
        </mc:AlternateContent>
      </w:r>
      <w:r>
        <mc:AlternateContent>
          <mc:Choice Requires="wps">
            <w:drawing>
              <wp:anchor distT="12700" distB="0" distL="4631690" distR="114300" simplePos="0" relativeHeight="125829394" behindDoc="0" locked="0" layoutInCell="1" allowOverlap="1">
                <wp:simplePos x="0" y="0"/>
                <wp:positionH relativeFrom="page">
                  <wp:posOffset>5207000</wp:posOffset>
                </wp:positionH>
                <wp:positionV relativeFrom="margin">
                  <wp:posOffset>8271510</wp:posOffset>
                </wp:positionV>
                <wp:extent cx="1627505" cy="179705"/>
                <wp:wrapTopAndBottom/>
                <wp:docPr id="24" name="Shape 24"/>
                <a:graphic xmlns:a="http://schemas.openxmlformats.org/drawingml/2006/main">
                  <a:graphicData uri="http://schemas.microsoft.com/office/word/2010/wordprocessingShape">
                    <wps:wsp>
                      <wps:cNvSpPr txBox="1"/>
                      <wps:spPr>
                        <a:xfrm>
                          <a:ext cx="1627505" cy="1797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会计机构负责人：余永德</w:t>
                            </w:r>
                          </w:p>
                        </w:txbxContent>
                      </wps:txbx>
                      <wps:bodyPr wrap="none" lIns="0" tIns="0" rIns="0" bIns="0">
                        <a:noAutoFit/>
                      </wps:bodyPr>
                    </wps:wsp>
                  </a:graphicData>
                </a:graphic>
              </wp:anchor>
            </w:drawing>
          </mc:Choice>
          <mc:Fallback>
            <w:pict>
              <v:shape id="_x0000_s1050" type="#_x0000_t202" style="position:absolute;margin-left:410.pt;margin-top:651.30000000000007pt;width:128.15000000000001pt;height:14.15pt;z-index:-125829359;mso-wrap-distance-left:364.69999999999999pt;mso-wrap-distance-top:1.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会计机构负责人：余永德</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6,262,812.85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531,819.44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6,262,292.26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220,077.79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522,263,556.35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193,598,244.25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285,000,000.00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295,000,000.00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8,903,159.13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28,452,138.14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31,133,188.46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327,355,297.27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326,133,188.46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849,618,853.62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519,731,432.71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592,646,000.00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557,615,000.00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1,923,892,194.36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2,069,693,298.27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213,689,100.00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147,138,110.78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147,002,354.84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68,560,890.84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68,560,890.84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-771,902,883.50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-1,252,593,091.07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1,746,645,212.48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1,590,278,452.88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2,596,264,066.10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2,110,009,885.59</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3</w:t>
      </w:r>
      <w:bookmarkEnd w:id="699"/>
      <w:r>
        <w:rPr>
          <w:color w:val="000000"/>
          <w:spacing w:val="0"/>
          <w:w w:val="100"/>
          <w:position w:val="0"/>
        </w:rPr>
        <w:t>、合并利润表</w:t>
      </w:r>
      <w:bookmarkEnd w:id="697"/>
      <w:bookmarkEnd w:id="698"/>
      <w:bookmarkEnd w:id="70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1,017,608,714.04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379,707,203.30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1,017,608,714.04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379,707,203.30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985,929,186.84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490,879,568.12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529,366,113.28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220,379,284.65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color w:val="000000"/>
                <w:spacing w:val="0"/>
                <w:w w:val="100"/>
                <w:position w:val="0"/>
                <w:sz w:val="20"/>
                <w:szCs w:val="20"/>
              </w:rPr>
              <w:t>提取保险责任合同</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6,230,679.40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904,166.00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52,630,933.66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31,352,619.82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132,081,555.55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66,662,040.79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227,253,437.87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132,504,869.90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38,366,467.08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39,076,586.96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40,350,378.21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41,763,303.96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3,833,280.84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2,013,984.26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36,791,236.93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28,880,026.47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80"/>
              <w:jc w:val="left"/>
              <w:rPr>
                <w:sz w:val="20"/>
                <w:szCs w:val="20"/>
              </w:rPr>
            </w:pPr>
            <w:r>
              <w:rPr>
                <w:color w:val="000000"/>
                <w:spacing w:val="0"/>
                <w:w w:val="100"/>
                <w:position w:val="0"/>
                <w:sz w:val="20"/>
                <w:szCs w:val="20"/>
              </w:rPr>
              <w:t>投资收益（损失以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70,584,203.11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-9,669,147.75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80"/>
              <w:jc w:val="left"/>
              <w:rPr>
                <w:sz w:val="20"/>
                <w:szCs w:val="20"/>
              </w:rPr>
            </w:pPr>
            <w:r>
              <w:rPr>
                <w:color w:val="000000"/>
                <w:spacing w:val="0"/>
                <w:w w:val="100"/>
                <w:position w:val="0"/>
                <w:sz w:val="20"/>
                <w:szCs w:val="20"/>
              </w:rPr>
              <w:t>其中：对联营企业和合 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-9,994,213.49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300" w:right="0" w:firstLine="0"/>
              <w:jc w:val="left"/>
              <w:rPr>
                <w:sz w:val="20"/>
                <w:szCs w:val="20"/>
              </w:rPr>
            </w:pPr>
            <w:r>
              <w:rPr>
                <w:color w:val="000000"/>
                <w:spacing w:val="0"/>
                <w:w w:val="100"/>
                <w:position w:val="0"/>
                <w:sz w:val="20"/>
                <w:szCs w:val="20"/>
              </w:rPr>
              <w:t>以摊余成本计量的</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80"/>
              <w:jc w:val="both"/>
              <w:rPr>
                <w:sz w:val="20"/>
                <w:szCs w:val="20"/>
              </w:rPr>
            </w:pPr>
            <w:r>
              <w:rPr>
                <w:color w:val="000000"/>
                <w:spacing w:val="0"/>
                <w:w w:val="100"/>
                <w:position w:val="0"/>
                <w:sz w:val="20"/>
                <w:szCs w:val="20"/>
              </w:rPr>
              <w:t>汇兑收益（损失以</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净敞口套期收益（损失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80"/>
              <w:jc w:val="left"/>
              <w:rPr>
                <w:sz w:val="20"/>
                <w:szCs w:val="20"/>
              </w:rPr>
            </w:pPr>
            <w:r>
              <w:rPr>
                <w:color w:val="000000"/>
                <w:spacing w:val="0"/>
                <w:w w:val="100"/>
                <w:position w:val="0"/>
                <w:sz w:val="20"/>
                <w:szCs w:val="20"/>
              </w:rPr>
              <w:t>公允价值变动收益（损 失以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77,432,708.47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12,749,229.48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80"/>
              <w:jc w:val="left"/>
              <w:rPr>
                <w:sz w:val="20"/>
                <w:szCs w:val="20"/>
              </w:rPr>
            </w:pPr>
            <w:r>
              <w:rPr>
                <w:color w:val="000000"/>
                <w:spacing w:val="0"/>
                <w:w w:val="100"/>
                <w:position w:val="0"/>
                <w:sz w:val="20"/>
                <w:szCs w:val="20"/>
              </w:rPr>
              <w:t xml:space="preserve">信用减值损失（损失以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6,426,460.59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32,560,472.04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80"/>
              <w:jc w:val="left"/>
              <w:rPr>
                <w:sz w:val="20"/>
                <w:szCs w:val="20"/>
              </w:rPr>
            </w:pPr>
            <w:r>
              <w:rPr>
                <w:color w:val="000000"/>
                <w:spacing w:val="0"/>
                <w:w w:val="100"/>
                <w:position w:val="0"/>
                <w:sz w:val="20"/>
                <w:szCs w:val="20"/>
              </w:rPr>
              <w:t xml:space="preserve">资产减值损失（损失以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-13,443,121.19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-34,163,619.51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80"/>
              <w:jc w:val="left"/>
              <w:rPr>
                <w:sz w:val="20"/>
                <w:szCs w:val="20"/>
              </w:rPr>
            </w:pPr>
            <w:r>
              <w:rPr>
                <w:color w:val="000000"/>
                <w:spacing w:val="0"/>
                <w:w w:val="100"/>
                <w:position w:val="0"/>
                <w:sz w:val="20"/>
                <w:szCs w:val="20"/>
              </w:rPr>
              <w:t xml:space="preserve">资产处置收益（损失以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106,571.39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三、营业利润（亏损以</w:t>
            </w:r>
            <w:r>
              <w:rPr>
                <w:color w:val="000000"/>
                <w:spacing w:val="0"/>
                <w:w w:val="100"/>
                <w:position w:val="0"/>
                <w:sz w:val="20"/>
                <w:szCs w:val="20"/>
              </w:rPr>
              <w:t>“一”</w:t>
            </w:r>
            <w:r>
              <w:rPr>
                <w:color w:val="000000"/>
                <w:spacing w:val="0"/>
                <w:w w:val="100"/>
                <w:position w:val="0"/>
                <w:sz w:val="20"/>
                <w:szCs w:val="2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209,801,614.63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-80,708,832.70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4,535,271.93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75,314,857.40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1,245,370.55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1,607,106.89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四、利润总额（亏损总额以</w:t>
            </w:r>
            <w:r>
              <w:rPr>
                <w:color w:val="000000"/>
                <w:spacing w:val="0"/>
                <w:w w:val="100"/>
                <w:position w:val="0"/>
                <w:sz w:val="20"/>
                <w:szCs w:val="20"/>
              </w:rPr>
              <w:t xml:space="preserve">"一”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213,091,516.01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-7,001,082.19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-2,105,447.25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-466,017.85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五、净利润（净亏损以</w:t>
            </w:r>
            <w:r>
              <w:rPr>
                <w:color w:val="000000"/>
                <w:spacing w:val="0"/>
                <w:w w:val="100"/>
                <w:position w:val="0"/>
                <w:sz w:val="20"/>
                <w:szCs w:val="20"/>
              </w:rPr>
              <w:t>“一”</w:t>
            </w:r>
            <w:r>
              <w:rPr>
                <w:color w:val="000000"/>
                <w:spacing w:val="0"/>
                <w:w w:val="100"/>
                <w:position w:val="0"/>
                <w:sz w:val="20"/>
                <w:szCs w:val="2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215,196,963.26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-6,535,064.34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（一）按经营持续性分类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215,196,963.26</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-6,535,064.34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持续经营净利润（净亏损以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215,196,963.26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-6,535,064.34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终止经营净利润（净亏损以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（二）按所有权归属分类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215,196,963.26</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-6,535,064.34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归属于母公司股东的净利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218,975,957.10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11,234,770.54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-3,778,993.84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-17,769,834.88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-3,054,735.79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8,547,472.86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40"/>
              <w:jc w:val="left"/>
              <w:rPr>
                <w:sz w:val="20"/>
                <w:szCs w:val="20"/>
              </w:rPr>
            </w:pPr>
            <w:r>
              <w:rPr>
                <w:color w:val="000000"/>
                <w:spacing w:val="0"/>
                <w:w w:val="100"/>
                <w:position w:val="0"/>
                <w:sz w:val="20"/>
                <w:szCs w:val="20"/>
              </w:rPr>
              <w:t>归属母公司所有者的其他综合 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-3,054,735.79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8,547,472.86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20"/>
                <w:szCs w:val="20"/>
              </w:rPr>
            </w:pPr>
            <w:r>
              <w:rPr>
                <w:color w:val="000000"/>
                <w:spacing w:val="0"/>
                <w:w w:val="100"/>
                <w:position w:val="0"/>
                <w:sz w:val="20"/>
                <w:szCs w:val="20"/>
              </w:rPr>
              <w:t>（一）不能重分类进损益的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10,122,226.59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重新计量设定受益 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8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权益法下不能转损 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8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其他权益工具投资 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10,122,226.59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8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企业自身信用风险 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20"/>
                <w:szCs w:val="20"/>
              </w:rPr>
            </w:pPr>
            <w:r>
              <w:rPr>
                <w:color w:val="000000"/>
                <w:spacing w:val="0"/>
                <w:w w:val="100"/>
                <w:position w:val="0"/>
                <w:sz w:val="20"/>
                <w:szCs w:val="20"/>
              </w:rPr>
              <w:t>（二）将重分类进损益的其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-3,211,645.60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-1,574,753.73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权益法下可转损益 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-1,828,385.41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635,315.95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8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其他债权投资公允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8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金融资产重分类计 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8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其他债权投资信用</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8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外币财务报表折算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-1,383,260.19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-2,210,069.68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8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40"/>
              <w:jc w:val="left"/>
              <w:rPr>
                <w:sz w:val="20"/>
                <w:szCs w:val="20"/>
              </w:rPr>
            </w:pPr>
            <w:r>
              <w:rPr>
                <w:color w:val="000000"/>
                <w:spacing w:val="0"/>
                <w:w w:val="100"/>
                <w:position w:val="0"/>
                <w:sz w:val="20"/>
                <w:szCs w:val="20"/>
              </w:rPr>
              <w:t>归属于少数股东的其他综合收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212,142,227.47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2,012,408.52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20"/>
                <w:szCs w:val="20"/>
              </w:rPr>
            </w:pPr>
            <w:r>
              <w:rPr>
                <w:color w:val="000000"/>
                <w:spacing w:val="0"/>
                <w:w w:val="100"/>
                <w:position w:val="0"/>
                <w:sz w:val="20"/>
                <w:szCs w:val="20"/>
              </w:rPr>
              <w:t>归属于母公司所有者的综合 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215,921,221.31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19,782,243.40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60"/>
              <w:jc w:val="left"/>
              <w:rPr>
                <w:sz w:val="20"/>
                <w:szCs w:val="20"/>
              </w:rPr>
            </w:pPr>
            <w:r>
              <w:rPr>
                <w:color w:val="000000"/>
                <w:spacing w:val="0"/>
                <w:w w:val="100"/>
                <w:position w:val="0"/>
                <w:sz w:val="20"/>
                <w:szCs w:val="20"/>
              </w:rPr>
              <w:t>归属于少数股东的综合收益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-3,778,993.84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-17,769,834.88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bl>
    <w:p>
      <w:pPr>
        <w:pStyle w:val="Style37"/>
        <w:keepNext/>
        <w:keepLines/>
        <w:widowControl w:val="0"/>
        <w:shd w:val="clear" w:color="auto" w:fill="auto"/>
        <w:bidi w:val="0"/>
        <w:spacing w:before="0" w:after="360" w:line="240" w:lineRule="auto"/>
        <w:ind w:left="0" w:right="0" w:firstLine="0"/>
        <w:jc w:val="left"/>
      </w:pPr>
      <w:r>
        <mc:AlternateContent>
          <mc:Choice Requires="wps">
            <w:drawing>
              <wp:anchor distT="12700" distB="3175" distL="114300" distR="4921250" simplePos="0" relativeHeight="125829396" behindDoc="0" locked="0" layoutInCell="1" allowOverlap="1">
                <wp:simplePos x="0" y="0"/>
                <wp:positionH relativeFrom="page">
                  <wp:posOffset>694690</wp:posOffset>
                </wp:positionH>
                <wp:positionV relativeFrom="margin">
                  <wp:posOffset>7131685</wp:posOffset>
                </wp:positionV>
                <wp:extent cx="1337945" cy="176530"/>
                <wp:wrapTopAndBottom/>
                <wp:docPr id="26" name="Shape 26"/>
                <a:graphic xmlns:a="http://schemas.openxmlformats.org/drawingml/2006/main">
                  <a:graphicData uri="http://schemas.microsoft.com/office/word/2010/wordprocessingShape">
                    <wps:wsp>
                      <wps:cNvSpPr txBox="1"/>
                      <wps:spPr>
                        <a:xfrm>
                          <a:ext cx="1337945" cy="1765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法定代表人：孙迎彤</w:t>
                            </w:r>
                          </w:p>
                        </w:txbxContent>
                      </wps:txbx>
                      <wps:bodyPr wrap="none" lIns="0" tIns="0" rIns="0" bIns="0">
                        <a:noAutoFit/>
                      </wps:bodyPr>
                    </wps:wsp>
                  </a:graphicData>
                </a:graphic>
              </wp:anchor>
            </w:drawing>
          </mc:Choice>
          <mc:Fallback>
            <w:pict>
              <v:shape id="_x0000_s1052" type="#_x0000_t202" style="position:absolute;margin-left:54.700000000000003pt;margin-top:561.55000000000007pt;width:105.35000000000001pt;height:13.9pt;z-index:-125829357;mso-wrap-distance-left:9.pt;mso-wrap-distance-top:1.pt;mso-wrap-distance-right:387.5pt;mso-wrap-distance-bottom:0.2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法定代表人：孙迎彤</w:t>
                      </w:r>
                    </w:p>
                  </w:txbxContent>
                </v:textbox>
                <w10:wrap type="topAndBottom" anchorx="page" anchory="margin"/>
              </v:shape>
            </w:pict>
          </mc:Fallback>
        </mc:AlternateContent>
      </w:r>
      <w:r>
        <mc:AlternateContent>
          <mc:Choice Requires="wps">
            <w:drawing>
              <wp:anchor distT="12700" distB="0" distL="2232660" distR="2372995" simplePos="0" relativeHeight="125829398" behindDoc="0" locked="0" layoutInCell="1" allowOverlap="1">
                <wp:simplePos x="0" y="0"/>
                <wp:positionH relativeFrom="page">
                  <wp:posOffset>2813050</wp:posOffset>
                </wp:positionH>
                <wp:positionV relativeFrom="margin">
                  <wp:posOffset>7131685</wp:posOffset>
                </wp:positionV>
                <wp:extent cx="1767840" cy="179705"/>
                <wp:wrapTopAndBottom/>
                <wp:docPr id="28" name="Shape 28"/>
                <a:graphic xmlns:a="http://schemas.openxmlformats.org/drawingml/2006/main">
                  <a:graphicData uri="http://schemas.microsoft.com/office/word/2010/wordprocessingShape">
                    <wps:wsp>
                      <wps:cNvSpPr txBox="1"/>
                      <wps:spPr>
                        <a:xfrm>
                          <a:ext cx="1767840" cy="1797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主管会计工作负责人：徐辉</w:t>
                            </w:r>
                          </w:p>
                        </w:txbxContent>
                      </wps:txbx>
                      <wps:bodyPr wrap="none" lIns="0" tIns="0" rIns="0" bIns="0">
                        <a:noAutoFit/>
                      </wps:bodyPr>
                    </wps:wsp>
                  </a:graphicData>
                </a:graphic>
              </wp:anchor>
            </w:drawing>
          </mc:Choice>
          <mc:Fallback>
            <w:pict>
              <v:shape id="_x0000_s1054" type="#_x0000_t202" style="position:absolute;margin-left:221.5pt;margin-top:561.55000000000007pt;width:139.20000000000002pt;height:14.15pt;z-index:-125829355;mso-wrap-distance-left:175.80000000000001pt;mso-wrap-distance-top:1.pt;mso-wrap-distance-right:186.84999999999999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主管会计工作负责人：徐辉</w:t>
                      </w:r>
                    </w:p>
                  </w:txbxContent>
                </v:textbox>
                <w10:wrap type="topAndBottom" anchorx="page" anchory="margin"/>
              </v:shape>
            </w:pict>
          </mc:Fallback>
        </mc:AlternateContent>
      </w:r>
      <w:r>
        <mc:AlternateContent>
          <mc:Choice Requires="wps">
            <w:drawing>
              <wp:anchor distT="12700" distB="0" distL="4631690" distR="114300" simplePos="0" relativeHeight="125829400" behindDoc="0" locked="0" layoutInCell="1" allowOverlap="1">
                <wp:simplePos x="0" y="0"/>
                <wp:positionH relativeFrom="page">
                  <wp:posOffset>5212080</wp:posOffset>
                </wp:positionH>
                <wp:positionV relativeFrom="margin">
                  <wp:posOffset>7131685</wp:posOffset>
                </wp:positionV>
                <wp:extent cx="1627505" cy="179705"/>
                <wp:wrapTopAndBottom/>
                <wp:docPr id="30" name="Shape 30"/>
                <a:graphic xmlns:a="http://schemas.openxmlformats.org/drawingml/2006/main">
                  <a:graphicData uri="http://schemas.microsoft.com/office/word/2010/wordprocessingShape">
                    <wps:wsp>
                      <wps:cNvSpPr txBox="1"/>
                      <wps:spPr>
                        <a:xfrm>
                          <a:ext cx="1627505" cy="1797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会计机构负责人：余永德</w:t>
                            </w:r>
                          </w:p>
                        </w:txbxContent>
                      </wps:txbx>
                      <wps:bodyPr wrap="none" lIns="0" tIns="0" rIns="0" bIns="0">
                        <a:noAutoFit/>
                      </wps:bodyPr>
                    </wps:wsp>
                  </a:graphicData>
                </a:graphic>
              </wp:anchor>
            </w:drawing>
          </mc:Choice>
          <mc:Fallback>
            <w:pict>
              <v:shape id="_x0000_s1056" type="#_x0000_t202" style="position:absolute;margin-left:410.40000000000003pt;margin-top:561.55000000000007pt;width:128.15000000000001pt;height:14.15pt;z-index:-125829353;mso-wrap-distance-left:364.69999999999999pt;mso-wrap-distance-top:1.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会计机构负责人：余永德</w:t>
                      </w:r>
                    </w:p>
                  </w:txbxContent>
                </v:textbox>
                <w10:wrap type="topAndBottom" anchorx="page" anchory="margin"/>
              </v:shape>
            </w:pict>
          </mc:Fallback>
        </mc:AlternateContent>
      </w: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4</w:t>
      </w:r>
      <w:bookmarkEnd w:id="703"/>
      <w:r>
        <w:rPr>
          <w:color w:val="000000"/>
          <w:spacing w:val="0"/>
          <w:w w:val="100"/>
          <w:position w:val="0"/>
        </w:rPr>
        <w:t>、母公司利润表</w:t>
      </w:r>
      <w:bookmarkEnd w:id="701"/>
      <w:bookmarkEnd w:id="702"/>
      <w:bookmarkEnd w:id="704"/>
    </w:p>
    <w:p>
      <w:pPr>
        <w:pStyle w:val="Style30"/>
        <w:keepNext w:val="0"/>
        <w:keepLines w:val="0"/>
        <w:widowControl w:val="0"/>
        <w:shd w:val="clear" w:color="auto" w:fill="auto"/>
        <w:bidi w:val="0"/>
        <w:spacing w:before="0" w:after="0" w:line="240" w:lineRule="auto"/>
        <w:ind w:left="8688"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607,291,720.86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216,581,481.46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244,600,416.39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92,486,550.22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4,934,025.60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387,959.60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39,946,106.28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21,089,071.17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82,633,929.12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38,100,822.55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194,063,130.03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93,920,681.14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6,608,282.15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13,739,378.81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22,803,826.69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21,317,191.64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18,014,094.94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7,017,150.97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32,140,885.34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17,194,641.76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80"/>
              <w:jc w:val="left"/>
              <w:rPr>
                <w:sz w:val="20"/>
                <w:szCs w:val="20"/>
              </w:rPr>
            </w:pPr>
            <w:r>
              <w:rPr>
                <w:color w:val="000000"/>
                <w:spacing w:val="0"/>
                <w:w w:val="100"/>
                <w:position w:val="0"/>
                <w:sz w:val="20"/>
                <w:szCs w:val="20"/>
              </w:rPr>
              <w:t>投资收益（损失以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1,509,494.48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267,758.88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80"/>
              <w:jc w:val="left"/>
              <w:rPr>
                <w:sz w:val="20"/>
                <w:szCs w:val="20"/>
              </w:rPr>
            </w:pPr>
            <w:r>
              <w:rPr>
                <w:color w:val="000000"/>
                <w:spacing w:val="0"/>
                <w:w w:val="100"/>
                <w:position w:val="0"/>
                <w:sz w:val="20"/>
                <w:szCs w:val="20"/>
              </w:rPr>
              <w:t>其中：对联营企业和合 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280"/>
              <w:jc w:val="left"/>
              <w:rPr>
                <w:sz w:val="20"/>
                <w:szCs w:val="20"/>
              </w:rPr>
            </w:pPr>
            <w:r>
              <w:rPr>
                <w:color w:val="000000"/>
                <w:spacing w:val="0"/>
                <w:w w:val="100"/>
                <w:position w:val="0"/>
                <w:sz w:val="20"/>
                <w:szCs w:val="20"/>
              </w:rPr>
              <w:t>以摊余成本计量 的金融资产终止确认收益（损失 以</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880"/>
              <w:jc w:val="both"/>
              <w:rPr>
                <w:sz w:val="20"/>
                <w:szCs w:val="20"/>
              </w:rPr>
            </w:pPr>
            <w:r>
              <w:rPr>
                <w:color w:val="000000"/>
                <w:spacing w:val="0"/>
                <w:w w:val="100"/>
                <w:position w:val="0"/>
                <w:sz w:val="20"/>
                <w:szCs w:val="20"/>
              </w:rPr>
              <w:t>净敞口套期收益（损失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80"/>
              <w:jc w:val="both"/>
              <w:rPr>
                <w:sz w:val="20"/>
                <w:szCs w:val="20"/>
              </w:rPr>
            </w:pPr>
            <w:r>
              <w:rPr>
                <w:color w:val="000000"/>
                <w:spacing w:val="0"/>
                <w:w w:val="100"/>
                <w:position w:val="0"/>
                <w:sz w:val="20"/>
                <w:szCs w:val="20"/>
              </w:rPr>
              <w:t>公允价值变动收益（损 失以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76,918,432.90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-8,511,857.83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80"/>
              <w:jc w:val="both"/>
              <w:rPr>
                <w:sz w:val="20"/>
                <w:szCs w:val="20"/>
              </w:rPr>
            </w:pPr>
            <w:r>
              <w:rPr>
                <w:color w:val="000000"/>
                <w:spacing w:val="0"/>
                <w:w w:val="100"/>
                <w:position w:val="0"/>
                <w:sz w:val="20"/>
                <w:szCs w:val="20"/>
              </w:rPr>
              <w:t xml:space="preserve">信用减值损失（损失以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296,320,714.13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117,337.83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80"/>
              <w:jc w:val="both"/>
              <w:rPr>
                <w:sz w:val="20"/>
                <w:szCs w:val="20"/>
              </w:rPr>
            </w:pPr>
            <w:r>
              <w:rPr>
                <w:color w:val="000000"/>
                <w:spacing w:val="0"/>
                <w:w w:val="100"/>
                <w:position w:val="0"/>
                <w:sz w:val="20"/>
                <w:szCs w:val="20"/>
              </w:rPr>
              <w:t xml:space="preserve">资产减值损失（损失以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-16,598,596.62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-18,723,754.50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80"/>
              <w:jc w:val="both"/>
              <w:rPr>
                <w:sz w:val="20"/>
                <w:szCs w:val="20"/>
              </w:rPr>
            </w:pPr>
            <w:r>
              <w:rPr>
                <w:color w:val="000000"/>
                <w:spacing w:val="0"/>
                <w:w w:val="100"/>
                <w:position w:val="0"/>
                <w:sz w:val="20"/>
                <w:szCs w:val="20"/>
              </w:rPr>
              <w:t xml:space="preserve">资产处置收益（损失以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二、营业利润（亏损以</w:t>
            </w:r>
            <w:r>
              <w:rPr>
                <w:color w:val="000000"/>
                <w:spacing w:val="0"/>
                <w:w w:val="100"/>
                <w:position w:val="0"/>
                <w:sz w:val="20"/>
                <w:szCs w:val="20"/>
              </w:rPr>
              <w:t>“一”</w:t>
            </w:r>
            <w:r>
              <w:rPr>
                <w:color w:val="000000"/>
                <w:spacing w:val="0"/>
                <w:w w:val="100"/>
                <w:position w:val="0"/>
                <w:sz w:val="20"/>
                <w:szCs w:val="2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425,060,360.16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-52,796,489.52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2,738,424.20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520,301.06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827,976.58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三、利润总额（亏损总额以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427,741,169.97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-53,104,165.04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-52,949,037.60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-421,647.21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四、净利润（净亏损以</w:t>
            </w:r>
            <w:r>
              <w:rPr>
                <w:color w:val="000000"/>
                <w:spacing w:val="0"/>
                <w:w w:val="100"/>
                <w:position w:val="0"/>
                <w:sz w:val="20"/>
                <w:szCs w:val="20"/>
              </w:rPr>
              <w:t>“一”</w:t>
            </w:r>
            <w:r>
              <w:rPr>
                <w:color w:val="000000"/>
                <w:spacing w:val="0"/>
                <w:w w:val="100"/>
                <w:position w:val="0"/>
                <w:sz w:val="20"/>
                <w:szCs w:val="2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480,690,207.57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-52,682,517.83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（一）持续经营净利润（净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480,690,207.57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-52,682,517.83</w:t>
            </w:r>
          </w:p>
        </w:tc>
      </w:tr>
    </w:tbl>
    <w:p>
      <w:pPr>
        <w:widowControl w:val="0"/>
        <w:spacing w:line="1" w:lineRule="exact"/>
      </w:pPr>
      <w:r>
        <w:br w:type="page"/>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w:t>
            </w:r>
          </w:p>
        </w:tc>
      </w:tr>
      <w:tr>
        <w:trPr>
          <w:trHeight w:val="365"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亏损以"一”号填列）</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326" w:lineRule="exact"/>
              <w:ind w:left="0" w:right="0" w:firstLine="440"/>
              <w:jc w:val="both"/>
              <w:rPr>
                <w:sz w:val="20"/>
                <w:szCs w:val="20"/>
              </w:rPr>
            </w:pPr>
            <w:r>
              <w:rPr>
                <w:color w:val="000000"/>
                <w:spacing w:val="0"/>
                <w:w w:val="100"/>
                <w:position w:val="0"/>
                <w:sz w:val="20"/>
                <w:szCs w:val="20"/>
              </w:rPr>
              <w:t>（二）终止经营净利润（净 亏损以"一”号填列）</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135,755.94</w:t>
            </w:r>
          </w:p>
        </w:tc>
        <w:tc>
          <w:tcPr>
            <w:tcBorders>
              <w:top w:val="single" w:sz="4"/>
              <w:left w:val="single" w:sz="4"/>
              <w:right w:val="single" w:sz="4"/>
            </w:tcBorders>
            <w:shd w:val="clear" w:color="auto" w:fill="FFFFFF"/>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122,226.59</w:t>
            </w:r>
          </w:p>
        </w:tc>
      </w:tr>
      <w:tr>
        <w:trPr>
          <w:trHeight w:val="715"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（一）不能重分类进损益的 其他综合收益</w:t>
            </w:r>
          </w:p>
        </w:tc>
        <w:tc>
          <w:tcPr>
            <w:tcBorders>
              <w:top w:val="single" w:sz="4"/>
              <w:left w:val="single" w:sz="4"/>
            </w:tcBorders>
            <w:shd w:val="clear" w:color="auto" w:fill="FFFFFF"/>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135,755.94</w:t>
            </w:r>
          </w:p>
        </w:tc>
        <w:tc>
          <w:tcPr>
            <w:tcBorders>
              <w:top w:val="single" w:sz="4"/>
              <w:left w:val="single" w:sz="4"/>
              <w:right w:val="single" w:sz="4"/>
            </w:tcBorders>
            <w:shd w:val="clear" w:color="auto" w:fill="FFFFFF"/>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122,226.59</w:t>
            </w:r>
          </w:p>
        </w:tc>
      </w:tr>
      <w:tr>
        <w:trPr>
          <w:trHeight w:val="715"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317" w:lineRule="exact"/>
              <w:ind w:left="0" w:right="0" w:firstLine="108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重新计量设定受益 计划变动额</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326" w:lineRule="exact"/>
              <w:ind w:left="0" w:right="0" w:firstLine="108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权益法下不能转损 益的其他综合收益</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326" w:lineRule="exact"/>
              <w:ind w:left="0" w:right="0" w:firstLine="108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其他权益工具投资 公允价值变动</w:t>
            </w:r>
          </w:p>
        </w:tc>
        <w:tc>
          <w:tcPr>
            <w:tcBorders>
              <w:top w:val="single" w:sz="4"/>
              <w:left w:val="single" w:sz="4"/>
            </w:tcBorders>
            <w:shd w:val="clear" w:color="auto" w:fill="FFFFFF"/>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135,755.94</w:t>
            </w:r>
          </w:p>
        </w:tc>
        <w:tc>
          <w:tcPr>
            <w:tcBorders>
              <w:top w:val="single" w:sz="4"/>
              <w:left w:val="single" w:sz="4"/>
              <w:right w:val="single" w:sz="4"/>
            </w:tcBorders>
            <w:shd w:val="clear" w:color="auto" w:fill="FFFFFF"/>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122,226.59</w:t>
            </w:r>
          </w:p>
        </w:tc>
      </w:tr>
      <w:tr>
        <w:trPr>
          <w:trHeight w:val="715"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331" w:lineRule="exact"/>
              <w:ind w:left="0" w:right="0" w:firstLine="108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企业自身信用风险 公允价值变动</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其他</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（二）将重分类进损益的其 他综合收益</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317" w:lineRule="exact"/>
              <w:ind w:left="0" w:right="0" w:firstLine="108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权益法下可转损益 的其他综合收益</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326" w:lineRule="exact"/>
              <w:ind w:left="0" w:right="0" w:firstLine="108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其他债权投资公允 价值变动</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326" w:lineRule="exact"/>
              <w:ind w:left="0" w:right="0" w:firstLine="108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金融资产重分类计 入其他综合收益的金额</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80" w:line="240" w:lineRule="auto"/>
              <w:ind w:left="0" w:right="0" w:firstLine="108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其他债权投资信用</w:t>
            </w:r>
          </w:p>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322" w:lineRule="exact"/>
              <w:ind w:left="0" w:right="0" w:firstLine="108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外币财务报表折算 差额</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586" w:h="12562" w:hSpace="10" w:vSpace="422" w:wrap="notBeside" w:vAnchor="text" w:hAnchor="text" w:x="13"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480,825,963.51</w:t>
            </w:r>
          </w:p>
        </w:tc>
        <w:tc>
          <w:tcPr>
            <w:tcBorders>
              <w:top w:val="single" w:sz="4"/>
              <w:left w:val="single" w:sz="4"/>
              <w:right w:val="single" w:sz="4"/>
            </w:tcBorders>
            <w:shd w:val="clear" w:color="auto" w:fill="FFFFFF"/>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-52,560,291.24</w:t>
            </w:r>
          </w:p>
        </w:tc>
      </w:tr>
      <w:tr>
        <w:trPr>
          <w:trHeight w:val="398"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D3D3D3"/>
            <w:vAlign w:val="top"/>
          </w:tcPr>
          <w:p>
            <w:pPr>
              <w:framePr w:w="9586" w:h="12562" w:hSpace="10" w:vSpace="422" w:wrap="notBeside" w:vAnchor="text" w:hAnchor="text" w:x="13" w:y="1"/>
              <w:widowControl w:val="0"/>
              <w:rPr>
                <w:sz w:val="10"/>
                <w:szCs w:val="10"/>
              </w:rPr>
            </w:pPr>
          </w:p>
        </w:tc>
        <w:tc>
          <w:tcPr>
            <w:tcBorders>
              <w:top w:val="single" w:sz="4"/>
              <w:left w:val="single" w:sz="4"/>
              <w:right w:val="single" w:sz="4"/>
            </w:tcBorders>
            <w:shd w:val="clear" w:color="auto" w:fill="D3D3D3"/>
            <w:vAlign w:val="top"/>
          </w:tcPr>
          <w:p>
            <w:pPr>
              <w:framePr w:w="9586" w:h="12562" w:hSpace="10" w:vSpace="422" w:wrap="notBeside" w:vAnchor="text" w:hAnchor="text" w:x="13"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（一）基本每股收益</w:t>
            </w:r>
          </w:p>
        </w:tc>
        <w:tc>
          <w:tcPr>
            <w:tcBorders>
              <w:top w:val="single" w:sz="4"/>
              <w:left w:val="single" w:sz="4"/>
            </w:tcBorders>
            <w:shd w:val="clear" w:color="auto" w:fill="FFFFFF"/>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w:t>
            </w:r>
          </w:p>
        </w:tc>
        <w:tc>
          <w:tcPr>
            <w:tcBorders>
              <w:top w:val="single" w:sz="4"/>
              <w:left w:val="single" w:sz="4"/>
              <w:right w:val="single" w:sz="4"/>
            </w:tcBorders>
            <w:shd w:val="clear" w:color="auto" w:fill="FFFFFF"/>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（二）稀释每股收益</w:t>
            </w:r>
          </w:p>
        </w:tc>
        <w:tc>
          <w:tcPr>
            <w:tcBorders>
              <w:top w:val="single" w:sz="4"/>
              <w:left w:val="single" w:sz="4"/>
              <w:bottom w:val="single" w:sz="4"/>
            </w:tcBorders>
            <w:shd w:val="clear" w:color="auto" w:fill="FFFFFF"/>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w:t>
            </w:r>
          </w:p>
        </w:tc>
        <w:tc>
          <w:tcPr>
            <w:tcBorders>
              <w:top w:val="single" w:sz="4"/>
              <w:left w:val="single" w:sz="4"/>
              <w:bottom w:val="single" w:sz="4"/>
              <w:right w:val="single" w:sz="4"/>
            </w:tcBorders>
            <w:shd w:val="clear" w:color="auto" w:fill="FFFFFF"/>
            <w:vAlign w:val="center"/>
          </w:tcPr>
          <w:p>
            <w:pPr>
              <w:pStyle w:val="Style2"/>
              <w:keepNext w:val="0"/>
              <w:keepLines w:val="0"/>
              <w:framePr w:w="9586" w:h="12562" w:hSpace="10" w:vSpace="422" w:wrap="notBeside" w:vAnchor="text" w:hAnchor="text" w:x="13"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bl>
    <w:p>
      <w:pPr>
        <w:pStyle w:val="Style30"/>
        <w:keepNext w:val="0"/>
        <w:keepLines w:val="0"/>
        <w:framePr w:w="2107" w:h="278" w:hSpace="2" w:wrap="notBeside" w:vAnchor="text" w:hAnchor="text" w:x="3" w:y="12702"/>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法定代表人：孙迎彤</w:t>
      </w:r>
    </w:p>
    <w:p>
      <w:pPr>
        <w:pStyle w:val="Style30"/>
        <w:keepNext w:val="0"/>
        <w:keepLines w:val="0"/>
        <w:framePr w:w="2784" w:h="283" w:hSpace="2" w:wrap="notBeside" w:vAnchor="text" w:hAnchor="text" w:x="3339" w:y="12702"/>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主管会计工作负责人：徐辉</w:t>
      </w:r>
    </w:p>
    <w:p>
      <w:pPr>
        <w:pStyle w:val="Style30"/>
        <w:keepNext w:val="0"/>
        <w:keepLines w:val="0"/>
        <w:framePr w:w="2563" w:h="283" w:hSpace="2" w:wrap="notBeside" w:vAnchor="text" w:hAnchor="text" w:x="7117" w:y="12702"/>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会计机构负责人：余永德</w:t>
      </w:r>
    </w:p>
    <w:p>
      <w:pPr>
        <w:widowControl w:val="0"/>
        <w:spacing w:line="1" w:lineRule="exact"/>
      </w:pPr>
      <w:r>
        <w:br w:type="page"/>
      </w:r>
    </w:p>
    <w:p>
      <w:pPr>
        <w:pStyle w:val="Style37"/>
        <w:keepNext/>
        <w:keepLines/>
        <w:widowControl w:val="0"/>
        <w:shd w:val="clear" w:color="auto" w:fill="auto"/>
        <w:bidi w:val="0"/>
        <w:spacing w:before="0" w:after="34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5</w:t>
      </w:r>
      <w:bookmarkEnd w:id="707"/>
      <w:r>
        <w:rPr>
          <w:color w:val="000000"/>
          <w:spacing w:val="0"/>
          <w:w w:val="100"/>
          <w:position w:val="0"/>
        </w:rPr>
        <w:t>、合并现金流量表</w:t>
      </w:r>
      <w:bookmarkEnd w:id="705"/>
      <w:bookmarkEnd w:id="706"/>
      <w:bookmarkEnd w:id="7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销售商品、提供劳务收到的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883,783,924.63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450,402,074.52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客户存款和同业存放款项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向其他金融机构拆入资金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收到原保险合同保费取得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20"/>
                <w:szCs w:val="20"/>
              </w:rPr>
            </w:pPr>
            <w:r>
              <w:rPr>
                <w:color w:val="000000"/>
                <w:spacing w:val="0"/>
                <w:w w:val="100"/>
                <w:position w:val="0"/>
                <w:sz w:val="20"/>
                <w:szCs w:val="20"/>
              </w:rPr>
              <w:t>保户储金及投资款净增加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both"/>
              <w:rPr>
                <w:sz w:val="20"/>
                <w:szCs w:val="20"/>
              </w:rPr>
            </w:pPr>
            <w:r>
              <w:rPr>
                <w:color w:val="000000"/>
                <w:spacing w:val="0"/>
                <w:w w:val="100"/>
                <w:position w:val="0"/>
                <w:sz w:val="20"/>
                <w:szCs w:val="20"/>
              </w:rPr>
              <w:t>代理买卖证券收到的现金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27,040,604.93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4,935,305.02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收到其他与经营活动有关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182,106,486.97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95,111,244.71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1,092,931,016.53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550,448,624.25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20"/>
                <w:szCs w:val="20"/>
              </w:rPr>
            </w:pPr>
            <w:r>
              <w:rPr>
                <w:color w:val="000000"/>
                <w:spacing w:val="0"/>
                <w:w w:val="100"/>
                <w:position w:val="0"/>
                <w:sz w:val="20"/>
                <w:szCs w:val="20"/>
              </w:rPr>
              <w:t>购买商品、接受劳务支付的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505,582,017.37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262,860,758.72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存放中央银行和同业款项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支付原保险合同赔付款项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支付利息、手续费及佣金的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支付给职工以及为职工支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206,495,351.12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154,806,397.48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34,931,832.92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3,889,985.53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20"/>
                <w:szCs w:val="20"/>
              </w:rPr>
            </w:pPr>
            <w:r>
              <w:rPr>
                <w:color w:val="000000"/>
                <w:spacing w:val="0"/>
                <w:w w:val="100"/>
                <w:position w:val="0"/>
                <w:sz w:val="20"/>
                <w:szCs w:val="20"/>
              </w:rPr>
              <w:t>支付其他与经营活动有关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133,432,023.33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103,637,185.43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880,441,224.74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525,194,327.16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212,489,791.79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25,254,297.09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377,726,455.04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170,852,589.16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2,035,370.42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325,065.74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处置固定资产、无形资产和 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434,758.23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166,615.34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20"/>
                <w:szCs w:val="20"/>
              </w:rPr>
            </w:pPr>
            <w:r>
              <w:rPr>
                <w:color w:val="000000"/>
                <w:spacing w:val="0"/>
                <w:w w:val="100"/>
                <w:position w:val="0"/>
                <w:sz w:val="20"/>
                <w:szCs w:val="2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20"/>
                <w:szCs w:val="20"/>
              </w:rPr>
            </w:pPr>
            <w:r>
              <w:rPr>
                <w:color w:val="000000"/>
                <w:spacing w:val="0"/>
                <w:w w:val="100"/>
                <w:position w:val="0"/>
                <w:sz w:val="20"/>
                <w:szCs w:val="20"/>
              </w:rPr>
              <w:t>收到其他与投资活动有关 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471,950.28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74,647,410.84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380,668,533.97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245,991,681.08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购建固定资产、无形资产和 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112,174,605.30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48,133,890.48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230,083,512.20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133,500,000.00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20"/>
                <w:szCs w:val="20"/>
              </w:rPr>
            </w:pPr>
            <w:r>
              <w:rPr>
                <w:color w:val="000000"/>
                <w:spacing w:val="0"/>
                <w:w w:val="100"/>
                <w:position w:val="0"/>
                <w:sz w:val="20"/>
                <w:szCs w:val="20"/>
              </w:rPr>
              <w:t>取得子公司及其他营业单 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20"/>
                <w:szCs w:val="20"/>
              </w:rPr>
            </w:pPr>
            <w:r>
              <w:rPr>
                <w:color w:val="000000"/>
                <w:spacing w:val="0"/>
                <w:w w:val="100"/>
                <w:position w:val="0"/>
                <w:sz w:val="20"/>
                <w:szCs w:val="2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389,858,117.50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222,433,890.48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-9,189,583.53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23,557,790.60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242,781,368.50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其中：子公司吸收少数股东 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450,000,000.00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收到其他与筹资活动有关 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2700" distB="3175" distL="114300" distR="4921250" simplePos="0" relativeHeight="125829402" behindDoc="0" locked="0" layoutInCell="1" allowOverlap="1">
                <wp:simplePos x="0" y="0"/>
                <wp:positionH relativeFrom="page">
                  <wp:posOffset>689610</wp:posOffset>
                </wp:positionH>
                <wp:positionV relativeFrom="margin">
                  <wp:posOffset>4156710</wp:posOffset>
                </wp:positionV>
                <wp:extent cx="1337945" cy="176530"/>
                <wp:wrapTopAndBottom/>
                <wp:docPr id="32" name="Shape 32"/>
                <a:graphic xmlns:a="http://schemas.openxmlformats.org/drawingml/2006/main">
                  <a:graphicData uri="http://schemas.microsoft.com/office/word/2010/wordprocessingShape">
                    <wps:wsp>
                      <wps:cNvSpPr txBox="1"/>
                      <wps:spPr>
                        <a:xfrm>
                          <a:ext cx="1337945" cy="1765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法定代表人：孙迎彤</w:t>
                            </w:r>
                          </w:p>
                        </w:txbxContent>
                      </wps:txbx>
                      <wps:bodyPr wrap="none" lIns="0" tIns="0" rIns="0" bIns="0">
                        <a:noAutoFit/>
                      </wps:bodyPr>
                    </wps:wsp>
                  </a:graphicData>
                </a:graphic>
              </wp:anchor>
            </w:drawing>
          </mc:Choice>
          <mc:Fallback>
            <w:pict>
              <v:shape id="_x0000_s1058" type="#_x0000_t202" style="position:absolute;margin-left:54.300000000000004pt;margin-top:327.30000000000001pt;width:105.35000000000001pt;height:13.9pt;z-index:-125829351;mso-wrap-distance-left:9.pt;mso-wrap-distance-top:1.pt;mso-wrap-distance-right:387.5pt;mso-wrap-distance-bottom:0.2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法定代表人：孙迎彤</w:t>
                      </w:r>
                    </w:p>
                  </w:txbxContent>
                </v:textbox>
                <w10:wrap type="topAndBottom" anchorx="page" anchory="margin"/>
              </v:shape>
            </w:pict>
          </mc:Fallback>
        </mc:AlternateContent>
      </w:r>
      <w:r>
        <mc:AlternateContent>
          <mc:Choice Requires="wps">
            <w:drawing>
              <wp:anchor distT="12700" distB="0" distL="2232660" distR="2372995" simplePos="0" relativeHeight="125829404" behindDoc="0" locked="0" layoutInCell="1" allowOverlap="1">
                <wp:simplePos x="0" y="0"/>
                <wp:positionH relativeFrom="page">
                  <wp:posOffset>2807970</wp:posOffset>
                </wp:positionH>
                <wp:positionV relativeFrom="margin">
                  <wp:posOffset>4156710</wp:posOffset>
                </wp:positionV>
                <wp:extent cx="1767840" cy="179705"/>
                <wp:wrapTopAndBottom/>
                <wp:docPr id="34" name="Shape 34"/>
                <a:graphic xmlns:a="http://schemas.openxmlformats.org/drawingml/2006/main">
                  <a:graphicData uri="http://schemas.microsoft.com/office/word/2010/wordprocessingShape">
                    <wps:wsp>
                      <wps:cNvSpPr txBox="1"/>
                      <wps:spPr>
                        <a:xfrm>
                          <a:ext cx="1767840" cy="1797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主管会计工作负责人：徐辉</w:t>
                            </w:r>
                          </w:p>
                        </w:txbxContent>
                      </wps:txbx>
                      <wps:bodyPr wrap="none" lIns="0" tIns="0" rIns="0" bIns="0">
                        <a:noAutoFit/>
                      </wps:bodyPr>
                    </wps:wsp>
                  </a:graphicData>
                </a:graphic>
              </wp:anchor>
            </w:drawing>
          </mc:Choice>
          <mc:Fallback>
            <w:pict>
              <v:shape id="_x0000_s1060" type="#_x0000_t202" style="position:absolute;margin-left:221.09999999999999pt;margin-top:327.30000000000001pt;width:139.20000000000002pt;height:14.15pt;z-index:-125829349;mso-wrap-distance-left:175.80000000000001pt;mso-wrap-distance-top:1.pt;mso-wrap-distance-right:186.84999999999999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主管会计工作负责人：徐辉</w:t>
                      </w:r>
                    </w:p>
                  </w:txbxContent>
                </v:textbox>
                <w10:wrap type="topAndBottom" anchorx="page" anchory="margin"/>
              </v:shape>
            </w:pict>
          </mc:Fallback>
        </mc:AlternateContent>
      </w:r>
      <w:r>
        <mc:AlternateContent>
          <mc:Choice Requires="wps">
            <w:drawing>
              <wp:anchor distT="12700" distB="0" distL="4631690" distR="114300" simplePos="0" relativeHeight="125829406" behindDoc="0" locked="0" layoutInCell="1" allowOverlap="1">
                <wp:simplePos x="0" y="0"/>
                <wp:positionH relativeFrom="page">
                  <wp:posOffset>5207000</wp:posOffset>
                </wp:positionH>
                <wp:positionV relativeFrom="margin">
                  <wp:posOffset>4156710</wp:posOffset>
                </wp:positionV>
                <wp:extent cx="1627505" cy="179705"/>
                <wp:wrapTopAndBottom/>
                <wp:docPr id="36" name="Shape 36"/>
                <a:graphic xmlns:a="http://schemas.openxmlformats.org/drawingml/2006/main">
                  <a:graphicData uri="http://schemas.microsoft.com/office/word/2010/wordprocessingShape">
                    <wps:wsp>
                      <wps:cNvSpPr txBox="1"/>
                      <wps:spPr>
                        <a:xfrm>
                          <a:ext cx="1627505" cy="1797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会计机构负责人：余永德</w:t>
                            </w:r>
                          </w:p>
                        </w:txbxContent>
                      </wps:txbx>
                      <wps:bodyPr wrap="none" lIns="0" tIns="0" rIns="0" bIns="0">
                        <a:noAutoFit/>
                      </wps:bodyPr>
                    </wps:wsp>
                  </a:graphicData>
                </a:graphic>
              </wp:anchor>
            </w:drawing>
          </mc:Choice>
          <mc:Fallback>
            <w:pict>
              <v:shape id="_x0000_s1062" type="#_x0000_t202" style="position:absolute;margin-left:410.pt;margin-top:327.30000000000001pt;width:128.15000000000001pt;height:14.15pt;z-index:-125829347;mso-wrap-distance-left:364.69999999999999pt;mso-wrap-distance-top:1.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会计机构负责人：余永德</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362,781,368.50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20"/>
                <w:szCs w:val="20"/>
              </w:rPr>
            </w:pPr>
            <w:r>
              <w:rPr>
                <w:color w:val="000000"/>
                <w:spacing w:val="0"/>
                <w:w w:val="100"/>
                <w:position w:val="0"/>
                <w:sz w:val="20"/>
                <w:szCs w:val="20"/>
              </w:rPr>
              <w:t>分配股利、利润或偿付利息 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35,531,259.32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27,825,161.95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20"/>
                <w:szCs w:val="20"/>
              </w:rPr>
            </w:pPr>
            <w:r>
              <w:rPr>
                <w:color w:val="000000"/>
                <w:spacing w:val="0"/>
                <w:w w:val="100"/>
                <w:position w:val="0"/>
                <w:sz w:val="20"/>
                <w:szCs w:val="2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20"/>
                <w:szCs w:val="20"/>
              </w:rPr>
            </w:pPr>
            <w:r>
              <w:rPr>
                <w:color w:val="000000"/>
                <w:spacing w:val="0"/>
                <w:w w:val="100"/>
                <w:position w:val="0"/>
                <w:sz w:val="20"/>
                <w:szCs w:val="20"/>
              </w:rPr>
              <w:t>支付其他与筹资活动有关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156,245,580.70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20,034,350.80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351,776,840.02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447,859,512.75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11,004,528.48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2,140,487.25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四、汇率变动对现金及现金等价 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-1,112,730.33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-792,894.67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213,192,006.41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50,159,680.27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20"/>
                <w:szCs w:val="20"/>
              </w:rPr>
            </w:pPr>
            <w:r>
              <w:rPr>
                <w:color w:val="000000"/>
                <w:spacing w:val="0"/>
                <w:w w:val="100"/>
                <w:position w:val="0"/>
                <w:sz w:val="20"/>
                <w:szCs w:val="20"/>
              </w:rPr>
              <w:t>加：期初现金及现金等价物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258,772,293.84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208,612,613.57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471,964,300.25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258,772,293.84</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6</w:t>
      </w:r>
      <w:bookmarkEnd w:id="711"/>
      <w:r>
        <w:rPr>
          <w:color w:val="000000"/>
          <w:spacing w:val="0"/>
          <w:w w:val="100"/>
          <w:position w:val="0"/>
        </w:rPr>
        <w:t>、母公司现金流量表</w:t>
      </w:r>
      <w:bookmarkEnd w:id="709"/>
      <w:bookmarkEnd w:id="710"/>
      <w:bookmarkEnd w:id="7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销售商品、提供劳务收到的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702,614,929.97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242,511,212.49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26,807,152.78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3,749,342.98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20"/>
                <w:szCs w:val="20"/>
              </w:rPr>
            </w:pPr>
            <w:r>
              <w:rPr>
                <w:color w:val="000000"/>
                <w:spacing w:val="0"/>
                <w:w w:val="100"/>
                <w:position w:val="0"/>
                <w:sz w:val="20"/>
                <w:szCs w:val="20"/>
              </w:rPr>
              <w:t>收到其他与经营活动有关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47,637,287.85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40,055,413.99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777,059,370.60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286,315,969.46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20"/>
                <w:szCs w:val="20"/>
              </w:rPr>
            </w:pPr>
            <w:r>
              <w:rPr>
                <w:color w:val="000000"/>
                <w:spacing w:val="0"/>
                <w:w w:val="100"/>
                <w:position w:val="0"/>
                <w:sz w:val="20"/>
                <w:szCs w:val="20"/>
              </w:rPr>
              <w:t>购买商品、接受劳务支付的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361,983,676.22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135,341,201.49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支付给职工以及为职工支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115,271,053.19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88,932,385.62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26,117,635.76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3,078,928.70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20"/>
                <w:szCs w:val="20"/>
              </w:rPr>
            </w:pPr>
            <w:r>
              <w:rPr>
                <w:color w:val="000000"/>
                <w:spacing w:val="0"/>
                <w:w w:val="100"/>
                <w:position w:val="0"/>
                <w:sz w:val="20"/>
                <w:szCs w:val="20"/>
              </w:rPr>
              <w:t>支付其他与经营活动有关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98,437,282.72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51,968,805.85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601,809,647.89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279,321,321.66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175,249,722.71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6,994,647.80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230,083,512.20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109,500,000.00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1,509,494.48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1,123,963.23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处置固定资产、无形资产和 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20"/>
                <w:szCs w:val="20"/>
              </w:rPr>
            </w:pPr>
            <w:r>
              <w:rPr>
                <w:color w:val="000000"/>
                <w:spacing w:val="0"/>
                <w:w w:val="100"/>
                <w:position w:val="0"/>
                <w:sz w:val="20"/>
                <w:szCs w:val="2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收到其他与投资活动有关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439,882,232.25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236,395,490.21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671,829,949.37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347,021,068.78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购建固定资产、无形资产和 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89,890,212.17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46,413,420.52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239,696,892.20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115,878,570.00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20"/>
                <w:szCs w:val="20"/>
              </w:rPr>
            </w:pPr>
            <w:r>
              <w:rPr>
                <w:color w:val="000000"/>
                <w:spacing w:val="0"/>
                <w:w w:val="100"/>
                <w:position w:val="0"/>
                <w:sz w:val="20"/>
                <w:szCs w:val="20"/>
              </w:rPr>
              <w:t>取得子公司及其他营业单 位支付的现金净额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20"/>
                <w:szCs w:val="20"/>
              </w:rPr>
            </w:pPr>
            <w:r>
              <w:rPr>
                <w:color w:val="000000"/>
                <w:spacing w:val="0"/>
                <w:w w:val="100"/>
                <w:position w:val="0"/>
                <w:sz w:val="20"/>
                <w:szCs w:val="20"/>
              </w:rPr>
              <w:t>支付其他与投资活动有关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462,866,744.60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147,220,303.59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792,453,848.97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309,512,294.11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-120,623,899.60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37,508,774.67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213,781,368.50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450,000,000.00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20"/>
                <w:szCs w:val="20"/>
              </w:rPr>
            </w:pPr>
            <w:r>
              <w:rPr>
                <w:color w:val="000000"/>
                <w:spacing w:val="0"/>
                <w:w w:val="100"/>
                <w:position w:val="0"/>
                <w:sz w:val="20"/>
                <w:szCs w:val="20"/>
              </w:rPr>
              <w:t>收到其他与筹资活动有关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333,781,368.50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20"/>
                <w:szCs w:val="20"/>
              </w:rPr>
            </w:pPr>
            <w:r>
              <w:rPr>
                <w:color w:val="000000"/>
                <w:spacing w:val="0"/>
                <w:w w:val="100"/>
                <w:position w:val="0"/>
                <w:sz w:val="20"/>
                <w:szCs w:val="20"/>
              </w:rPr>
              <w:t>分配股利、利润或偿付利息 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22,296,021.79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22,321,366.64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60"/>
              <w:jc w:val="both"/>
              <w:rPr>
                <w:sz w:val="20"/>
                <w:szCs w:val="20"/>
              </w:rPr>
            </w:pPr>
            <w:r>
              <w:rPr>
                <w:color w:val="000000"/>
                <w:spacing w:val="0"/>
                <w:w w:val="100"/>
                <w:position w:val="0"/>
                <w:sz w:val="20"/>
                <w:szCs w:val="20"/>
              </w:rPr>
              <w:t>支付其他与筹资活动有关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5,988,489.68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20,034,350.80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168,284,511.47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422,355,717.44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165,496,857.03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27,644,282.56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四、汇率变动对现金及现金等价 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-653,915.11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-96,346.53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219,468,765.03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72,051,358.50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20"/>
                <w:szCs w:val="20"/>
              </w:rPr>
            </w:pPr>
            <w:r>
              <w:rPr>
                <w:color w:val="000000"/>
                <w:spacing w:val="0"/>
                <w:w w:val="100"/>
                <w:position w:val="0"/>
                <w:sz w:val="20"/>
                <w:szCs w:val="20"/>
              </w:rPr>
              <w:t>加：期初现金及现金等价物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204,546,658.10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132,495,299.60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424,015,423.13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204,546,658.10</w:t>
            </w:r>
          </w:p>
        </w:tc>
      </w:tr>
    </w:tbl>
    <w:p>
      <w:pPr>
        <w:sectPr>
          <w:footnotePr>
            <w:pos w:val="pageBottom"/>
            <w:numFmt w:val="decimal"/>
            <w:numRestart w:val="continuous"/>
          </w:footnotePr>
          <w:type w:val="continuous"/>
          <w:pgSz w:w="11900" w:h="16840"/>
          <w:pgMar w:top="1433" w:right="1130" w:bottom="1469" w:left="1089" w:header="0" w:footer="3" w:gutter="0"/>
          <w:cols w:space="720"/>
          <w:noEndnote/>
          <w:rtlGutter w:val="0"/>
          <w:docGrid w:linePitch="360"/>
        </w:sectPr>
      </w:pP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1900" w:h="16840"/>
          <w:pgMar w:top="1152" w:right="0" w:bottom="1369" w:left="0" w:header="0" w:footer="3" w:gutter="0"/>
          <w:cols w:space="720"/>
          <w:noEndnote/>
          <w:rtlGutter w:val="0"/>
          <w:docGrid w:linePitch="360"/>
        </w:sectPr>
      </w:pPr>
    </w:p>
    <w:p>
      <w:pPr>
        <w:pStyle w:val="Style13"/>
        <w:keepNext w:val="0"/>
        <w:keepLines w:val="0"/>
        <w:framePr w:w="2107" w:h="278" w:wrap="none" w:vAnchor="text" w:hAnchor="page" w:x="1087" w:y="21"/>
        <w:widowControl w:val="0"/>
        <w:shd w:val="clear" w:color="auto" w:fill="auto"/>
        <w:bidi w:val="0"/>
        <w:spacing w:before="0" w:after="0" w:line="240" w:lineRule="auto"/>
        <w:ind w:left="0" w:right="0" w:firstLine="0"/>
        <w:jc w:val="left"/>
      </w:pPr>
      <w:r>
        <w:rPr>
          <w:color w:val="000000"/>
          <w:spacing w:val="0"/>
          <w:w w:val="100"/>
          <w:position w:val="0"/>
        </w:rPr>
        <w:t>法定代表人：孙迎彤</w:t>
      </w:r>
    </w:p>
    <w:p>
      <w:pPr>
        <w:pStyle w:val="Style13"/>
        <w:keepNext w:val="0"/>
        <w:keepLines w:val="0"/>
        <w:framePr w:w="2784" w:h="283" w:wrap="none" w:vAnchor="text" w:hAnchor="page" w:x="4423" w:y="21"/>
        <w:widowControl w:val="0"/>
        <w:shd w:val="clear" w:color="auto" w:fill="auto"/>
        <w:bidi w:val="0"/>
        <w:spacing w:before="0" w:after="0" w:line="240" w:lineRule="auto"/>
        <w:ind w:left="0" w:right="0" w:firstLine="0"/>
        <w:jc w:val="center"/>
      </w:pPr>
      <w:r>
        <w:rPr>
          <w:color w:val="000000"/>
          <w:spacing w:val="0"/>
          <w:w w:val="100"/>
          <w:position w:val="0"/>
        </w:rPr>
        <w:t>主管会计工作负责人：徐辉</w:t>
      </w:r>
    </w:p>
    <w:p>
      <w:pPr>
        <w:pStyle w:val="Style13"/>
        <w:keepNext w:val="0"/>
        <w:keepLines w:val="0"/>
        <w:framePr w:w="2563" w:h="283" w:wrap="none" w:vAnchor="text" w:hAnchor="page" w:x="8201" w:y="21"/>
        <w:widowControl w:val="0"/>
        <w:shd w:val="clear" w:color="auto" w:fill="auto"/>
        <w:bidi w:val="0"/>
        <w:spacing w:before="0" w:after="0" w:line="240" w:lineRule="auto"/>
        <w:ind w:left="0" w:right="0" w:firstLine="0"/>
        <w:jc w:val="left"/>
      </w:pPr>
      <w:r>
        <w:rPr>
          <w:color w:val="000000"/>
          <w:spacing w:val="0"/>
          <w:w w:val="100"/>
          <w:position w:val="0"/>
        </w:rPr>
        <w:t>会计机构负责人：余永德</w:t>
      </w:r>
    </w:p>
    <w:p>
      <w:pPr>
        <w:widowControl w:val="0"/>
        <w:spacing w:after="282" w:line="1" w:lineRule="exact"/>
      </w:pPr>
    </w:p>
    <w:p>
      <w:pPr>
        <w:widowControl w:val="0"/>
        <w:spacing w:line="1" w:lineRule="exact"/>
        <w:sectPr>
          <w:footnotePr>
            <w:pos w:val="pageBottom"/>
            <w:numFmt w:val="decimal"/>
            <w:numRestart w:val="continuous"/>
          </w:footnotePr>
          <w:type w:val="continuous"/>
          <w:pgSz w:w="11900" w:h="16840"/>
          <w:pgMar w:top="1152" w:right="1114" w:bottom="1369" w:left="1109" w:header="0" w:footer="3" w:gutter="0"/>
          <w:cols w:space="720"/>
          <w:noEndnote/>
          <w:rtlGutter w:val="0"/>
          <w:docGrid w:linePitch="360"/>
        </w:sectPr>
      </w:pPr>
    </w:p>
    <w:p>
      <w:pPr>
        <w:pStyle w:val="Style37"/>
        <w:keepNext/>
        <w:keepLines/>
        <w:widowControl w:val="0"/>
        <w:shd w:val="clear" w:color="auto" w:fill="auto"/>
        <w:bidi w:val="0"/>
        <w:spacing w:before="0" w:after="420" w:line="240" w:lineRule="auto"/>
        <w:ind w:left="0" w:right="0" w:firstLine="92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7</w:t>
      </w:r>
      <w:bookmarkEnd w:id="715"/>
      <w:r>
        <w:rPr>
          <w:color w:val="000000"/>
          <w:spacing w:val="0"/>
          <w:w w:val="100"/>
          <w:position w:val="0"/>
        </w:rPr>
        <w:t>、合并所有者权益变动表</w:t>
      </w:r>
      <w:bookmarkEnd w:id="713"/>
      <w:bookmarkEnd w:id="714"/>
      <w:bookmarkEnd w:id="716"/>
    </w:p>
    <w:p>
      <w:pPr>
        <w:pStyle w:val="Style13"/>
        <w:keepNext w:val="0"/>
        <w:keepLines w:val="0"/>
        <w:widowControl w:val="0"/>
        <w:shd w:val="clear" w:color="auto" w:fill="auto"/>
        <w:bidi w:val="0"/>
        <w:spacing w:before="0" w:after="180" w:line="240" w:lineRule="auto"/>
        <w:ind w:left="0" w:right="0" w:firstLine="920"/>
        <w:jc w:val="left"/>
      </w:pPr>
      <w:r>
        <w:rPr>
          <w:color w:val="000000"/>
          <w:spacing w:val="0"/>
          <w:w w:val="100"/>
          <w:position w:val="0"/>
        </w:rPr>
        <w:t>本期金额</w:t>
      </w:r>
    </w:p>
    <w:p>
      <w:pPr>
        <w:pStyle w:val="Style13"/>
        <w:keepNext w:val="0"/>
        <w:keepLines w:val="0"/>
        <w:widowControl w:val="0"/>
        <w:shd w:val="clear" w:color="auto" w:fill="auto"/>
        <w:bidi w:val="0"/>
        <w:spacing w:before="0" w:after="60" w:line="240" w:lineRule="auto"/>
        <w:ind w:left="1392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854"/>
        <w:gridCol w:w="1277"/>
        <w:gridCol w:w="466"/>
        <w:gridCol w:w="384"/>
        <w:gridCol w:w="346"/>
        <w:gridCol w:w="1358"/>
        <w:gridCol w:w="1277"/>
        <w:gridCol w:w="1272"/>
        <w:gridCol w:w="1152"/>
        <w:gridCol w:w="1133"/>
        <w:gridCol w:w="586"/>
        <w:gridCol w:w="1382"/>
        <w:gridCol w:w="283"/>
        <w:gridCol w:w="1421"/>
        <w:gridCol w:w="1272"/>
        <w:gridCol w:w="135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一、上年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2,071,515,680.86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134,274,200.28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-1,632,336,889.59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1,199,628,882.39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-110,236,872.48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1,089,392,009.91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同一控制 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二、本年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2,071,515,680.86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134,274,200.28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-1,632,336,889.59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1,199,628,882.39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-110,236,872.48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1,089,392,009.91</w:t>
            </w: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三、本期 增减变动 金额（减 少以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35,031,000.00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305,813,137.51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213,689,100.00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-3,054,735.79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218,975,957.10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343,076,258.82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119,099,184.27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462,175,443.09</w:t>
            </w:r>
          </w:p>
        </w:tc>
      </w:tr>
    </w:tbl>
    <w:p>
      <w:pPr>
        <w:sectPr>
          <w:footnotePr>
            <w:pos w:val="pageBottom"/>
            <w:numFmt w:val="decimal"/>
            <w:numRestart w:val="continuous"/>
          </w:footnotePr>
          <w:pgSz w:w="16840" w:h="11900" w:orient="landscape"/>
          <w:pgMar w:top="1179" w:right="509" w:bottom="1361" w:left="514" w:header="0" w:footer="3" w:gutter="0"/>
          <w:cols w:space="720"/>
          <w:noEndnote/>
          <w:rtlGutter w:val="0"/>
          <w:docGrid w:linePitch="360"/>
        </w:sectPr>
      </w:pPr>
    </w:p>
    <w:p>
      <w:pPr>
        <w:pStyle w:val="Style40"/>
        <w:keepNext/>
        <w:keepLines/>
        <w:widowControl w:val="0"/>
        <w:shd w:val="clear" w:color="auto" w:fill="auto"/>
        <w:bidi w:val="0"/>
        <w:spacing w:before="0" w:after="0" w:line="240" w:lineRule="auto"/>
        <w:ind w:left="0" w:right="0" w:firstLine="980"/>
        <w:jc w:val="left"/>
      </w:pPr>
      <w:bookmarkStart w:id="717" w:name="bookmark717"/>
      <w:bookmarkStart w:id="718" w:name="bookmark718"/>
      <w:bookmarkStart w:id="719" w:name="bookmark719"/>
      <w:r>
        <w:rPr>
          <w:spacing w:val="0"/>
          <w:w w:val="100"/>
          <w:position w:val="0"/>
        </w:rPr>
        <w:t>Nation 0</w:t>
      </w:r>
      <w:bookmarkEnd w:id="717"/>
      <w:bookmarkEnd w:id="718"/>
      <w:bookmarkEnd w:id="719"/>
    </w:p>
    <w:p>
      <w:pPr>
        <w:pStyle w:val="Style5"/>
        <w:keepNext w:val="0"/>
        <w:keepLines w:val="0"/>
        <w:widowControl w:val="0"/>
        <w:shd w:val="clear" w:color="auto" w:fill="auto"/>
        <w:bidi w:val="0"/>
        <w:spacing w:before="0" w:after="100" w:line="240" w:lineRule="auto"/>
        <w:ind w:left="1540" w:right="0" w:firstLine="0"/>
        <w:jc w:val="left"/>
      </w:pPr>
      <w:r>
        <w:rPr>
          <w:color w:val="000000"/>
          <w:spacing w:val="0"/>
          <w:w w:val="100"/>
          <w:position w:val="0"/>
        </w:rPr>
        <w:t>国民技木〜</w:t>
      </w:r>
    </w:p>
    <w:tbl>
      <w:tblPr>
        <w:tblOverlap w:val="never"/>
        <w:jc w:val="center"/>
        <w:tblLayout w:type="fixed"/>
      </w:tblPr>
      <w:tblGrid>
        <w:gridCol w:w="854"/>
        <w:gridCol w:w="1277"/>
        <w:gridCol w:w="466"/>
        <w:gridCol w:w="384"/>
        <w:gridCol w:w="346"/>
        <w:gridCol w:w="1358"/>
        <w:gridCol w:w="1277"/>
        <w:gridCol w:w="1272"/>
        <w:gridCol w:w="1152"/>
        <w:gridCol w:w="1133"/>
        <w:gridCol w:w="586"/>
        <w:gridCol w:w="1382"/>
        <w:gridCol w:w="283"/>
        <w:gridCol w:w="1421"/>
        <w:gridCol w:w="1272"/>
        <w:gridCol w:w="1354"/>
      </w:tblGrid>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89" w:lineRule="exact"/>
              <w:ind w:left="0" w:right="0" w:firstLine="0"/>
              <w:jc w:val="both"/>
              <w:rPr>
                <w:sz w:val="17"/>
                <w:szCs w:val="17"/>
              </w:rPr>
            </w:pPr>
            <w:r>
              <w:rPr>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（一）综</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合收益总</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-3,054,735.79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218,975,957.10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215,921,221.31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-3,778,993.84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212,142,227.47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 有者投入 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305,813,137.51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213,689,100.00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127,155,037.51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122,878,178.11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250,033,215.62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投入的普</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178,658,100.00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213,689,100.00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242,689,100.00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益工具持</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94,576,357.35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213,689,100.00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-119,112,742.65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-119,112,742.65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32,578,680.16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32,578,680.16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93,878,178.11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126,456,858.27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 般风险准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310" w:right="509" w:bottom="1361" w:left="514" w:header="0" w:footer="3" w:gutter="0"/>
          <w:cols w:space="720"/>
          <w:noEndnote/>
          <w:rtlGutter w:val="0"/>
          <w:docGrid w:linePitch="360"/>
        </w:sectPr>
      </w:pPr>
    </w:p>
    <w:p>
      <w:pPr>
        <w:pStyle w:val="Style40"/>
        <w:keepNext/>
        <w:keepLines/>
        <w:widowControl w:val="0"/>
        <w:shd w:val="clear" w:color="auto" w:fill="auto"/>
        <w:bidi w:val="0"/>
        <w:spacing w:before="0" w:after="0" w:line="240" w:lineRule="auto"/>
        <w:ind w:left="0" w:right="0" w:firstLine="980"/>
        <w:jc w:val="left"/>
      </w:pPr>
      <w:bookmarkStart w:id="720" w:name="bookmark720"/>
      <w:bookmarkStart w:id="721" w:name="bookmark721"/>
      <w:bookmarkStart w:id="722" w:name="bookmark722"/>
      <w:r>
        <w:rPr>
          <w:spacing w:val="0"/>
          <w:w w:val="100"/>
          <w:position w:val="0"/>
        </w:rPr>
        <w:t>Nation 0</w:t>
      </w:r>
      <w:bookmarkEnd w:id="720"/>
      <w:bookmarkEnd w:id="721"/>
      <w:bookmarkEnd w:id="722"/>
    </w:p>
    <w:p>
      <w:pPr>
        <w:pStyle w:val="Style5"/>
        <w:keepNext w:val="0"/>
        <w:keepLines w:val="0"/>
        <w:widowControl w:val="0"/>
        <w:shd w:val="clear" w:color="auto" w:fill="auto"/>
        <w:bidi w:val="0"/>
        <w:spacing w:before="0" w:after="100" w:line="240" w:lineRule="auto"/>
        <w:ind w:left="1540" w:right="0" w:firstLine="0"/>
        <w:jc w:val="left"/>
      </w:pPr>
      <w:r>
        <w:rPr>
          <w:color w:val="000000"/>
          <w:spacing w:val="0"/>
          <w:w w:val="100"/>
          <w:position w:val="0"/>
        </w:rPr>
        <w:t>国民技木〜</w:t>
      </w:r>
    </w:p>
    <w:tbl>
      <w:tblPr>
        <w:tblOverlap w:val="never"/>
        <w:jc w:val="center"/>
        <w:tblLayout w:type="fixed"/>
      </w:tblPr>
      <w:tblGrid>
        <w:gridCol w:w="854"/>
        <w:gridCol w:w="1277"/>
        <w:gridCol w:w="466"/>
        <w:gridCol w:w="384"/>
        <w:gridCol w:w="346"/>
        <w:gridCol w:w="1358"/>
        <w:gridCol w:w="1277"/>
        <w:gridCol w:w="1272"/>
        <w:gridCol w:w="1152"/>
        <w:gridCol w:w="1133"/>
        <w:gridCol w:w="586"/>
        <w:gridCol w:w="1382"/>
        <w:gridCol w:w="283"/>
        <w:gridCol w:w="1421"/>
        <w:gridCol w:w="1272"/>
        <w:gridCol w:w="1354"/>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者（或股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东）的分</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积转增资</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本（或股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积转增资</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本（或股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积弥补亏</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合收益结</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310" w:right="509" w:bottom="1361" w:left="514" w:header="0" w:footer="3" w:gutter="0"/>
          <w:cols w:space="720"/>
          <w:noEndnote/>
          <w:rtlGutter w:val="0"/>
          <w:docGrid w:linePitch="360"/>
        </w:sectPr>
      </w:pPr>
    </w:p>
    <w:p>
      <w:pPr>
        <w:pStyle w:val="Style40"/>
        <w:keepNext/>
        <w:keepLines/>
        <w:widowControl w:val="0"/>
        <w:shd w:val="clear" w:color="auto" w:fill="auto"/>
        <w:bidi w:val="0"/>
        <w:spacing w:before="0" w:after="0" w:line="240" w:lineRule="auto"/>
        <w:ind w:left="0" w:right="0" w:firstLine="980"/>
        <w:jc w:val="left"/>
      </w:pPr>
      <w:bookmarkStart w:id="723" w:name="bookmark723"/>
      <w:bookmarkStart w:id="724" w:name="bookmark724"/>
      <w:bookmarkStart w:id="725" w:name="bookmark725"/>
      <w:r>
        <w:rPr>
          <w:spacing w:val="0"/>
          <w:w w:val="100"/>
          <w:position w:val="0"/>
        </w:rPr>
        <w:t>Nation 0</w:t>
      </w:r>
      <w:bookmarkEnd w:id="723"/>
      <w:bookmarkEnd w:id="724"/>
      <w:bookmarkEnd w:id="725"/>
    </w:p>
    <w:p>
      <w:pPr>
        <w:pStyle w:val="Style5"/>
        <w:keepNext w:val="0"/>
        <w:keepLines w:val="0"/>
        <w:widowControl w:val="0"/>
        <w:shd w:val="clear" w:color="auto" w:fill="auto"/>
        <w:bidi w:val="0"/>
        <w:spacing w:before="0" w:after="100" w:line="240" w:lineRule="auto"/>
        <w:ind w:left="1540" w:right="0" w:firstLine="0"/>
        <w:jc w:val="left"/>
      </w:pPr>
      <w:r>
        <w:rPr>
          <w:color w:val="000000"/>
          <w:spacing w:val="0"/>
          <w:w w:val="100"/>
          <w:position w:val="0"/>
        </w:rPr>
        <w:t>国民技木〜</w:t>
      </w:r>
    </w:p>
    <w:tbl>
      <w:tblPr>
        <w:tblOverlap w:val="never"/>
        <w:jc w:val="center"/>
        <w:tblLayout w:type="fixed"/>
      </w:tblPr>
      <w:tblGrid>
        <w:gridCol w:w="854"/>
        <w:gridCol w:w="1277"/>
        <w:gridCol w:w="466"/>
        <w:gridCol w:w="384"/>
        <w:gridCol w:w="346"/>
        <w:gridCol w:w="1358"/>
        <w:gridCol w:w="1277"/>
        <w:gridCol w:w="1272"/>
        <w:gridCol w:w="1152"/>
        <w:gridCol w:w="1133"/>
        <w:gridCol w:w="586"/>
        <w:gridCol w:w="1382"/>
        <w:gridCol w:w="283"/>
        <w:gridCol w:w="1421"/>
        <w:gridCol w:w="1272"/>
        <w:gridCol w:w="1354"/>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2,590,777.77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2,590,777.77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2,590,777.77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2,590,777.77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2,590,777.77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2,590,777.77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四、本期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592,646,000.00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2,377,328,818.37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213,689,100.00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131,219,464.49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-1,413,360,932.49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1,542,705,141.21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8,862,311.79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1,551,567,453.00</w:t>
            </w:r>
          </w:p>
        </w:tc>
      </w:tr>
    </w:tbl>
    <w:p>
      <w:pPr>
        <w:sectPr>
          <w:footnotePr>
            <w:pos w:val="pageBottom"/>
            <w:numFmt w:val="decimal"/>
            <w:numRestart w:val="continuous"/>
          </w:footnotePr>
          <w:pgSz w:w="16840" w:h="11900" w:orient="landscape"/>
          <w:pgMar w:top="310" w:right="509" w:bottom="1361" w:left="514" w:header="0" w:footer="3" w:gutter="0"/>
          <w:cols w:space="720"/>
          <w:noEndnote/>
          <w:rtlGutter w:val="0"/>
          <w:docGrid w:linePitch="360"/>
        </w:sectPr>
      </w:pPr>
    </w:p>
    <w:p>
      <w:pPr>
        <w:pStyle w:val="Style13"/>
        <w:keepNext w:val="0"/>
        <w:keepLines w:val="0"/>
        <w:widowControl w:val="0"/>
        <w:shd w:val="clear" w:color="auto" w:fill="auto"/>
        <w:bidi w:val="0"/>
        <w:spacing w:before="0" w:after="180" w:line="240" w:lineRule="auto"/>
        <w:ind w:left="0" w:right="0" w:firstLine="740"/>
        <w:jc w:val="left"/>
      </w:pPr>
      <w:r>
        <w:rPr>
          <w:color w:val="000000"/>
          <w:spacing w:val="0"/>
          <w:w w:val="100"/>
          <w:position w:val="0"/>
        </w:rPr>
        <w:t>上期金额</w:t>
      </w:r>
    </w:p>
    <w:p>
      <w:pPr>
        <w:pStyle w:val="Style13"/>
        <w:keepNext w:val="0"/>
        <w:keepLines w:val="0"/>
        <w:widowControl w:val="0"/>
        <w:shd w:val="clear" w:color="auto" w:fill="auto"/>
        <w:bidi w:val="0"/>
        <w:spacing w:before="0" w:after="60" w:line="240" w:lineRule="auto"/>
        <w:ind w:left="1376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854"/>
        <w:gridCol w:w="1277"/>
        <w:gridCol w:w="427"/>
        <w:gridCol w:w="566"/>
        <w:gridCol w:w="283"/>
        <w:gridCol w:w="1416"/>
        <w:gridCol w:w="427"/>
        <w:gridCol w:w="1277"/>
        <w:gridCol w:w="994"/>
        <w:gridCol w:w="1133"/>
        <w:gridCol w:w="576"/>
        <w:gridCol w:w="1406"/>
        <w:gridCol w:w="566"/>
        <w:gridCol w:w="1421"/>
        <w:gridCol w:w="1272"/>
        <w:gridCol w:w="15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一、上年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2,071,515,680.86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125,726,727.42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-1,643,571,660.13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1,179,846,638.99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-92,376,114.00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1,087,470,524.99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同一控制 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二、本年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2,071,515,680.86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125,726,727.42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-1,643,571,660.13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1,179,846,638.99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-92,376,114.00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1,087,470,524.99</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三、本期 增减变动 金额（减 少以</w:t>
            </w:r>
          </w:p>
          <w:p>
            <w:pPr>
              <w:pStyle w:val="Style2"/>
              <w:keepNext w:val="0"/>
              <w:keepLines w:val="0"/>
              <w:widowControl w:val="0"/>
              <w:shd w:val="clear" w:color="auto" w:fill="auto"/>
              <w:bidi w:val="0"/>
              <w:spacing w:before="0" w:after="0" w:line="389" w:lineRule="exact"/>
              <w:ind w:left="0" w:right="0" w:firstLine="0"/>
              <w:jc w:val="both"/>
              <w:rPr>
                <w:sz w:val="17"/>
                <w:szCs w:val="17"/>
              </w:rPr>
            </w:pPr>
            <w:r>
              <w:rPr>
                <w:color w:val="000000"/>
                <w:spacing w:val="0"/>
                <w:w w:val="100"/>
                <w:position w:val="0"/>
                <w:sz w:val="17"/>
                <w:szCs w:val="17"/>
              </w:rPr>
              <w:t>，，—，，号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8,547,472.86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11,234,770.54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19,782,243.40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-17,860,758.48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1,921,484.92</w:t>
            </w:r>
          </w:p>
        </w:tc>
      </w:tr>
    </w:tbl>
    <w:p>
      <w:pPr>
        <w:sectPr>
          <w:footnotePr>
            <w:pos w:val="pageBottom"/>
            <w:numFmt w:val="decimal"/>
            <w:numRestart w:val="continuous"/>
          </w:footnotePr>
          <w:pgSz w:w="16840" w:h="11900" w:orient="landscape"/>
          <w:pgMar w:top="1261" w:right="687" w:bottom="1361" w:left="687" w:header="0" w:footer="3" w:gutter="0"/>
          <w:cols w:space="720"/>
          <w:noEndnote/>
          <w:rtlGutter w:val="0"/>
          <w:docGrid w:linePitch="360"/>
        </w:sectPr>
      </w:pPr>
    </w:p>
    <w:p>
      <w:pPr>
        <w:widowControl w:val="0"/>
        <w:jc w:val="left"/>
        <w:rPr>
          <w:sz w:val="2"/>
          <w:szCs w:val="2"/>
        </w:rPr>
      </w:pPr>
      <w:r>
        <w:drawing>
          <wp:inline>
            <wp:extent cx="1932305" cy="51181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a:stretch/>
                  </pic:blipFill>
                  <pic:spPr>
                    <a:xfrm>
                      <a:ext cx="1932305" cy="511810"/>
                    </a:xfrm>
                    <a:prstGeom prst="rect"/>
                  </pic:spPr>
                </pic:pic>
              </a:graphicData>
            </a:graphic>
          </wp:inline>
        </w:drawing>
      </w:r>
    </w:p>
    <w:tbl>
      <w:tblPr>
        <w:tblOverlap w:val="never"/>
        <w:jc w:val="center"/>
        <w:tblLayout w:type="fixed"/>
      </w:tblPr>
      <w:tblGrid>
        <w:gridCol w:w="854"/>
        <w:gridCol w:w="1277"/>
        <w:gridCol w:w="427"/>
        <w:gridCol w:w="566"/>
        <w:gridCol w:w="283"/>
        <w:gridCol w:w="1416"/>
        <w:gridCol w:w="427"/>
        <w:gridCol w:w="1277"/>
        <w:gridCol w:w="994"/>
        <w:gridCol w:w="1133"/>
        <w:gridCol w:w="576"/>
        <w:gridCol w:w="1406"/>
        <w:gridCol w:w="566"/>
        <w:gridCol w:w="1421"/>
        <w:gridCol w:w="1272"/>
        <w:gridCol w:w="1570"/>
      </w:tblGrid>
      <w:tr>
        <w:trPr>
          <w:trHeight w:val="10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（一）综</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合收益总</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8,547,472.86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11,234,770.54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19,782,243.40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-17,769,834.88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2,012,408.52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 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投入的普</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益工具持</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般风险准</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272" w:right="687" w:bottom="1361" w:left="687" w:header="0" w:footer="3" w:gutter="0"/>
          <w:cols w:space="720"/>
          <w:noEndnote/>
          <w:rtlGutter w:val="0"/>
          <w:docGrid w:linePitch="360"/>
        </w:sectPr>
      </w:pPr>
    </w:p>
    <w:p>
      <w:pPr>
        <w:widowControl w:val="0"/>
        <w:jc w:val="left"/>
        <w:rPr>
          <w:sz w:val="2"/>
          <w:szCs w:val="2"/>
        </w:rPr>
      </w:pPr>
      <w:r>
        <w:drawing>
          <wp:inline>
            <wp:extent cx="1932305" cy="51181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3"/>
                    <a:stretch/>
                  </pic:blipFill>
                  <pic:spPr>
                    <a:xfrm>
                      <a:ext cx="1932305" cy="511810"/>
                    </a:xfrm>
                    <a:prstGeom prst="rect"/>
                  </pic:spPr>
                </pic:pic>
              </a:graphicData>
            </a:graphic>
          </wp:inline>
        </w:drawing>
      </w:r>
    </w:p>
    <w:tbl>
      <w:tblPr>
        <w:tblOverlap w:val="never"/>
        <w:jc w:val="center"/>
        <w:tblLayout w:type="fixed"/>
      </w:tblPr>
      <w:tblGrid>
        <w:gridCol w:w="854"/>
        <w:gridCol w:w="1277"/>
        <w:gridCol w:w="427"/>
        <w:gridCol w:w="566"/>
        <w:gridCol w:w="283"/>
        <w:gridCol w:w="1416"/>
        <w:gridCol w:w="427"/>
        <w:gridCol w:w="1277"/>
        <w:gridCol w:w="994"/>
        <w:gridCol w:w="1133"/>
        <w:gridCol w:w="576"/>
        <w:gridCol w:w="1406"/>
        <w:gridCol w:w="566"/>
        <w:gridCol w:w="1421"/>
        <w:gridCol w:w="1272"/>
        <w:gridCol w:w="1570"/>
      </w:tblGrid>
      <w:tr>
        <w:trPr>
          <w:trHeight w:val="13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者（或股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东）的分</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积转增资</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本（或股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积转增资</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本（或股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积弥补亏</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合收益结</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转留存收</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272" w:right="687" w:bottom="1361" w:left="687" w:header="0" w:footer="3" w:gutter="0"/>
          <w:cols w:space="720"/>
          <w:noEndnote/>
          <w:rtlGutter w:val="0"/>
          <w:docGrid w:linePitch="360"/>
        </w:sectPr>
      </w:pPr>
    </w:p>
    <w:tbl>
      <w:tblPr>
        <w:tblOverlap w:val="never"/>
        <w:jc w:val="center"/>
        <w:tblLayout w:type="fixed"/>
      </w:tblPr>
      <w:tblGrid>
        <w:gridCol w:w="854"/>
        <w:gridCol w:w="1277"/>
        <w:gridCol w:w="427"/>
        <w:gridCol w:w="566"/>
        <w:gridCol w:w="283"/>
        <w:gridCol w:w="1416"/>
        <w:gridCol w:w="427"/>
        <w:gridCol w:w="1277"/>
        <w:gridCol w:w="994"/>
        <w:gridCol w:w="1133"/>
        <w:gridCol w:w="576"/>
        <w:gridCol w:w="1406"/>
        <w:gridCol w:w="566"/>
        <w:gridCol w:w="1421"/>
        <w:gridCol w:w="1272"/>
        <w:gridCol w:w="1570"/>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727,673.58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727,673.58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-90,923.60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四、本期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2,071,515,680.86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134,274,200.28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-1,632,336,889.59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1,199,628,882.39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-110,236,872.48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1,089,392,009.91</w:t>
            </w:r>
          </w:p>
        </w:tc>
      </w:tr>
    </w:tbl>
    <w:p>
      <w:pPr>
        <w:sectPr>
          <w:footnotePr>
            <w:pos w:val="pageBottom"/>
            <w:numFmt w:val="decimal"/>
            <w:numRestart w:val="continuous"/>
          </w:footnotePr>
          <w:pgSz w:w="16840" w:h="11900" w:orient="landscape"/>
          <w:pgMar w:top="1102" w:right="687" w:bottom="1361" w:left="687" w:header="0" w:footer="3" w:gutter="0"/>
          <w:cols w:space="720"/>
          <w:noEndnote/>
          <w:rtlGutter w:val="0"/>
          <w:docGrid w:linePitch="360"/>
        </w:sectPr>
      </w:pPr>
    </w:p>
    <w:p>
      <w:pPr>
        <w:widowControl w:val="0"/>
        <w:jc w:val="left"/>
        <w:rPr>
          <w:sz w:val="2"/>
          <w:szCs w:val="2"/>
        </w:rPr>
      </w:pPr>
      <w:r>
        <w:drawing>
          <wp:inline>
            <wp:extent cx="1932305" cy="51181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5"/>
                    <a:stretch/>
                  </pic:blipFill>
                  <pic:spPr>
                    <a:xfrm>
                      <a:ext cx="1932305" cy="511810"/>
                    </a:xfrm>
                    <a:prstGeom prst="rect"/>
                  </pic:spPr>
                </pic:pic>
              </a:graphicData>
            </a:graphic>
          </wp:inline>
        </w:drawing>
      </w:r>
    </w:p>
    <w:p>
      <w:pPr>
        <w:widowControl w:val="0"/>
        <w:spacing w:after="359" w:line="1" w:lineRule="exact"/>
      </w:pPr>
    </w:p>
    <w:p>
      <w:pPr>
        <w:pStyle w:val="Style37"/>
        <w:keepNext/>
        <w:keepLines/>
        <w:widowControl w:val="0"/>
        <w:shd w:val="clear" w:color="auto" w:fill="auto"/>
        <w:bidi w:val="0"/>
        <w:spacing w:before="0" w:after="440" w:line="240" w:lineRule="auto"/>
        <w:ind w:left="0" w:right="0" w:firstLine="68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8</w:t>
      </w:r>
      <w:bookmarkEnd w:id="728"/>
      <w:r>
        <w:rPr>
          <w:color w:val="000000"/>
          <w:spacing w:val="0"/>
          <w:w w:val="100"/>
          <w:position w:val="0"/>
        </w:rPr>
        <w:t>、母公司所有者权益变动表</w:t>
      </w:r>
      <w:bookmarkEnd w:id="726"/>
      <w:bookmarkEnd w:id="727"/>
      <w:bookmarkEnd w:id="729"/>
    </w:p>
    <w:p>
      <w:pPr>
        <w:pStyle w:val="Style13"/>
        <w:keepNext w:val="0"/>
        <w:keepLines w:val="0"/>
        <w:widowControl w:val="0"/>
        <w:shd w:val="clear" w:color="auto" w:fill="auto"/>
        <w:bidi w:val="0"/>
        <w:spacing w:before="0" w:after="180" w:line="240" w:lineRule="auto"/>
        <w:ind w:left="0" w:right="0" w:firstLine="680"/>
        <w:jc w:val="left"/>
      </w:pPr>
      <w:r>
        <w:rPr>
          <w:color w:val="000000"/>
          <w:spacing w:val="0"/>
          <w:w w:val="100"/>
          <w:position w:val="0"/>
        </w:rPr>
        <w:t>本期金额</w:t>
      </w:r>
    </w:p>
    <w:p>
      <w:pPr>
        <w:pStyle w:val="Style13"/>
        <w:keepNext w:val="0"/>
        <w:keepLines w:val="0"/>
        <w:widowControl w:val="0"/>
        <w:shd w:val="clear" w:color="auto" w:fill="auto"/>
        <w:bidi w:val="0"/>
        <w:spacing w:before="0" w:after="60" w:line="240" w:lineRule="auto"/>
        <w:ind w:left="0" w:right="78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467"/>
        <w:gridCol w:w="1392"/>
        <w:gridCol w:w="706"/>
        <w:gridCol w:w="566"/>
        <w:gridCol w:w="566"/>
        <w:gridCol w:w="1421"/>
        <w:gridCol w:w="1277"/>
        <w:gridCol w:w="1397"/>
        <w:gridCol w:w="725"/>
        <w:gridCol w:w="1138"/>
        <w:gridCol w:w="1416"/>
        <w:gridCol w:w="710"/>
        <w:gridCol w:w="15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2,069,693,298.27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147,002,354.84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-1,252,593,091.07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1,590,278,452.88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2,069,693,298.27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147,002,354.84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-1,252,593,091.07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1,590,278,452.88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0"/>
              <w:jc w:val="left"/>
              <w:rPr>
                <w:sz w:val="17"/>
                <w:szCs w:val="17"/>
              </w:rPr>
            </w:pPr>
            <w:r>
              <w:rPr>
                <w:color w:val="000000"/>
                <w:spacing w:val="0"/>
                <w:w w:val="100"/>
                <w:position w:val="0"/>
                <w:sz w:val="17"/>
                <w:szCs w:val="17"/>
              </w:rPr>
              <w:t>三、本期增减变动金额（减少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35,031,000.00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-145,801,103.91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213,689,100.00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135,755.94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480,690,207.57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156,366,759.60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135,755.94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480,690,207.57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480,825,963.51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35,031,000.00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-145,801,103.91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213,689,100.00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-324,459,203.91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35,031,000.00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178,658,100.00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213,689,100.00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93,115,548.00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213,689,100.00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-120,573,552.00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-417,574,751.91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-417,574,751.91</w:t>
            </w:r>
          </w:p>
        </w:tc>
      </w:tr>
    </w:tbl>
    <w:p>
      <w:pPr>
        <w:sectPr>
          <w:footnotePr>
            <w:pos w:val="pageBottom"/>
            <w:numFmt w:val="decimal"/>
            <w:numRestart w:val="continuous"/>
          </w:footnotePr>
          <w:pgSz w:w="16840" w:h="11900" w:orient="landscape"/>
          <w:pgMar w:top="272" w:right="745" w:bottom="1361" w:left="745" w:header="0" w:footer="3" w:gutter="0"/>
          <w:cols w:space="720"/>
          <w:noEndnote/>
          <w:rtlGutter w:val="0"/>
          <w:docGrid w:linePitch="360"/>
        </w:sectPr>
      </w:pPr>
    </w:p>
    <w:p>
      <w:pPr>
        <w:pStyle w:val="Style40"/>
        <w:keepNext/>
        <w:keepLines/>
        <w:widowControl w:val="0"/>
        <w:shd w:val="clear" w:color="auto" w:fill="auto"/>
        <w:bidi w:val="0"/>
        <w:spacing w:before="0" w:after="0" w:line="240" w:lineRule="auto"/>
        <w:ind w:left="0" w:right="0" w:firstLine="740"/>
        <w:jc w:val="left"/>
      </w:pPr>
      <w:bookmarkStart w:id="730" w:name="bookmark730"/>
      <w:bookmarkStart w:id="731" w:name="bookmark731"/>
      <w:bookmarkStart w:id="732" w:name="bookmark732"/>
      <w:r>
        <w:rPr>
          <w:spacing w:val="0"/>
          <w:w w:val="100"/>
          <w:position w:val="0"/>
        </w:rPr>
        <w:t>Nation 0</w:t>
      </w:r>
      <w:bookmarkEnd w:id="730"/>
      <w:bookmarkEnd w:id="731"/>
      <w:bookmarkEnd w:id="732"/>
    </w:p>
    <w:p>
      <w:pPr>
        <w:pStyle w:val="Style5"/>
        <w:keepNext w:val="0"/>
        <w:keepLines w:val="0"/>
        <w:widowControl w:val="0"/>
        <w:shd w:val="clear" w:color="auto" w:fill="auto"/>
        <w:bidi w:val="0"/>
        <w:spacing w:before="0" w:after="100" w:line="240" w:lineRule="auto"/>
        <w:ind w:left="1320" w:right="0" w:firstLine="0"/>
        <w:jc w:val="left"/>
      </w:pPr>
      <w:r>
        <w:rPr>
          <w:color w:val="000000"/>
          <w:spacing w:val="0"/>
          <w:w w:val="100"/>
          <w:position w:val="0"/>
        </w:rPr>
        <w:t>国民技木〜</w:t>
      </w:r>
    </w:p>
    <w:tbl>
      <w:tblPr>
        <w:tblOverlap w:val="never"/>
        <w:jc w:val="center"/>
        <w:tblLayout w:type="fixed"/>
      </w:tblPr>
      <w:tblGrid>
        <w:gridCol w:w="2467"/>
        <w:gridCol w:w="1392"/>
        <w:gridCol w:w="706"/>
        <w:gridCol w:w="566"/>
        <w:gridCol w:w="566"/>
        <w:gridCol w:w="1421"/>
        <w:gridCol w:w="1277"/>
        <w:gridCol w:w="1397"/>
        <w:gridCol w:w="725"/>
        <w:gridCol w:w="1138"/>
        <w:gridCol w:w="1416"/>
        <w:gridCol w:w="710"/>
        <w:gridCol w:w="1570"/>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592,646,000.00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1,923,892,194.36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213,689,100.00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147,138,110.78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-771,902,883.50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1,746,645,212.48</w:t>
            </w:r>
          </w:p>
        </w:tc>
      </w:tr>
    </w:tbl>
    <w:p>
      <w:pPr>
        <w:sectPr>
          <w:footnotePr>
            <w:pos w:val="pageBottom"/>
            <w:numFmt w:val="decimal"/>
            <w:numRestart w:val="continuous"/>
          </w:footnotePr>
          <w:pgSz w:w="16840" w:h="11900" w:orient="landscape"/>
          <w:pgMar w:top="310" w:right="745" w:bottom="1361" w:left="745" w:header="0" w:footer="3" w:gutter="0"/>
          <w:cols w:space="720"/>
          <w:noEndnote/>
          <w:rtlGutter w:val="0"/>
          <w:docGrid w:linePitch="360"/>
        </w:sectPr>
      </w:pPr>
    </w:p>
    <w:p>
      <w:pPr>
        <w:pStyle w:val="Style13"/>
        <w:keepNext w:val="0"/>
        <w:keepLines w:val="0"/>
        <w:widowControl w:val="0"/>
        <w:shd w:val="clear" w:color="auto" w:fill="auto"/>
        <w:bidi w:val="0"/>
        <w:spacing w:before="0" w:after="180" w:line="240" w:lineRule="auto"/>
        <w:ind w:left="0" w:right="0" w:firstLine="540"/>
        <w:jc w:val="left"/>
      </w:pPr>
      <w:r>
        <w:rPr>
          <w:color w:val="000000"/>
          <w:spacing w:val="0"/>
          <w:w w:val="100"/>
          <w:position w:val="0"/>
        </w:rPr>
        <w:t>上期金额</w:t>
      </w:r>
    </w:p>
    <w:p>
      <w:pPr>
        <w:pStyle w:val="Style13"/>
        <w:keepNext w:val="0"/>
        <w:keepLines w:val="0"/>
        <w:widowControl w:val="0"/>
        <w:shd w:val="clear" w:color="auto" w:fill="auto"/>
        <w:bidi w:val="0"/>
        <w:spacing w:before="0" w:after="60" w:line="240" w:lineRule="auto"/>
        <w:ind w:left="1354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702"/>
        <w:gridCol w:w="1277"/>
        <w:gridCol w:w="571"/>
        <w:gridCol w:w="571"/>
        <w:gridCol w:w="571"/>
        <w:gridCol w:w="1402"/>
        <w:gridCol w:w="686"/>
        <w:gridCol w:w="1301"/>
        <w:gridCol w:w="778"/>
        <w:gridCol w:w="1349"/>
        <w:gridCol w:w="1416"/>
        <w:gridCol w:w="797"/>
        <w:gridCol w:w="162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2,069,693,298.27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146,880,128.25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-1,199,910,573.24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1,642,838,744.12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2,069,693,298.27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146,880,128.25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-1,199,910,573.24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1,642,838,744.12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三、本期增减变动金额（减少以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-52,682,517.83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-52,560,291.24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-52,682,517.83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-52,560,291.24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261" w:right="898" w:bottom="1361" w:left="898" w:header="0" w:footer="3" w:gutter="0"/>
          <w:cols w:space="720"/>
          <w:noEndnote/>
          <w:rtlGutter w:val="0"/>
          <w:docGrid w:linePitch="360"/>
        </w:sectPr>
      </w:pPr>
    </w:p>
    <w:p>
      <w:pPr>
        <w:pStyle w:val="Style40"/>
        <w:keepNext/>
        <w:keepLines/>
        <w:widowControl w:val="0"/>
        <w:shd w:val="clear" w:color="auto" w:fill="auto"/>
        <w:bidi w:val="0"/>
        <w:spacing w:before="0" w:after="0" w:line="240" w:lineRule="auto"/>
        <w:ind w:left="0" w:right="0" w:firstLine="600"/>
        <w:jc w:val="left"/>
      </w:pPr>
      <w:bookmarkStart w:id="733" w:name="bookmark733"/>
      <w:bookmarkStart w:id="734" w:name="bookmark734"/>
      <w:bookmarkStart w:id="735" w:name="bookmark735"/>
      <w:r>
        <w:rPr>
          <w:spacing w:val="0"/>
          <w:w w:val="100"/>
          <w:position w:val="0"/>
        </w:rPr>
        <w:t>Nation 0</w:t>
      </w:r>
      <w:bookmarkEnd w:id="733"/>
      <w:bookmarkEnd w:id="734"/>
      <w:bookmarkEnd w:id="735"/>
    </w:p>
    <w:p>
      <w:pPr>
        <w:pStyle w:val="Style5"/>
        <w:keepNext w:val="0"/>
        <w:keepLines w:val="0"/>
        <w:widowControl w:val="0"/>
        <w:shd w:val="clear" w:color="auto" w:fill="auto"/>
        <w:bidi w:val="0"/>
        <w:spacing w:before="0" w:after="100" w:line="240" w:lineRule="auto"/>
        <w:ind w:left="1160" w:right="0" w:firstLine="0"/>
        <w:jc w:val="left"/>
      </w:pPr>
      <w:r>
        <w:rPr>
          <w:color w:val="000000"/>
          <w:spacing w:val="0"/>
          <w:w w:val="100"/>
          <w:position w:val="0"/>
        </w:rPr>
        <w:t>国民技木〜</w:t>
      </w:r>
    </w:p>
    <w:tbl>
      <w:tblPr>
        <w:tblOverlap w:val="never"/>
        <w:jc w:val="center"/>
        <w:tblLayout w:type="fixed"/>
      </w:tblPr>
      <w:tblGrid>
        <w:gridCol w:w="2702"/>
        <w:gridCol w:w="1277"/>
        <w:gridCol w:w="571"/>
        <w:gridCol w:w="571"/>
        <w:gridCol w:w="571"/>
        <w:gridCol w:w="1402"/>
        <w:gridCol w:w="686"/>
        <w:gridCol w:w="1301"/>
        <w:gridCol w:w="778"/>
        <w:gridCol w:w="1349"/>
        <w:gridCol w:w="1416"/>
        <w:gridCol w:w="797"/>
        <w:gridCol w:w="1622"/>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2,069,693,298.27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147,002,354.84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-1,252,593,091.07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1,590,278,452.88</w:t>
            </w:r>
          </w:p>
        </w:tc>
      </w:tr>
    </w:tbl>
    <w:p>
      <w:pPr>
        <w:sectPr>
          <w:footnotePr>
            <w:pos w:val="pageBottom"/>
            <w:numFmt w:val="decimal"/>
            <w:numRestart w:val="continuous"/>
          </w:footnotePr>
          <w:pgSz w:w="16840" w:h="11900" w:orient="landscape"/>
          <w:pgMar w:top="310" w:right="898" w:bottom="1361" w:left="898" w:header="0" w:footer="3" w:gutter="0"/>
          <w:cols w:space="720"/>
          <w:noEndnote/>
          <w:rtlGutter w:val="0"/>
          <w:docGrid w:linePitch="360"/>
        </w:sectPr>
      </w:pPr>
    </w:p>
    <w:p>
      <w:pPr>
        <w:pStyle w:val="Style19"/>
        <w:keepNext w:val="0"/>
        <w:keepLines w:val="0"/>
        <w:widowControl w:val="0"/>
        <w:shd w:val="clear" w:color="auto" w:fill="auto"/>
        <w:bidi w:val="0"/>
        <w:spacing w:before="160" w:after="240" w:line="240" w:lineRule="auto"/>
        <w:ind w:left="0" w:right="0" w:firstLine="0"/>
        <w:jc w:val="center"/>
        <w:rPr>
          <w:sz w:val="30"/>
          <w:szCs w:val="30"/>
        </w:rPr>
      </w:pPr>
      <w:r>
        <w:rPr>
          <w:color w:val="000000"/>
          <w:spacing w:val="0"/>
          <w:w w:val="100"/>
          <w:position w:val="0"/>
          <w:sz w:val="30"/>
          <w:szCs w:val="30"/>
        </w:rPr>
        <w:t>财务报表附注</w:t>
      </w:r>
    </w:p>
    <w:p>
      <w:pPr>
        <w:pStyle w:val="Style33"/>
        <w:keepNext/>
        <w:keepLines/>
        <w:widowControl w:val="0"/>
        <w:shd w:val="clear" w:color="auto" w:fill="auto"/>
        <w:tabs>
          <w:tab w:pos="513" w:val="left"/>
        </w:tabs>
        <w:bidi w:val="0"/>
        <w:spacing w:before="0" w:after="200" w:line="468" w:lineRule="exact"/>
        <w:ind w:left="0" w:right="0" w:firstLine="0"/>
        <w:jc w:val="both"/>
      </w:pPr>
      <w:bookmarkStart w:id="736" w:name="bookmark736"/>
      <w:bookmarkStart w:id="737" w:name="bookmark737"/>
      <w:bookmarkStart w:id="738" w:name="bookmark738"/>
      <w:bookmarkStart w:id="739" w:name="bookmark739"/>
      <w:r>
        <w:rPr>
          <w:color w:val="000000"/>
          <w:spacing w:val="0"/>
          <w:w w:val="100"/>
          <w:position w:val="0"/>
        </w:rPr>
        <w:t>一</w:t>
      </w:r>
      <w:bookmarkEnd w:id="738"/>
      <w:r>
        <w:rPr>
          <w:color w:val="000000"/>
          <w:spacing w:val="0"/>
          <w:w w:val="100"/>
          <w:position w:val="0"/>
        </w:rPr>
        <w:t>、</w:t>
        <w:tab/>
        <w:t>公司基本情况</w:t>
      </w:r>
      <w:bookmarkEnd w:id="736"/>
      <w:bookmarkEnd w:id="737"/>
      <w:bookmarkEnd w:id="739"/>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国民技术股份有限公司（以下简称“公司”或“本公司”）系由原深圳市中兴集成电路设计 有限责任公司以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日为基准日整体变更设立的股份有限公司，于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日在深圳 市工商行政管理局重新登记注册。公司于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日在深圳证券交易所上市，股票代码 </w:t>
      </w:r>
      <w:r>
        <w:rPr>
          <w:rFonts w:ascii="Times New Roman" w:eastAsia="Times New Roman" w:hAnsi="Times New Roman" w:cs="Times New Roman"/>
          <w:color w:val="000000"/>
          <w:spacing w:val="0"/>
          <w:w w:val="100"/>
          <w:position w:val="0"/>
        </w:rPr>
        <w:t>300077</w:t>
      </w:r>
      <w:r>
        <w:rPr>
          <w:color w:val="000000"/>
          <w:spacing w:val="0"/>
          <w:w w:val="100"/>
          <w:position w:val="0"/>
        </w:rPr>
        <w:t>，现持有统一社会信用代码</w:t>
      </w:r>
      <w:r>
        <w:rPr>
          <w:rFonts w:ascii="Times New Roman" w:eastAsia="Times New Roman" w:hAnsi="Times New Roman" w:cs="Times New Roman"/>
          <w:color w:val="000000"/>
          <w:spacing w:val="0"/>
          <w:w w:val="100"/>
          <w:position w:val="0"/>
        </w:rPr>
        <w:t>914403007152844811</w:t>
      </w:r>
      <w:r>
        <w:rPr>
          <w:color w:val="000000"/>
          <w:spacing w:val="0"/>
          <w:w w:val="100"/>
          <w:position w:val="0"/>
        </w:rPr>
        <w:t>的营业执照。截至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 注册资本</w:t>
      </w:r>
      <w:r>
        <w:rPr>
          <w:rFonts w:ascii="Times New Roman" w:eastAsia="Times New Roman" w:hAnsi="Times New Roman" w:cs="Times New Roman"/>
          <w:color w:val="000000"/>
          <w:spacing w:val="0"/>
          <w:w w:val="100"/>
          <w:position w:val="0"/>
        </w:rPr>
        <w:t>55,761.50</w:t>
      </w:r>
      <w:r>
        <w:rPr>
          <w:color w:val="000000"/>
          <w:spacing w:val="0"/>
          <w:w w:val="100"/>
          <w:position w:val="0"/>
        </w:rPr>
        <w:t>万元，股本</w:t>
      </w:r>
      <w:r>
        <w:rPr>
          <w:rFonts w:ascii="Times New Roman" w:eastAsia="Times New Roman" w:hAnsi="Times New Roman" w:cs="Times New Roman"/>
          <w:color w:val="000000"/>
          <w:spacing w:val="0"/>
          <w:w w:val="100"/>
          <w:position w:val="0"/>
        </w:rPr>
        <w:t>59,264.60</w:t>
      </w:r>
      <w:r>
        <w:rPr>
          <w:color w:val="000000"/>
          <w:spacing w:val="0"/>
          <w:w w:val="100"/>
          <w:position w:val="0"/>
        </w:rPr>
        <w:t>万元，股份总数</w:t>
      </w:r>
      <w:r>
        <w:rPr>
          <w:rFonts w:ascii="Times New Roman" w:eastAsia="Times New Roman" w:hAnsi="Times New Roman" w:cs="Times New Roman"/>
          <w:color w:val="000000"/>
          <w:spacing w:val="0"/>
          <w:w w:val="100"/>
          <w:position w:val="0"/>
        </w:rPr>
        <w:t>59,264.6</w:t>
      </w:r>
      <w:r>
        <w:rPr>
          <w:rFonts w:ascii="Times New Roman" w:eastAsia="Times New Roman" w:hAnsi="Times New Roman" w:cs="Times New Roman"/>
          <w:color w:val="000000"/>
          <w:spacing w:val="0"/>
          <w:w w:val="100"/>
          <w:position w:val="0"/>
        </w:rPr>
        <w:t>0</w:t>
      </w:r>
      <w:r>
        <w:rPr>
          <w:color w:val="000000"/>
          <w:spacing w:val="0"/>
          <w:w w:val="100"/>
          <w:position w:val="0"/>
        </w:rPr>
        <w:t>万股，注册地址：深圳市南山区 西丽街道松坪山社区宝深路</w:t>
      </w:r>
      <w:r>
        <w:rPr>
          <w:rFonts w:ascii="Times New Roman" w:eastAsia="Times New Roman" w:hAnsi="Times New Roman" w:cs="Times New Roman"/>
          <w:color w:val="000000"/>
          <w:spacing w:val="0"/>
          <w:w w:val="100"/>
          <w:position w:val="0"/>
        </w:rPr>
        <w:t>109</w:t>
      </w:r>
      <w:r>
        <w:rPr>
          <w:color w:val="000000"/>
          <w:spacing w:val="0"/>
          <w:w w:val="100"/>
          <w:position w:val="0"/>
        </w:rPr>
        <w:t>号国民技术大厦</w:t>
      </w:r>
      <w:r>
        <w:rPr>
          <w:rFonts w:ascii="Times New Roman" w:eastAsia="Times New Roman" w:hAnsi="Times New Roman" w:cs="Times New Roman"/>
          <w:color w:val="000000"/>
          <w:spacing w:val="0"/>
          <w:w w:val="100"/>
          <w:position w:val="0"/>
        </w:rPr>
        <w:t>1</w:t>
      </w:r>
      <w:r>
        <w:rPr>
          <w:color w:val="000000"/>
          <w:spacing w:val="0"/>
          <w:w w:val="100"/>
          <w:position w:val="0"/>
        </w:rPr>
        <w:t>楼。</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本公司及子公司分别属于集成电路设计行业及锂电池材料制造业，主要产品及服务为芯片类 产品及技术和锂离子电池负极材料等。</w:t>
      </w:r>
    </w:p>
    <w:p>
      <w:pPr>
        <w:pStyle w:val="Style13"/>
        <w:keepNext w:val="0"/>
        <w:keepLines w:val="0"/>
        <w:widowControl w:val="0"/>
        <w:shd w:val="clear" w:color="auto" w:fill="auto"/>
        <w:bidi w:val="0"/>
        <w:spacing w:before="0" w:after="560" w:line="466" w:lineRule="exact"/>
        <w:ind w:left="0" w:right="0" w:firstLine="48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12</w:t>
      </w:r>
      <w:r>
        <w:rPr>
          <w:color w:val="000000"/>
          <w:spacing w:val="0"/>
          <w:w w:val="100"/>
          <w:position w:val="0"/>
        </w:rPr>
        <w:t>户，详见本附注七“在其他主体中的权益”。本 公司本年度合并范围比上年度增加</w:t>
      </w:r>
      <w:r>
        <w:rPr>
          <w:rFonts w:ascii="Times New Roman" w:eastAsia="Times New Roman" w:hAnsi="Times New Roman" w:cs="Times New Roman"/>
          <w:color w:val="000000"/>
          <w:spacing w:val="0"/>
          <w:w w:val="100"/>
          <w:position w:val="0"/>
        </w:rPr>
        <w:t>1</w:t>
      </w:r>
      <w:r>
        <w:rPr>
          <w:color w:val="000000"/>
          <w:spacing w:val="0"/>
          <w:w w:val="100"/>
          <w:position w:val="0"/>
        </w:rPr>
        <w:t>户，减少</w:t>
      </w:r>
      <w:r>
        <w:rPr>
          <w:rFonts w:ascii="Times New Roman" w:eastAsia="Times New Roman" w:hAnsi="Times New Roman" w:cs="Times New Roman"/>
          <w:color w:val="000000"/>
          <w:spacing w:val="0"/>
          <w:w w:val="100"/>
          <w:position w:val="0"/>
        </w:rPr>
        <w:t>3</w:t>
      </w:r>
      <w:r>
        <w:rPr>
          <w:color w:val="000000"/>
          <w:spacing w:val="0"/>
          <w:w w:val="100"/>
          <w:position w:val="0"/>
        </w:rPr>
        <w:t>户，详见本附注六“合并范围的变更”。</w:t>
      </w:r>
    </w:p>
    <w:p>
      <w:pPr>
        <w:pStyle w:val="Style33"/>
        <w:keepNext/>
        <w:keepLines/>
        <w:widowControl w:val="0"/>
        <w:shd w:val="clear" w:color="auto" w:fill="auto"/>
        <w:tabs>
          <w:tab w:pos="513" w:val="left"/>
        </w:tabs>
        <w:bidi w:val="0"/>
        <w:spacing w:before="0" w:after="140" w:line="468" w:lineRule="exact"/>
        <w:ind w:left="0" w:right="0" w:firstLine="0"/>
        <w:jc w:val="both"/>
      </w:pPr>
      <w:bookmarkStart w:id="740" w:name="bookmark740"/>
      <w:bookmarkStart w:id="741" w:name="bookmark741"/>
      <w:bookmarkStart w:id="742" w:name="bookmark742"/>
      <w:bookmarkStart w:id="743" w:name="bookmark743"/>
      <w:r>
        <w:rPr>
          <w:color w:val="000000"/>
          <w:spacing w:val="0"/>
          <w:w w:val="100"/>
          <w:position w:val="0"/>
        </w:rPr>
        <w:t>二</w:t>
      </w:r>
      <w:bookmarkEnd w:id="742"/>
      <w:r>
        <w:rPr>
          <w:color w:val="000000"/>
          <w:spacing w:val="0"/>
          <w:w w:val="100"/>
          <w:position w:val="0"/>
        </w:rPr>
        <w:t>、</w:t>
        <w:tab/>
        <w:t>财务报表的编制基础</w:t>
      </w:r>
      <w:bookmarkEnd w:id="740"/>
      <w:bookmarkEnd w:id="741"/>
      <w:bookmarkEnd w:id="743"/>
    </w:p>
    <w:p>
      <w:pPr>
        <w:pStyle w:val="Style13"/>
        <w:keepNext w:val="0"/>
        <w:keepLines w:val="0"/>
        <w:widowControl w:val="0"/>
        <w:shd w:val="clear" w:color="auto" w:fill="auto"/>
        <w:tabs>
          <w:tab w:pos="364" w:val="left"/>
        </w:tabs>
        <w:bidi w:val="0"/>
        <w:spacing w:before="0" w:after="200" w:line="468" w:lineRule="exact"/>
        <w:ind w:left="0" w:right="0" w:firstLine="0"/>
        <w:jc w:val="both"/>
      </w:pPr>
      <w:bookmarkStart w:id="744" w:name="bookmark744"/>
      <w:r>
        <w:rPr>
          <w:rFonts w:ascii="Times New Roman" w:eastAsia="Times New Roman" w:hAnsi="Times New Roman" w:cs="Times New Roman"/>
          <w:color w:val="000000"/>
          <w:spacing w:val="0"/>
          <w:w w:val="100"/>
          <w:position w:val="0"/>
        </w:rPr>
        <w:t>1</w:t>
      </w:r>
      <w:bookmarkEnd w:id="744"/>
      <w:r>
        <w:rPr>
          <w:color w:val="000000"/>
          <w:spacing w:val="0"/>
          <w:w w:val="100"/>
          <w:position w:val="0"/>
        </w:rPr>
        <w:t>、</w:t>
        <w:tab/>
        <w:t>编制基础</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本公司财务报表以持续经营假设为基础，根据实际发生的交易和事项，按照财政部于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日及以后颁布的《企业会计准则一基本准则》和各项具体会计准则、企业会计准则应用 指南、企业会计准则解释及其他相关规定（以下合称“企业会计准则”），以及中国证券监督管 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号——财务报告的一般规定》的披露规定 编制。</w:t>
      </w:r>
    </w:p>
    <w:p>
      <w:pPr>
        <w:pStyle w:val="Style13"/>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根据企业会计准则的相关规定，本公司会计核算以权责发生制为基础。除部分金融工具和采 用公允价值模式进行后续计量的投资性房地产外，本财务报表均以历史成本为计量基础。持有待 售的非流动资产，按公允价值减去预计费用后的金额，以及符合持有待售条件时的原账面价值， 取两者孰低计价。资产如果发生减值，则按照相关规定计提相应的减值准备。</w:t>
      </w:r>
    </w:p>
    <w:p>
      <w:pPr>
        <w:pStyle w:val="Style13"/>
        <w:keepNext w:val="0"/>
        <w:keepLines w:val="0"/>
        <w:widowControl w:val="0"/>
        <w:shd w:val="clear" w:color="auto" w:fill="auto"/>
        <w:tabs>
          <w:tab w:pos="383" w:val="left"/>
        </w:tabs>
        <w:bidi w:val="0"/>
        <w:spacing w:before="0" w:after="200" w:line="468" w:lineRule="exact"/>
        <w:ind w:left="0" w:right="0" w:firstLine="0"/>
        <w:jc w:val="both"/>
      </w:pPr>
      <w:bookmarkStart w:id="745" w:name="bookmark745"/>
      <w:r>
        <w:rPr>
          <w:rFonts w:ascii="Times New Roman" w:eastAsia="Times New Roman" w:hAnsi="Times New Roman" w:cs="Times New Roman"/>
          <w:color w:val="000000"/>
          <w:spacing w:val="0"/>
          <w:w w:val="100"/>
          <w:position w:val="0"/>
        </w:rPr>
        <w:t>2</w:t>
      </w:r>
      <w:bookmarkEnd w:id="745"/>
      <w:r>
        <w:rPr>
          <w:color w:val="000000"/>
          <w:spacing w:val="0"/>
          <w:w w:val="100"/>
          <w:position w:val="0"/>
        </w:rPr>
        <w:t>、</w:t>
        <w:tab/>
        <w:t>持续经营</w:t>
      </w:r>
    </w:p>
    <w:p>
      <w:pPr>
        <w:pStyle w:val="Style13"/>
        <w:keepNext w:val="0"/>
        <w:keepLines w:val="0"/>
        <w:widowControl w:val="0"/>
        <w:shd w:val="clear" w:color="auto" w:fill="auto"/>
        <w:bidi w:val="0"/>
        <w:spacing w:before="0" w:after="200" w:line="468" w:lineRule="exact"/>
        <w:ind w:left="0" w:right="0" w:firstLine="48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33"/>
        <w:keepNext/>
        <w:keepLines/>
        <w:widowControl w:val="0"/>
        <w:shd w:val="clear" w:color="auto" w:fill="auto"/>
        <w:bidi w:val="0"/>
        <w:spacing w:before="0" w:after="160" w:line="462" w:lineRule="exact"/>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三</w:t>
      </w:r>
      <w:bookmarkEnd w:id="748"/>
      <w:r>
        <w:rPr>
          <w:color w:val="000000"/>
          <w:spacing w:val="0"/>
          <w:w w:val="100"/>
          <w:position w:val="0"/>
        </w:rPr>
        <w:t>、公司主要会计政策、会计估计</w:t>
      </w:r>
      <w:bookmarkEnd w:id="746"/>
      <w:bookmarkEnd w:id="747"/>
      <w:bookmarkEnd w:id="749"/>
    </w:p>
    <w:p>
      <w:pPr>
        <w:pStyle w:val="Style13"/>
        <w:keepNext w:val="0"/>
        <w:keepLines w:val="0"/>
        <w:widowControl w:val="0"/>
        <w:shd w:val="clear" w:color="auto" w:fill="auto"/>
        <w:tabs>
          <w:tab w:pos="373" w:val="left"/>
        </w:tabs>
        <w:bidi w:val="0"/>
        <w:spacing w:before="0" w:after="220" w:line="462" w:lineRule="exact"/>
        <w:ind w:left="0" w:right="0" w:firstLine="0"/>
        <w:jc w:val="left"/>
      </w:pPr>
      <w:bookmarkStart w:id="750" w:name="bookmark750"/>
      <w:r>
        <w:rPr>
          <w:rFonts w:ascii="Times New Roman" w:eastAsia="Times New Roman" w:hAnsi="Times New Roman" w:cs="Times New Roman"/>
          <w:color w:val="000000"/>
          <w:spacing w:val="0"/>
          <w:w w:val="100"/>
          <w:position w:val="0"/>
        </w:rPr>
        <w:t>1</w:t>
      </w:r>
      <w:bookmarkEnd w:id="750"/>
      <w:r>
        <w:rPr>
          <w:color w:val="000000"/>
          <w:spacing w:val="0"/>
          <w:w w:val="100"/>
          <w:position w:val="0"/>
        </w:rPr>
        <w:t>、</w:t>
        <w:tab/>
        <w:t>遵循企业会计准则的声明</w:t>
      </w:r>
    </w:p>
    <w:p>
      <w:pPr>
        <w:pStyle w:val="Style13"/>
        <w:keepNext w:val="0"/>
        <w:keepLines w:val="0"/>
        <w:widowControl w:val="0"/>
        <w:shd w:val="clear" w:color="auto" w:fill="auto"/>
        <w:bidi w:val="0"/>
        <w:spacing w:before="0" w:after="220" w:line="466" w:lineRule="exact"/>
        <w:ind w:left="0" w:right="0" w:firstLine="48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年度的合并及公司经营成果和现金流量。</w:t>
      </w:r>
    </w:p>
    <w:p>
      <w:pPr>
        <w:pStyle w:val="Style13"/>
        <w:keepNext w:val="0"/>
        <w:keepLines w:val="0"/>
        <w:widowControl w:val="0"/>
        <w:shd w:val="clear" w:color="auto" w:fill="auto"/>
        <w:tabs>
          <w:tab w:pos="392" w:val="left"/>
        </w:tabs>
        <w:bidi w:val="0"/>
        <w:spacing w:before="0" w:after="220" w:line="462" w:lineRule="exact"/>
        <w:ind w:left="0" w:right="0" w:firstLine="0"/>
        <w:jc w:val="both"/>
      </w:pPr>
      <w:bookmarkStart w:id="751" w:name="bookmark751"/>
      <w:r>
        <w:rPr>
          <w:rFonts w:ascii="Times New Roman" w:eastAsia="Times New Roman" w:hAnsi="Times New Roman" w:cs="Times New Roman"/>
          <w:color w:val="000000"/>
          <w:spacing w:val="0"/>
          <w:w w:val="100"/>
          <w:position w:val="0"/>
        </w:rPr>
        <w:t>2</w:t>
      </w:r>
      <w:bookmarkEnd w:id="751"/>
      <w:r>
        <w:rPr>
          <w:color w:val="000000"/>
          <w:spacing w:val="0"/>
          <w:w w:val="100"/>
          <w:position w:val="0"/>
        </w:rPr>
        <w:t>、</w:t>
        <w:tab/>
        <w:t>会计期间</w:t>
      </w:r>
    </w:p>
    <w:p>
      <w:pPr>
        <w:pStyle w:val="Style13"/>
        <w:keepNext w:val="0"/>
        <w:keepLines w:val="0"/>
        <w:widowControl w:val="0"/>
        <w:shd w:val="clear" w:color="auto" w:fill="auto"/>
        <w:bidi w:val="0"/>
        <w:spacing w:before="0" w:after="220" w:line="456" w:lineRule="exact"/>
        <w:ind w:left="0" w:right="0" w:firstLine="480"/>
        <w:jc w:val="both"/>
      </w:pPr>
      <w:r>
        <w:rPr>
          <w:color w:val="000000"/>
          <w:spacing w:val="0"/>
          <w:w w:val="100"/>
          <w:position w:val="0"/>
        </w:rPr>
        <w:t>本公司的会计期间分为年度和中期，会计中期指短于一个完整的会计年度的报告期间。本公 司会计年度采用公历年度，即每年自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13"/>
        <w:keepNext w:val="0"/>
        <w:keepLines w:val="0"/>
        <w:widowControl w:val="0"/>
        <w:shd w:val="clear" w:color="auto" w:fill="auto"/>
        <w:tabs>
          <w:tab w:pos="392" w:val="left"/>
        </w:tabs>
        <w:bidi w:val="0"/>
        <w:spacing w:before="0" w:after="220" w:line="462" w:lineRule="exact"/>
        <w:ind w:left="0" w:right="0" w:firstLine="0"/>
        <w:jc w:val="both"/>
      </w:pPr>
      <w:bookmarkStart w:id="752" w:name="bookmark752"/>
      <w:r>
        <w:rPr>
          <w:rFonts w:ascii="Times New Roman" w:eastAsia="Times New Roman" w:hAnsi="Times New Roman" w:cs="Times New Roman"/>
          <w:color w:val="000000"/>
          <w:spacing w:val="0"/>
          <w:w w:val="100"/>
          <w:position w:val="0"/>
        </w:rPr>
        <w:t>3</w:t>
      </w:r>
      <w:bookmarkEnd w:id="752"/>
      <w:r>
        <w:rPr>
          <w:color w:val="000000"/>
          <w:spacing w:val="0"/>
          <w:w w:val="100"/>
          <w:position w:val="0"/>
        </w:rPr>
        <w:t>、</w:t>
        <w:tab/>
        <w:t>营业周期</w:t>
      </w:r>
    </w:p>
    <w:p>
      <w:pPr>
        <w:pStyle w:val="Style13"/>
        <w:keepNext w:val="0"/>
        <w:keepLines w:val="0"/>
        <w:widowControl w:val="0"/>
        <w:shd w:val="clear" w:color="auto" w:fill="auto"/>
        <w:bidi w:val="0"/>
        <w:spacing w:before="0" w:after="220" w:line="461" w:lineRule="exact"/>
        <w:ind w:left="0" w:right="0" w:firstLine="480"/>
        <w:jc w:val="both"/>
      </w:pPr>
      <w:r>
        <w:rPr>
          <w:color w:val="000000"/>
          <w:spacing w:val="0"/>
          <w:w w:val="100"/>
          <w:position w:val="0"/>
        </w:rPr>
        <w:t>正常营业周期是指本公司从购买用于加工的资产起至实现现金或现金等价物的期间。本公司 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13"/>
        <w:keepNext w:val="0"/>
        <w:keepLines w:val="0"/>
        <w:widowControl w:val="0"/>
        <w:shd w:val="clear" w:color="auto" w:fill="auto"/>
        <w:tabs>
          <w:tab w:pos="392" w:val="left"/>
        </w:tabs>
        <w:bidi w:val="0"/>
        <w:spacing w:before="0" w:after="220" w:line="462" w:lineRule="exact"/>
        <w:ind w:left="0" w:right="0" w:firstLine="0"/>
        <w:jc w:val="both"/>
      </w:pPr>
      <w:bookmarkStart w:id="753" w:name="bookmark753"/>
      <w:r>
        <w:rPr>
          <w:rFonts w:ascii="Times New Roman" w:eastAsia="Times New Roman" w:hAnsi="Times New Roman" w:cs="Times New Roman"/>
          <w:color w:val="000000"/>
          <w:spacing w:val="0"/>
          <w:w w:val="100"/>
          <w:position w:val="0"/>
        </w:rPr>
        <w:t>4</w:t>
      </w:r>
      <w:bookmarkEnd w:id="753"/>
      <w:r>
        <w:rPr>
          <w:color w:val="000000"/>
          <w:spacing w:val="0"/>
          <w:w w:val="100"/>
          <w:position w:val="0"/>
        </w:rPr>
        <w:t>、</w:t>
        <w:tab/>
        <w:t>记账本位币</w:t>
      </w:r>
    </w:p>
    <w:p>
      <w:pPr>
        <w:pStyle w:val="Style13"/>
        <w:keepNext w:val="0"/>
        <w:keepLines w:val="0"/>
        <w:widowControl w:val="0"/>
        <w:shd w:val="clear" w:color="auto" w:fill="auto"/>
        <w:bidi w:val="0"/>
        <w:spacing w:before="0" w:after="220" w:line="462" w:lineRule="exact"/>
        <w:ind w:left="0" w:right="0" w:firstLine="480"/>
        <w:jc w:val="both"/>
      </w:pPr>
      <w:r>
        <w:rPr>
          <w:color w:val="000000"/>
          <w:spacing w:val="0"/>
          <w:w w:val="100"/>
          <w:position w:val="0"/>
        </w:rPr>
        <w:t>本公司以人民币为记账本位币。</w:t>
      </w:r>
    </w:p>
    <w:p>
      <w:pPr>
        <w:pStyle w:val="Style13"/>
        <w:keepNext w:val="0"/>
        <w:keepLines w:val="0"/>
        <w:widowControl w:val="0"/>
        <w:shd w:val="clear" w:color="auto" w:fill="auto"/>
        <w:tabs>
          <w:tab w:pos="392" w:val="left"/>
        </w:tabs>
        <w:bidi w:val="0"/>
        <w:spacing w:before="0" w:after="160" w:line="462" w:lineRule="exact"/>
        <w:ind w:left="0" w:right="0" w:firstLine="0"/>
        <w:jc w:val="left"/>
      </w:pPr>
      <w:bookmarkStart w:id="754" w:name="bookmark754"/>
      <w:r>
        <w:rPr>
          <w:rFonts w:ascii="Times New Roman" w:eastAsia="Times New Roman" w:hAnsi="Times New Roman" w:cs="Times New Roman"/>
          <w:color w:val="000000"/>
          <w:spacing w:val="0"/>
          <w:w w:val="100"/>
          <w:position w:val="0"/>
        </w:rPr>
        <w:t>5</w:t>
      </w:r>
      <w:bookmarkEnd w:id="754"/>
      <w:r>
        <w:rPr>
          <w:color w:val="000000"/>
          <w:spacing w:val="0"/>
          <w:w w:val="100"/>
          <w:position w:val="0"/>
        </w:rPr>
        <w:t>、</w:t>
        <w:tab/>
        <w:t>同一控制下和非同一控制下企业合并的会计处理方法</w:t>
      </w:r>
    </w:p>
    <w:p>
      <w:pPr>
        <w:pStyle w:val="Style13"/>
        <w:keepNext w:val="0"/>
        <w:keepLines w:val="0"/>
        <w:widowControl w:val="0"/>
        <w:shd w:val="clear" w:color="auto" w:fill="auto"/>
        <w:bidi w:val="0"/>
        <w:spacing w:before="0" w:after="0" w:line="480" w:lineRule="exact"/>
        <w:ind w:left="0" w:right="0" w:firstLine="480"/>
        <w:jc w:val="both"/>
      </w:pPr>
      <w:r>
        <w:rPr>
          <w:color w:val="000000"/>
          <w:spacing w:val="0"/>
          <w:w w:val="100"/>
          <w:position w:val="0"/>
        </w:rPr>
        <w:t>企业合并，是指将两个或两个以上单独的企业合并形成一个报告主体的交易或事项。企业合 并分为同一控制下企业合并和非同一控制下企业合并。</w:t>
      </w:r>
    </w:p>
    <w:p>
      <w:pPr>
        <w:pStyle w:val="Style13"/>
        <w:keepNext w:val="0"/>
        <w:keepLines w:val="0"/>
        <w:widowControl w:val="0"/>
        <w:shd w:val="clear" w:color="auto" w:fill="auto"/>
        <w:tabs>
          <w:tab w:pos="992" w:val="left"/>
        </w:tabs>
        <w:bidi w:val="0"/>
        <w:spacing w:before="0" w:after="0" w:line="480" w:lineRule="exact"/>
        <w:ind w:left="0" w:right="0" w:firstLine="48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13"/>
        <w:keepNext w:val="0"/>
        <w:keepLines w:val="0"/>
        <w:widowControl w:val="0"/>
        <w:shd w:val="clear" w:color="auto" w:fill="auto"/>
        <w:bidi w:val="0"/>
        <w:spacing w:before="0" w:after="0" w:line="462" w:lineRule="exact"/>
        <w:ind w:left="0" w:right="0" w:firstLine="480"/>
        <w:jc w:val="both"/>
      </w:pPr>
      <w:r>
        <w:rPr>
          <w:color w:val="000000"/>
          <w:spacing w:val="0"/>
          <w:w w:val="100"/>
          <w:position w:val="0"/>
        </w:rPr>
        <w:t>参与合并的企业在合并前后均受同一方或相同的多方最终控制，且该控制并非暂时性的，为 同一控制下的企业合并。同一控制下的企业合并，在合并日取得对其他参与合并企业控制权的一 方为合并方，参与合并的其他企业为被合并方。合并日，是指合并方实际取得对被合并方控制权 的日期。</w:t>
      </w:r>
    </w:p>
    <w:p>
      <w:pPr>
        <w:pStyle w:val="Style13"/>
        <w:keepNext w:val="0"/>
        <w:keepLines w:val="0"/>
        <w:widowControl w:val="0"/>
        <w:shd w:val="clear" w:color="auto" w:fill="auto"/>
        <w:bidi w:val="0"/>
        <w:spacing w:before="0" w:after="0" w:line="462" w:lineRule="exact"/>
        <w:ind w:left="0" w:right="0" w:firstLine="480"/>
        <w:jc w:val="both"/>
      </w:pPr>
      <w:r>
        <w:rPr>
          <w:color w:val="000000"/>
          <w:spacing w:val="0"/>
          <w:w w:val="100"/>
          <w:position w:val="0"/>
        </w:rPr>
        <w:t>合并方取得的资产和负债均按合并日在被合并方的账面价值计量。合并方取得的净资产账面 价值与支付的合并对价账面价值（或发行股份面值总额）的差额，调整资本公积（股本溢价）； 资本公积（股本溢价）不足以冲减的，调整留存收益。</w:t>
      </w:r>
    </w:p>
    <w:p>
      <w:pPr>
        <w:pStyle w:val="Style13"/>
        <w:keepNext w:val="0"/>
        <w:keepLines w:val="0"/>
        <w:widowControl w:val="0"/>
        <w:shd w:val="clear" w:color="auto" w:fill="auto"/>
        <w:bidi w:val="0"/>
        <w:spacing w:before="0" w:after="0" w:line="462" w:lineRule="exact"/>
        <w:ind w:left="0" w:right="0" w:firstLine="480"/>
        <w:jc w:val="both"/>
      </w:pPr>
      <w:r>
        <w:rPr>
          <w:color w:val="000000"/>
          <w:spacing w:val="0"/>
          <w:w w:val="100"/>
          <w:position w:val="0"/>
        </w:rPr>
        <w:t>合并方为进行企业合并发生的各项直接费用，于发生时计入当期损益。</w:t>
      </w:r>
    </w:p>
    <w:p>
      <w:pPr>
        <w:pStyle w:val="Style13"/>
        <w:keepNext w:val="0"/>
        <w:keepLines w:val="0"/>
        <w:widowControl w:val="0"/>
        <w:shd w:val="clear" w:color="auto" w:fill="auto"/>
        <w:tabs>
          <w:tab w:pos="992" w:val="left"/>
        </w:tabs>
        <w:bidi w:val="0"/>
        <w:spacing w:before="0" w:after="220" w:line="462" w:lineRule="exact"/>
        <w:ind w:left="0" w:right="0" w:firstLine="480"/>
        <w:jc w:val="both"/>
        <w:sectPr>
          <w:footnotePr>
            <w:pos w:val="pageBottom"/>
            <w:numFmt w:val="decimal"/>
            <w:numRestart w:val="continuous"/>
          </w:footnotePr>
          <w:pgSz w:w="11900" w:h="16840"/>
          <w:pgMar w:top="1451" w:right="1099" w:bottom="1436" w:left="1101" w:header="0" w:footer="3" w:gutter="0"/>
          <w:cols w:space="720"/>
          <w:noEndnote/>
          <w:rtlGutter w:val="0"/>
          <w:docGrid w:linePitch="360"/>
        </w:sectPr>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参与合并的企业在合并前后不受同一方或相同的多方最终控制的，为非同一控制下的企业合 并。非同一控制下的企业合并，在购买日取得对其他参与合并企业控制权的一方为购买方，参与 合并的其他企业为被购买方。购买日，是指购买方实际取得对被购买方控制权的日期。</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对于非同一控制下的企业合并，合并成本包含购买日购买方为取得对被购买方的控制权而付 出的资产、发生或承担的负债以及发行的权益性证券的公允价值，为企业合并发生的审计、法律 服务、评估咨询等中介费用以及其他管理费用于发生时计入当期损益。购买方作为合并对价发行 的权益性证券或债务性证券的交易费用，计入权益性证券或债务性证券的初始确认金额。所涉及 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 的新的或进一步证据而需要调整或有对价的，相应调整合并商誉。购买方发生的合并成本及在合 并中取得的可辨认净资产按购买日的公允价值计量。合并成本大于合并中取得的被购买方于购买 日可辨认净资产公允价值份额的差额，确认为商誉。合并成本小于合并中取得的被购买方可辨认 净资产公允价值份额的，首先对取得的被购买方各项可辨认资产、负债及或有负债的公允价值以 及合并成本的计量进行复核，复核后合并成本仍小于合并中取得的被购买方可辨认净资产公允价 值份额的，其差额计入当期损益。</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购买方取得被购买方的可抵扣暂时性差异，在购买日因不符合递延所得税资产确认条件而未 予确认的，在购买日后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 预期被购买方在购买日可抵扣暂时性差异带来的经济利益能够实现的，则确认相关的递延所得税 资产，同时减少商誉，商誉不足冲减的，差额部分确认为当期损益；除上述情况以外，确认与企 业合并相关的递延所得税资产的，计入当期损益。</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通过多次交易分步实现的非同一控制下企业合并，根据《财政部关于印发企业会计准则解释 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号一合并财务报表》第五十一条关 于“一揽子交易”的判断标准（参见本附注三、</w:t>
      </w:r>
      <w:r>
        <w:rPr>
          <w:rFonts w:ascii="Times New Roman" w:eastAsia="Times New Roman" w:hAnsi="Times New Roman" w:cs="Times New Roman"/>
          <w:color w:val="000000"/>
          <w:spacing w:val="0"/>
          <w:w w:val="100"/>
          <w:position w:val="0"/>
        </w:rPr>
        <w:t>6（2</w:t>
      </w:r>
      <w:r>
        <w:rPr>
          <w:color w:val="000000"/>
          <w:spacing w:val="0"/>
          <w:w w:val="100"/>
          <w:position w:val="0"/>
        </w:rPr>
        <w:t>）），判断该多次交易是否属于“一揽子交易”。 属于“一揽子交易”的，参考本部分前面各段描述及本附注三、</w:t>
      </w:r>
      <w:r>
        <w:rPr>
          <w:rFonts w:ascii="Times New Roman" w:eastAsia="Times New Roman" w:hAnsi="Times New Roman" w:cs="Times New Roman"/>
          <w:color w:val="000000"/>
          <w:spacing w:val="0"/>
          <w:w w:val="100"/>
          <w:position w:val="0"/>
        </w:rPr>
        <w:t xml:space="preserve">12 </w:t>
      </w:r>
      <w:r>
        <w:rPr>
          <w:color w:val="000000"/>
          <w:spacing w:val="0"/>
          <w:w w:val="100"/>
          <w:position w:val="0"/>
        </w:rPr>
        <w:t>“长期股权投资”进行会计处 理；不属于“一揽子交易”的，区分个别财务报表和合并财务报表进行相关会计处理：</w:t>
      </w:r>
    </w:p>
    <w:p>
      <w:pPr>
        <w:pStyle w:val="Style13"/>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在个别财务报表中，以购买日之前所持被购买方的股权投资的账面价值与购买日新增投资成 本之和，作为该项投资的初始投资成本；购买日之前持有的被购买方的股权涉及其他综合收益的， 在处置该项投资时将与其相关的其他综合收益采用与被购买方直接处置相关资产或负债相同的 基础进行会计处理（即，除了按照权益法核算的在被购买方重新计量设定受益计划净负债或净资 产导致的变动中的相应份额以外，其余转入当期投资收益）。</w:t>
      </w:r>
    </w:p>
    <w:p>
      <w:pPr>
        <w:pStyle w:val="Style13"/>
        <w:keepNext w:val="0"/>
        <w:keepLines w:val="0"/>
        <w:widowControl w:val="0"/>
        <w:shd w:val="clear" w:color="auto" w:fill="auto"/>
        <w:bidi w:val="0"/>
        <w:spacing w:before="0" w:after="100" w:line="250" w:lineRule="exact"/>
        <w:ind w:left="4700" w:right="0" w:hanging="4220"/>
        <w:jc w:val="both"/>
        <w:rPr>
          <w:sz w:val="18"/>
          <w:szCs w:val="18"/>
        </w:rPr>
        <w:sectPr>
          <w:footnotePr>
            <w:pos w:val="pageBottom"/>
            <w:numFmt w:val="decimal"/>
            <w:numRestart w:val="continuous"/>
          </w:footnotePr>
          <w:pgSz w:w="11900" w:h="16840"/>
          <w:pgMar w:top="1570" w:right="999" w:bottom="912" w:left="1109" w:header="0" w:footer="3" w:gutter="0"/>
          <w:cols w:space="720"/>
          <w:noEndnote/>
          <w:rtlGutter w:val="0"/>
          <w:docGrid w:linePitch="360"/>
        </w:sectPr>
      </w:pPr>
      <w:r>
        <w:rPr>
          <w:color w:val="000000"/>
          <w:spacing w:val="0"/>
          <w:w w:val="100"/>
          <w:position w:val="0"/>
          <w:sz w:val="22"/>
          <w:szCs w:val="22"/>
        </w:rPr>
        <w:t xml:space="preserve">在合并财务报表中，对于购买日之前持有的被购买方的股权，按照该股权在购买日的公允价 </w:t>
      </w:r>
      <w:r>
        <w:rPr>
          <w:rFonts w:ascii="Times New Roman" w:eastAsia="Times New Roman" w:hAnsi="Times New Roman" w:cs="Times New Roman"/>
          <w:color w:val="000000"/>
          <w:spacing w:val="0"/>
          <w:w w:val="100"/>
          <w:position w:val="0"/>
          <w:sz w:val="18"/>
          <w:szCs w:val="18"/>
        </w:rPr>
        <w:t>132</w:t>
      </w:r>
    </w:p>
    <w:p>
      <w:pPr>
        <w:pStyle w:val="Style13"/>
        <w:keepNext w:val="0"/>
        <w:keepLines w:val="0"/>
        <w:widowControl w:val="0"/>
        <w:shd w:val="clear" w:color="auto" w:fill="auto"/>
        <w:bidi w:val="0"/>
        <w:spacing w:before="0" w:after="220" w:line="469" w:lineRule="exact"/>
        <w:ind w:left="0" w:right="0" w:firstLine="0"/>
        <w:jc w:val="both"/>
      </w:pPr>
      <w:r>
        <w:rPr>
          <w:color w:val="000000"/>
          <w:spacing w:val="0"/>
          <w:w w:val="100"/>
          <w:position w:val="0"/>
        </w:rPr>
        <w:t>值进行重新计量，公允价值与其账面价值的差额计入当期投资收益；购买日之前持有的被购买方 的股权涉及其他综合收益的，与其相关的其他综合收益应当采用与被购买方直接处置相关资产或 负债相同的基础进行会计处理（即，除了按照权益法核算的在被购买方重新计量设定受益计划净 负债或净资产导致的变动中的相应份额以外，其余转为购买日所属当期投资收益）。</w:t>
      </w:r>
    </w:p>
    <w:p>
      <w:pPr>
        <w:pStyle w:val="Style13"/>
        <w:keepNext w:val="0"/>
        <w:keepLines w:val="0"/>
        <w:widowControl w:val="0"/>
        <w:shd w:val="clear" w:color="auto" w:fill="auto"/>
        <w:bidi w:val="0"/>
        <w:spacing w:before="0" w:after="220" w:line="469" w:lineRule="exact"/>
        <w:ind w:left="0" w:right="0" w:firstLine="0"/>
        <w:jc w:val="both"/>
      </w:pPr>
      <w:bookmarkStart w:id="757" w:name="bookmark757"/>
      <w:r>
        <w:rPr>
          <w:rFonts w:ascii="Times New Roman" w:eastAsia="Times New Roman" w:hAnsi="Times New Roman" w:cs="Times New Roman"/>
          <w:color w:val="000000"/>
          <w:spacing w:val="0"/>
          <w:w w:val="100"/>
          <w:position w:val="0"/>
        </w:rPr>
        <w:t>6</w:t>
      </w:r>
      <w:bookmarkEnd w:id="757"/>
      <w:r>
        <w:rPr>
          <w:color w:val="000000"/>
          <w:spacing w:val="0"/>
          <w:w w:val="100"/>
          <w:position w:val="0"/>
        </w:rPr>
        <w:t>、合并财务报表的编制方法</w:t>
      </w:r>
    </w:p>
    <w:p>
      <w:pPr>
        <w:pStyle w:val="Style13"/>
        <w:keepNext w:val="0"/>
        <w:keepLines w:val="0"/>
        <w:widowControl w:val="0"/>
        <w:shd w:val="clear" w:color="auto" w:fill="auto"/>
        <w:tabs>
          <w:tab w:pos="958" w:val="left"/>
        </w:tabs>
        <w:bidi w:val="0"/>
        <w:spacing w:before="0" w:after="0" w:line="469" w:lineRule="exact"/>
        <w:ind w:left="0" w:right="0" w:firstLine="48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合并财务报表范围的确定原则</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合并财务报表的合并范围以控制为基础予以确定。控制是指本公司拥有对被投资方的权力， 通过参与被投资方的相关活动而享有可变回报，并且有能力运用对被投资方的权力影响该回报金 额。合并范围包括本公司及全部子公司。子公司，是指被本公司控制的主体。</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一旦相关事实和情况的变化导致上述控制定义涉及的相关要素发生了变化，本公司将进行重 新评估。</w:t>
      </w:r>
    </w:p>
    <w:p>
      <w:pPr>
        <w:pStyle w:val="Style13"/>
        <w:keepNext w:val="0"/>
        <w:keepLines w:val="0"/>
        <w:widowControl w:val="0"/>
        <w:shd w:val="clear" w:color="auto" w:fill="auto"/>
        <w:tabs>
          <w:tab w:pos="958" w:val="left"/>
        </w:tabs>
        <w:bidi w:val="0"/>
        <w:spacing w:before="0" w:after="0" w:line="469" w:lineRule="exact"/>
        <w:ind w:left="0" w:right="0" w:firstLine="48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合并财务报表编制的方法</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从取得子公司的净资产和生产经营决策的实际控制权之日起，本公司开始将其纳入合并范 围；从丧失实际控制权之日起停止纳入合并范围。对于处置的子公司，处置日前的经营成果和现 金流量已经适当地包括在合并利润表和合并现金流量表中；当期处置的子公司，不调整合并资产 负债表的期初数。非同一控制下企业合并增加的子公司，其购买日后的经营成果及现金流量已经 适当地包括在合并利润表和合并现金流量表中，且不调整合并财务报表的期初数和对比数。同一 控制下企业合并增加的子公司，其自合并当期期初至合并日的经营成果和现金流量已经适当地包 括在合并利润表和合并现金流量表中，并且同时调整合并财务报表的对比数。</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在编制合并财务报表时，子公司与本公司采用的会计政策或会计期间不一致的，按照本公司 的会计政策和会计期间对子公司财务报表进行必要的调整。对于非同一控制下企业合并取得的子 公司，以购买日可辨认净资产公允价值为基础对其财务报表进行调整。</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公司内往来余额、交易及未实现利润在合并财务报表编制时予以抵销。</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子公司的股东权益及当期净损益中不属于本公司所拥有的部分分别作为少数股东权益及少 数股东损益在合并财务报表中股东权益及净利润项下单独列示。子公司当期净损益中属于少数股 东权益的份额，在合并利润表中净利润项目下以“少数股东损益”项目列示。少数股东分担的子 公司的亏损超过了少数股东在该子公司期初股东权益中所享有的份额，仍冲减少数股东权益。</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当因处置部分股权投资或其他原因丧失了对原有子公司的控制权时，对于剩余股权，按照其 </w:t>
      </w:r>
      <w:r>
        <w:rPr>
          <w:color w:val="000000"/>
          <w:spacing w:val="0"/>
          <w:w w:val="100"/>
          <w:position w:val="0"/>
        </w:rPr>
        <w:t>在丧失控制权日的公允价值进行重新计量。处置股权取得的对价与剩余股权公允价值之和，减去 按原持股比例计算应享有原有子公司自购买日开始持续计算的净资产的份额之间的差额，计入丧 失控制权当期的投资收益。与原有子公司股权投资相关的其他综合收益，在丧失控制权时采用与 被购买方直接处置相关资产或负债相同的基础进行会计处理（即，除了在该原有子公司重新计量 设定受益计划净负债或净资产导致的变动以外，其余一并转为当期投资收益）。其后，对该部分 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号一长期股权投资》或《企业会计准则第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 确认和计量》等相关规定进行后续计量，详见本附注三、</w:t>
      </w:r>
      <w:r>
        <w:rPr>
          <w:rFonts w:ascii="Times New Roman" w:eastAsia="Times New Roman" w:hAnsi="Times New Roman" w:cs="Times New Roman"/>
          <w:color w:val="000000"/>
          <w:spacing w:val="0"/>
          <w:w w:val="100"/>
          <w:position w:val="0"/>
        </w:rPr>
        <w:t xml:space="preserve">12 </w:t>
      </w:r>
      <w:r>
        <w:rPr>
          <w:color w:val="000000"/>
          <w:spacing w:val="0"/>
          <w:w w:val="100"/>
          <w:position w:val="0"/>
        </w:rPr>
        <w:t>“长期股权投资”或本附注三、</w:t>
      </w:r>
      <w:r>
        <w:rPr>
          <w:rFonts w:ascii="Times New Roman" w:eastAsia="Times New Roman" w:hAnsi="Times New Roman" w:cs="Times New Roman"/>
          <w:color w:val="000000"/>
          <w:spacing w:val="0"/>
          <w:w w:val="100"/>
          <w:position w:val="0"/>
        </w:rPr>
        <w:t xml:space="preserve">9 </w:t>
      </w:r>
      <w:r>
        <w:rPr>
          <w:color w:val="000000"/>
          <w:spacing w:val="0"/>
          <w:w w:val="100"/>
          <w:position w:val="0"/>
        </w:rPr>
        <w:t>“金 融工具”。</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shd w:val="clear" w:color="auto" w:fill="FFFFFF"/>
        </w:rPr>
        <w:t>本公司通过多次交易分步处置对子公司股权投资直至丧失控制权的，需区分处置对子公司股 权投资直至丧失控制权的各项交易是否属于一揽子交易。处置对子公司股权投资的各项交易的条 款、条件以及经济影响符合以下一种或多种情况，通常表明应将多次交易事项作为一揽子交易进 行会计处理：①这些交易是同时或者在考虑了彼此影响的情况下订立的；②这些交易整体才能达 成一项完整的商业结果；③一项交易的发生取决于其他至少一项交易的发生；④一项交易单独看 是不经济的，但是和其他交易一并考虑时是经济的。不属于一揽子交易的，对其中的每一项交易 视情况分别按照“不丧失控制权的情况下部分处置对子公司的长期股权投资”（详见本附注三、</w:t>
      </w:r>
    </w:p>
    <w:p>
      <w:pPr>
        <w:pStyle w:val="Style13"/>
        <w:keepNext w:val="0"/>
        <w:keepLines w:val="0"/>
        <w:widowControl w:val="0"/>
        <w:shd w:val="clear" w:color="auto" w:fill="auto"/>
        <w:bidi w:val="0"/>
        <w:spacing w:before="0" w:after="220" w:line="468" w:lineRule="exact"/>
        <w:ind w:left="0" w:right="0" w:firstLine="0"/>
        <w:jc w:val="both"/>
      </w:pPr>
      <w:bookmarkStart w:id="760" w:name="bookmark760"/>
      <w:r>
        <w:rPr>
          <w:rFonts w:ascii="Times New Roman" w:eastAsia="Times New Roman" w:hAnsi="Times New Roman" w:cs="Times New Roman"/>
          <w:color w:val="000000"/>
          <w:spacing w:val="0"/>
          <w:w w:val="100"/>
          <w:position w:val="0"/>
        </w:rPr>
        <w:t>1</w:t>
      </w:r>
      <w:bookmarkEnd w:id="760"/>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）④）和“因处置部分股权投资或其他原因丧失了对原有子公司的控制权”（详见前段） 适用的原则进行会计处理。处置对子公司股权投资直至丧失控制权的各项交易属于一揽子交易 的，将各项交易作为一项处置子公司并丧失控制权的交易进行会计处理；但是，在丧失控制权之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13"/>
        <w:keepNext w:val="0"/>
        <w:keepLines w:val="0"/>
        <w:widowControl w:val="0"/>
        <w:shd w:val="clear" w:color="auto" w:fill="auto"/>
        <w:tabs>
          <w:tab w:pos="346" w:val="left"/>
        </w:tabs>
        <w:bidi w:val="0"/>
        <w:spacing w:before="0" w:after="220" w:line="468" w:lineRule="exact"/>
        <w:ind w:left="0" w:right="0" w:firstLine="0"/>
        <w:jc w:val="both"/>
      </w:pPr>
      <w:bookmarkStart w:id="761" w:name="bookmark761"/>
      <w:r>
        <w:rPr>
          <w:rFonts w:ascii="Times New Roman" w:eastAsia="Times New Roman" w:hAnsi="Times New Roman" w:cs="Times New Roman"/>
          <w:color w:val="000000"/>
          <w:spacing w:val="0"/>
          <w:w w:val="100"/>
          <w:position w:val="0"/>
        </w:rPr>
        <w:t>7</w:t>
      </w:r>
      <w:bookmarkEnd w:id="761"/>
      <w:r>
        <w:rPr>
          <w:color w:val="000000"/>
          <w:spacing w:val="0"/>
          <w:w w:val="100"/>
          <w:position w:val="0"/>
        </w:rPr>
        <w:t>、</w:t>
        <w:tab/>
        <w:t>现金及现金等价物的确定标准</w:t>
      </w:r>
    </w:p>
    <w:p>
      <w:pPr>
        <w:pStyle w:val="Style13"/>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本公司现金及现金等价物包括库存现金、可以随时用于支付的存款以及本公司持有的期限短 （一般为从购买日起，三个月内到期）、流动性强、易于转换为已知金额的现金、价值变动风险 很小的投资。</w:t>
      </w:r>
    </w:p>
    <w:p>
      <w:pPr>
        <w:pStyle w:val="Style13"/>
        <w:keepNext w:val="0"/>
        <w:keepLines w:val="0"/>
        <w:widowControl w:val="0"/>
        <w:shd w:val="clear" w:color="auto" w:fill="auto"/>
        <w:tabs>
          <w:tab w:pos="346" w:val="left"/>
        </w:tabs>
        <w:bidi w:val="0"/>
        <w:spacing w:before="0" w:after="220" w:line="468" w:lineRule="exact"/>
        <w:ind w:left="0" w:right="0" w:firstLine="0"/>
        <w:jc w:val="left"/>
      </w:pPr>
      <w:bookmarkStart w:id="762" w:name="bookmark762"/>
      <w:r>
        <w:rPr>
          <w:rFonts w:ascii="Times New Roman" w:eastAsia="Times New Roman" w:hAnsi="Times New Roman" w:cs="Times New Roman"/>
          <w:color w:val="000000"/>
          <w:spacing w:val="0"/>
          <w:w w:val="100"/>
          <w:position w:val="0"/>
        </w:rPr>
        <w:t>8</w:t>
      </w:r>
      <w:bookmarkEnd w:id="762"/>
      <w:r>
        <w:rPr>
          <w:color w:val="000000"/>
          <w:spacing w:val="0"/>
          <w:w w:val="100"/>
          <w:position w:val="0"/>
        </w:rPr>
        <w:t>、</w:t>
        <w:tab/>
        <w:t>外币业务和外币报表折算</w:t>
      </w:r>
    </w:p>
    <w:p>
      <w:pPr>
        <w:pStyle w:val="Style13"/>
        <w:keepNext w:val="0"/>
        <w:keepLines w:val="0"/>
        <w:widowControl w:val="0"/>
        <w:shd w:val="clear" w:color="auto" w:fill="auto"/>
        <w:bidi w:val="0"/>
        <w:spacing w:before="0" w:after="0" w:line="468" w:lineRule="exact"/>
        <w:ind w:left="0" w:right="0" w:firstLine="48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1</w:t>
      </w:r>
      <w:r>
        <w:rPr>
          <w:color w:val="000000"/>
          <w:spacing w:val="0"/>
          <w:w w:val="100"/>
          <w:position w:val="0"/>
        </w:rPr>
        <w:t>）外币交易的折算方法</w:t>
      </w:r>
    </w:p>
    <w:p>
      <w:pPr>
        <w:pStyle w:val="Style13"/>
        <w:keepNext w:val="0"/>
        <w:keepLines w:val="0"/>
        <w:widowControl w:val="0"/>
        <w:shd w:val="clear" w:color="auto" w:fill="auto"/>
        <w:bidi w:val="0"/>
        <w:spacing w:before="0" w:after="220" w:line="470" w:lineRule="exact"/>
        <w:ind w:left="0" w:right="0" w:firstLine="480"/>
        <w:jc w:val="both"/>
        <w:sectPr>
          <w:footnotePr>
            <w:pos w:val="pageBottom"/>
            <w:numFmt w:val="decimal"/>
            <w:numRestart w:val="continuous"/>
          </w:footnotePr>
          <w:pgSz w:w="11900" w:h="16840"/>
          <w:pgMar w:top="1566" w:right="1091" w:bottom="1489" w:left="1108" w:header="0" w:footer="3" w:gutter="0"/>
          <w:cols w:space="720"/>
          <w:noEndnote/>
          <w:rtlGutter w:val="0"/>
          <w:docGrid w:linePitch="360"/>
        </w:sectPr>
      </w:pPr>
      <w:r>
        <w:rPr>
          <w:color w:val="000000"/>
          <w:spacing w:val="0"/>
          <w:w w:val="100"/>
          <w:position w:val="0"/>
        </w:rPr>
        <w:t>本公司发生的外币交易在初始确认时，按交易日的即期汇率折算为记账本位币金额，但公司 发生的外币兑换业务或涉及外币兑换的交易事项，按照实际采用的汇率折算为记账本位币金额。</w:t>
      </w:r>
    </w:p>
    <w:p>
      <w:pPr>
        <w:pStyle w:val="Style13"/>
        <w:keepNext w:val="0"/>
        <w:keepLines w:val="0"/>
        <w:widowControl w:val="0"/>
        <w:shd w:val="clear" w:color="auto" w:fill="auto"/>
        <w:tabs>
          <w:tab w:pos="948" w:val="left"/>
        </w:tabs>
        <w:bidi w:val="0"/>
        <w:spacing w:before="0" w:after="40" w:line="468" w:lineRule="exact"/>
        <w:ind w:left="0" w:right="0" w:firstLine="48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2</w:t>
      </w:r>
      <w:r>
        <w:rPr>
          <w:color w:val="000000"/>
          <w:spacing w:val="0"/>
          <w:w w:val="100"/>
          <w:position w:val="0"/>
        </w:rPr>
        <w:t>）</w:t>
        <w:tab/>
        <w:t>对于外币货币性项目和外币非货币性项目的折算方法</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资产负债表日，对于外币货币性项目采用资产负债表日即期汇率折算。为购建符合借款费用 资本化条件的资产而借入的外币专门借款产生的汇兑差额，在资本化期间内予以资本化。</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编制合并财务报表涉及境外经营的，如有实质上构成对境外经营净投资的外币货币性项目， 因汇率变动而产生的汇兑差额，计入其他综合收益；处置境外经营时，转入处置当期损益。</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以历史成本计量的外币非货币性项目，仍采用交易发生日的即期汇率折算的记账本位币金额 计量。以公允价值计量的外币非货币性项目，采用公允价值确定日的即期汇率折算，折算后的记 账本位币金额与原记账本位币金额的差额，作为公允价值变动（含汇率变动）处理，计入当期损 益或确认为其他综合收益。</w:t>
      </w:r>
    </w:p>
    <w:p>
      <w:pPr>
        <w:pStyle w:val="Style13"/>
        <w:keepNext w:val="0"/>
        <w:keepLines w:val="0"/>
        <w:widowControl w:val="0"/>
        <w:shd w:val="clear" w:color="auto" w:fill="auto"/>
        <w:tabs>
          <w:tab w:pos="948" w:val="left"/>
        </w:tabs>
        <w:bidi w:val="0"/>
        <w:spacing w:before="0" w:after="40" w:line="468" w:lineRule="exact"/>
        <w:ind w:left="0" w:right="0" w:firstLine="48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3</w:t>
      </w:r>
      <w:r>
        <w:rPr>
          <w:color w:val="000000"/>
          <w:spacing w:val="0"/>
          <w:w w:val="100"/>
          <w:position w:val="0"/>
        </w:rPr>
        <w:t>）</w:t>
        <w:tab/>
        <w:t>外币财务报表的折算方法</w:t>
      </w:r>
    </w:p>
    <w:p>
      <w:pPr>
        <w:pStyle w:val="Style13"/>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境外经营的外币财务报表按以下方法折算为人民币报表：资产负债表中的资产和负债项目， 采用资产负债表日的即期汇率折算；股东权益类项目除“未分配利润”项目外，其他项目采用发 生时的即期汇率折算。利润表中的收入和费用项目，采用交易发生日的即期汇率折算。年初未分 配利润为上一年折算后的年末未分配利润；年末未分配利润按折算后的利润分配各项目计算列 示；折算后资产类项目与负债类项目和股东权益类项目合计数的差额，作为外币报表折算差额， 确认为其他综合收益。处置境外经营并丧失控制权时，将资产负债表中股东权益项目下列示的、 与该境外经营相关的外币报表折算差额，全部或按处置该境外经营的比例转入处置当期损益。</w:t>
      </w:r>
    </w:p>
    <w:p>
      <w:pPr>
        <w:pStyle w:val="Style13"/>
        <w:keepNext w:val="0"/>
        <w:keepLines w:val="0"/>
        <w:widowControl w:val="0"/>
        <w:shd w:val="clear" w:color="auto" w:fill="auto"/>
        <w:bidi w:val="0"/>
        <w:spacing w:before="0" w:after="220" w:line="468" w:lineRule="exact"/>
        <w:ind w:left="0" w:right="0" w:firstLine="0"/>
        <w:jc w:val="both"/>
      </w:pPr>
      <w:bookmarkStart w:id="766" w:name="bookmark766"/>
      <w:r>
        <w:rPr>
          <w:rFonts w:ascii="Times New Roman" w:eastAsia="Times New Roman" w:hAnsi="Times New Roman" w:cs="Times New Roman"/>
          <w:color w:val="000000"/>
          <w:spacing w:val="0"/>
          <w:w w:val="100"/>
          <w:position w:val="0"/>
        </w:rPr>
        <w:t>9</w:t>
      </w:r>
      <w:bookmarkEnd w:id="766"/>
      <w:r>
        <w:rPr>
          <w:color w:val="000000"/>
          <w:spacing w:val="0"/>
          <w:w w:val="100"/>
          <w:position w:val="0"/>
        </w:rPr>
        <w:t>、金融工具</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金融工具，是指形成一方的金融资产并形成其他方的金融负债或权益工具的合同。当本公司 成为金融工具合同的一方时，确认相关的金融资产或金融负债。</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金融资产和金融负债在初始确认时以公允价值计量：①对于以公允价值计量且其变动计入当 期损益的金融资产和金融负债，相关交易费用直接计入当期损益；②对于其他类别的金融资产和 金融负债，相关交易费用计入初始确认金额。金融资产和金融负债的后续计量取决于其分类。</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金融资产或金融负债满足下列条件之一的，表明持有目的是交易性的：①取得相关金融资产 或承担相关金融负债的目的，主要是为了近期内出售或回购；②初始确认时属于集中管理的可辨 认金融工具组合的一部分，且有客观证据表明近期实际存在短期获利模式；③属于衍生工具，但 符合财务担保合同定义的衍生工具以及被指定为有效套期工具的衍生工具除外。</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债务工具是指从发行方角度分析符合金融负债定义的工具。债务工具的分类和后续计量取决 于本公司管理金融资产的业务模式，以及金融资产的合同现金流量特征。不能通过现金流量特征 测试的，直接分类为以公允价值计量且其变动计入当期损益的金融资产；能够通过现金流量特征 测试的，其分类取决于管理金融资产的业务模式，以及是否将其指定为以公允价值计量且其变动 计入当期损益的金融资产。</w:t>
      </w:r>
    </w:p>
    <w:p>
      <w:pPr>
        <w:pStyle w:val="Style13"/>
        <w:keepNext w:val="0"/>
        <w:keepLines w:val="0"/>
        <w:widowControl w:val="0"/>
        <w:numPr>
          <w:ilvl w:val="0"/>
          <w:numId w:val="23"/>
        </w:numPr>
        <w:shd w:val="clear" w:color="auto" w:fill="auto"/>
        <w:tabs>
          <w:tab w:pos="812" w:val="left"/>
        </w:tabs>
        <w:bidi w:val="0"/>
        <w:spacing w:before="0" w:after="0" w:line="467" w:lineRule="exact"/>
        <w:ind w:left="0" w:right="0" w:firstLine="480"/>
        <w:jc w:val="both"/>
      </w:pPr>
      <w:bookmarkStart w:id="767" w:name="bookmark767"/>
      <w:bookmarkEnd w:id="767"/>
      <w:r>
        <w:rPr>
          <w:color w:val="000000"/>
          <w:spacing w:val="0"/>
          <w:w w:val="100"/>
          <w:position w:val="0"/>
        </w:rPr>
        <w:t>以摊余成本计量。本公司管理此类金融资产的业务模式为以收取合同现金流量为目标，且 此类金融资产的合同现金流量特征与基本借贷安排相一致，即在特定日期产生的现金流量，仅为 对本金和以未偿付本金金额为基础的利息的支付，同时并未指定此类金融资产为以公允价值计量 且其变动计入当期损益。本公司对于此类金融资产按照实际利率法确认利息收入。此类金融资产 因终止确认产生的利得或损失以及因减值导致的损失直接计入当期损益。</w:t>
      </w:r>
    </w:p>
    <w:p>
      <w:pPr>
        <w:pStyle w:val="Style13"/>
        <w:keepNext w:val="0"/>
        <w:keepLines w:val="0"/>
        <w:widowControl w:val="0"/>
        <w:numPr>
          <w:ilvl w:val="0"/>
          <w:numId w:val="23"/>
        </w:numPr>
        <w:shd w:val="clear" w:color="auto" w:fill="auto"/>
        <w:tabs>
          <w:tab w:pos="812" w:val="left"/>
        </w:tabs>
        <w:bidi w:val="0"/>
        <w:spacing w:before="0" w:after="0" w:line="467" w:lineRule="exact"/>
        <w:ind w:left="0" w:right="0" w:firstLine="480"/>
        <w:jc w:val="both"/>
      </w:pPr>
      <w:bookmarkStart w:id="768" w:name="bookmark768"/>
      <w:bookmarkEnd w:id="768"/>
      <w:r>
        <w:rPr>
          <w:color w:val="000000"/>
          <w:spacing w:val="0"/>
          <w:w w:val="100"/>
          <w:position w:val="0"/>
        </w:rPr>
        <w:t>以公允价值计量且其变动计入其他综合收益。本公司管理此类金融资产的业务模式为既以 收取合同现金流量为目标又以出售为目标，且此类金融资产的合同现金流量特征与基本借贷安排 相一致，即在特定日期产生的现金流量，仅为对本金和以未偿付本金金额为基础的利息的支付， 同时并未指定此类金融资产为以公允价值计量且其变动计入当期损益。此类金融资产按照公允价 值计量且其变动计入其他综合收益，但减值损失或利得、汇兑损益和按照实际利率法计算的利息 收入计入当期损益。此类金融资产终止确认时，累计计入其他综合收益的公允价值变动将结转计 入当期损益。此类金融资产列示为其他债权投资。</w:t>
      </w:r>
    </w:p>
    <w:p>
      <w:pPr>
        <w:pStyle w:val="Style13"/>
        <w:keepNext w:val="0"/>
        <w:keepLines w:val="0"/>
        <w:widowControl w:val="0"/>
        <w:numPr>
          <w:ilvl w:val="0"/>
          <w:numId w:val="23"/>
        </w:numPr>
        <w:shd w:val="clear" w:color="auto" w:fill="auto"/>
        <w:tabs>
          <w:tab w:pos="812" w:val="left"/>
        </w:tabs>
        <w:bidi w:val="0"/>
        <w:spacing w:before="0" w:after="0" w:line="467" w:lineRule="exact"/>
        <w:ind w:left="0" w:right="0" w:firstLine="480"/>
        <w:jc w:val="both"/>
      </w:pPr>
      <w:bookmarkStart w:id="769" w:name="bookmark769"/>
      <w:bookmarkEnd w:id="769"/>
      <w:r>
        <w:rPr>
          <w:color w:val="000000"/>
          <w:spacing w:val="0"/>
          <w:w w:val="100"/>
          <w:position w:val="0"/>
        </w:rPr>
        <w:t>以公允价值计量且其变动计入当期损益。本公司将持有的未划分为以摊余成本计量和以公 允价值计量且其变动计入其他综合收益的债务工具，以公允价值计量且其变动计入当期损益，分 类为以公允价值计量且其变动计入当期损益的金融资产，列示为交易性金融资产或其他非流动金 融资产。</w:t>
      </w:r>
    </w:p>
    <w:p>
      <w:pPr>
        <w:pStyle w:val="Style13"/>
        <w:keepNext w:val="0"/>
        <w:keepLines w:val="0"/>
        <w:widowControl w:val="0"/>
        <w:shd w:val="clear" w:color="auto" w:fill="auto"/>
        <w:bidi w:val="0"/>
        <w:spacing w:before="0" w:after="40" w:line="467"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w:t>
      </w:r>
    </w:p>
    <w:p>
      <w:pPr>
        <w:pStyle w:val="Style13"/>
        <w:keepNext w:val="0"/>
        <w:keepLines w:val="0"/>
        <w:widowControl w:val="0"/>
        <w:shd w:val="clear" w:color="auto" w:fill="auto"/>
        <w:bidi w:val="0"/>
        <w:spacing w:before="0" w:after="0" w:line="468" w:lineRule="exact"/>
        <w:ind w:left="0" w:right="0" w:firstLine="480"/>
        <w:jc w:val="both"/>
        <w:sectPr>
          <w:footnotePr>
            <w:pos w:val="pageBottom"/>
            <w:numFmt w:val="decimal"/>
            <w:numRestart w:val="continuous"/>
          </w:footnotePr>
          <w:pgSz w:w="11900" w:h="16840"/>
          <w:pgMar w:top="1528" w:right="1091" w:bottom="2103" w:left="1108" w:header="0" w:footer="3" w:gutter="0"/>
          <w:cols w:space="720"/>
          <w:noEndnote/>
          <w:rtlGutter w:val="0"/>
          <w:docGrid w:linePitch="360"/>
        </w:sectPr>
      </w:pPr>
      <w:r>
        <w:rPr>
          <w:color w:val="000000"/>
          <w:spacing w:val="0"/>
          <w:w w:val="100"/>
          <w:position w:val="0"/>
        </w:rPr>
        <w:t>权益工具是指从发行方角度分析符合权益工具定义的工具。权益工具投资以公允价值计量且 其变动计入当期损益，列示为交易性金融资产，但本公司管理层指定为以公允价值计量且其变动 计入其他综合收益除外。指定为以公允价值计量且其变动计入综合收益的，列示为其他权益工具 投资，相关公允价值变动不得结转至当期损益，且该指定一经作出不得撤销。相关股利收入计入 当期损益。其他权益工具投资不计提减值准备，终止确认时，之前计入其他综合收益的累计利得 或损失从其他综合收益转出，计入留存收益。</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金融负债于初始确认时分类为以公允价值计量且其变动计入当期损益的金融负债及其他金 融负债。</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以公允价值计量且其变动计入当期损益的金融负债，包括交易性金融负债和指定为以公允价 值计量且其变动计入当期损益的金融负债。满足以下条件之一时，金融负债可在初始计量时指定 为以公允价值计量且其变动计入当期损益的金融负债：①该项指定能够消除或显著减少会计错 配；②根据正式书面文件载明的风险管理或投资策略，以公允价值为基础对金融负债组合或金融 资产和金融负债组合进行管理和业绩评价，并在公司内部以此为基础向关键管理人员报告。该指 定一经作出，不得撤销。</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指定为以公允价值计量且变动计入当期损益的金融负债，由公司自身信用风险变动引起的公 允价值的变动金额，计入其他综合收益；其他公允价值变动，计入当期损益。该金融负债终止确 认时，之前计入其他综合收益的累计利得或损失从其他综合收益转出，计入留存收益。</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本公司其他金融负债主要包括短期借款、长期借款。对于此类金融负债，采用实际利率法， 按照摊余成本进行后续计量。</w:t>
      </w:r>
    </w:p>
    <w:p>
      <w:pPr>
        <w:pStyle w:val="Style13"/>
        <w:keepNext w:val="0"/>
        <w:keepLines w:val="0"/>
        <w:widowControl w:val="0"/>
        <w:shd w:val="clear" w:color="auto" w:fill="auto"/>
        <w:tabs>
          <w:tab w:pos="982" w:val="left"/>
        </w:tabs>
        <w:bidi w:val="0"/>
        <w:spacing w:before="0" w:after="40" w:line="468" w:lineRule="exact"/>
        <w:ind w:left="0" w:right="0" w:firstLine="48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金融资产和金融负债的终止确认</w:t>
      </w:r>
    </w:p>
    <w:p>
      <w:pPr>
        <w:pStyle w:val="Style13"/>
        <w:keepNext w:val="0"/>
        <w:keepLines w:val="0"/>
        <w:widowControl w:val="0"/>
        <w:shd w:val="clear" w:color="auto" w:fill="auto"/>
        <w:bidi w:val="0"/>
        <w:spacing w:before="0" w:after="0" w:line="473" w:lineRule="exact"/>
        <w:ind w:left="0" w:right="0" w:firstLine="480"/>
        <w:jc w:val="both"/>
      </w:pPr>
      <w:r>
        <w:rPr>
          <w:color w:val="000000"/>
          <w:spacing w:val="0"/>
          <w:w w:val="100"/>
          <w:position w:val="0"/>
        </w:rPr>
        <w:t>金融资产满足下列条件之一的，予以终止确认：</w:t>
      </w:r>
    </w:p>
    <w:p>
      <w:pPr>
        <w:pStyle w:val="Style13"/>
        <w:keepNext w:val="0"/>
        <w:keepLines w:val="0"/>
        <w:widowControl w:val="0"/>
        <w:numPr>
          <w:ilvl w:val="0"/>
          <w:numId w:val="25"/>
        </w:numPr>
        <w:shd w:val="clear" w:color="auto" w:fill="auto"/>
        <w:tabs>
          <w:tab w:pos="881" w:val="left"/>
        </w:tabs>
        <w:bidi w:val="0"/>
        <w:spacing w:before="0" w:after="0" w:line="473" w:lineRule="exact"/>
        <w:ind w:left="0" w:right="0" w:firstLine="480"/>
        <w:jc w:val="both"/>
      </w:pPr>
      <w:bookmarkStart w:id="771" w:name="bookmark771"/>
      <w:bookmarkEnd w:id="771"/>
      <w:r>
        <w:rPr>
          <w:color w:val="000000"/>
          <w:spacing w:val="0"/>
          <w:w w:val="100"/>
          <w:position w:val="0"/>
        </w:rPr>
        <w:t>收取该金融资产现金流量的合同权利终止；</w:t>
      </w:r>
    </w:p>
    <w:p>
      <w:pPr>
        <w:pStyle w:val="Style13"/>
        <w:keepNext w:val="0"/>
        <w:keepLines w:val="0"/>
        <w:widowControl w:val="0"/>
        <w:numPr>
          <w:ilvl w:val="0"/>
          <w:numId w:val="25"/>
        </w:numPr>
        <w:shd w:val="clear" w:color="auto" w:fill="auto"/>
        <w:tabs>
          <w:tab w:pos="881" w:val="left"/>
        </w:tabs>
        <w:bidi w:val="0"/>
        <w:spacing w:before="0" w:after="0" w:line="473" w:lineRule="exact"/>
        <w:ind w:left="0" w:right="0" w:firstLine="480"/>
        <w:jc w:val="both"/>
      </w:pPr>
      <w:bookmarkStart w:id="772" w:name="bookmark772"/>
      <w:bookmarkEnd w:id="772"/>
      <w:r>
        <w:rPr>
          <w:color w:val="000000"/>
          <w:spacing w:val="0"/>
          <w:w w:val="100"/>
          <w:position w:val="0"/>
        </w:rPr>
        <w:t>该金融资产已转移，且本公司将金融资产所有权上几乎所有的风险和报酬转移给转入方；</w:t>
      </w:r>
    </w:p>
    <w:p>
      <w:pPr>
        <w:pStyle w:val="Style13"/>
        <w:keepNext w:val="0"/>
        <w:keepLines w:val="0"/>
        <w:widowControl w:val="0"/>
        <w:numPr>
          <w:ilvl w:val="0"/>
          <w:numId w:val="25"/>
        </w:numPr>
        <w:shd w:val="clear" w:color="auto" w:fill="auto"/>
        <w:tabs>
          <w:tab w:pos="862" w:val="left"/>
        </w:tabs>
        <w:bidi w:val="0"/>
        <w:spacing w:before="0" w:after="0" w:line="473" w:lineRule="exact"/>
        <w:ind w:left="0" w:right="0" w:firstLine="480"/>
        <w:jc w:val="both"/>
      </w:pPr>
      <w:bookmarkStart w:id="773" w:name="bookmark773"/>
      <w:bookmarkEnd w:id="773"/>
      <w:r>
        <w:rPr>
          <w:color w:val="000000"/>
          <w:spacing w:val="0"/>
          <w:w w:val="100"/>
          <w:position w:val="0"/>
        </w:rPr>
        <w:t>该金融资产已转移，虽然本公司既没有转移也没有保留金融资产所有权上几乎所有的风险 和报酬，但是放弃了对该金融资产的控制。</w:t>
      </w:r>
    </w:p>
    <w:p>
      <w:pPr>
        <w:pStyle w:val="Style13"/>
        <w:keepNext w:val="0"/>
        <w:keepLines w:val="0"/>
        <w:widowControl w:val="0"/>
        <w:shd w:val="clear" w:color="auto" w:fill="auto"/>
        <w:bidi w:val="0"/>
        <w:spacing w:before="0" w:after="0" w:line="473" w:lineRule="exact"/>
        <w:ind w:left="0" w:right="0" w:firstLine="480"/>
        <w:jc w:val="both"/>
      </w:pPr>
      <w:r>
        <w:rPr>
          <w:color w:val="000000"/>
          <w:spacing w:val="0"/>
          <w:w w:val="100"/>
          <w:position w:val="0"/>
        </w:rPr>
        <w:t>金融负债（或其一部分）的现时义务已经解除的，本公司终止确认该金融负债（或该部分金 融负债）。</w:t>
      </w:r>
    </w:p>
    <w:p>
      <w:pPr>
        <w:pStyle w:val="Style13"/>
        <w:keepNext w:val="0"/>
        <w:keepLines w:val="0"/>
        <w:widowControl w:val="0"/>
        <w:shd w:val="clear" w:color="auto" w:fill="auto"/>
        <w:tabs>
          <w:tab w:pos="982" w:val="left"/>
        </w:tabs>
        <w:bidi w:val="0"/>
        <w:spacing w:before="0" w:after="40" w:line="473" w:lineRule="exact"/>
        <w:ind w:left="0" w:right="0" w:firstLine="48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5</w:t>
      </w:r>
      <w:r>
        <w:rPr>
          <w:color w:val="000000"/>
          <w:spacing w:val="0"/>
          <w:w w:val="100"/>
          <w:position w:val="0"/>
        </w:rPr>
        <w:t>）</w:t>
        <w:tab/>
        <w:t>金融工具的减值</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本公司以预期信用损失为基础进行金融工具减值会计处理并确认损失准备。预期信用损失， 是指以发生违约的风险为权重的金融工具信用损失的加权平均值。信用损失，是指按照原实际利 率折现的、根据合同应收的所有合同现金流量与预期收取的所有现金流量之间的差额，即全部现 金短缺的现值。</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本公司计量金融工具预期信用损失的方法反映的因素包括：通过评价一系列可能的结果而确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即可获得的有关过去事项、当前状况以及未来经济状况预测的合理且有依据的信息。本公司按照 </w:t>
      </w:r>
      <w:r>
        <w:rPr>
          <w:color w:val="000000"/>
          <w:spacing w:val="0"/>
          <w:w w:val="100"/>
          <w:position w:val="0"/>
        </w:rPr>
        <w:t>下列方法确定相关金融工具的预期信用损失：</w:t>
      </w:r>
    </w:p>
    <w:p>
      <w:pPr>
        <w:pStyle w:val="Style13"/>
        <w:keepNext w:val="0"/>
        <w:keepLines w:val="0"/>
        <w:widowControl w:val="0"/>
        <w:numPr>
          <w:ilvl w:val="0"/>
          <w:numId w:val="27"/>
        </w:numPr>
        <w:shd w:val="clear" w:color="auto" w:fill="auto"/>
        <w:tabs>
          <w:tab w:pos="816" w:val="left"/>
        </w:tabs>
        <w:bidi w:val="0"/>
        <w:spacing w:before="0" w:after="0" w:line="469" w:lineRule="exact"/>
        <w:ind w:left="0" w:right="0" w:firstLine="480"/>
        <w:jc w:val="both"/>
      </w:pPr>
      <w:bookmarkStart w:id="775" w:name="bookmark775"/>
      <w:bookmarkEnd w:id="775"/>
      <w:r>
        <w:rPr>
          <w:color w:val="000000"/>
          <w:spacing w:val="0"/>
          <w:w w:val="100"/>
          <w:position w:val="0"/>
        </w:rPr>
        <w:t>对于金融资产，信用损失为本公司应收取的合同现金流量与预期收取的现金流量之间差额 的现值；</w:t>
      </w:r>
    </w:p>
    <w:p>
      <w:pPr>
        <w:pStyle w:val="Style13"/>
        <w:keepNext w:val="0"/>
        <w:keepLines w:val="0"/>
        <w:widowControl w:val="0"/>
        <w:numPr>
          <w:ilvl w:val="0"/>
          <w:numId w:val="27"/>
        </w:numPr>
        <w:shd w:val="clear" w:color="auto" w:fill="auto"/>
        <w:tabs>
          <w:tab w:pos="825" w:val="left"/>
        </w:tabs>
        <w:bidi w:val="0"/>
        <w:spacing w:before="0" w:after="0" w:line="469" w:lineRule="exact"/>
        <w:ind w:left="0" w:right="0" w:firstLine="480"/>
        <w:jc w:val="both"/>
      </w:pPr>
      <w:bookmarkStart w:id="776" w:name="bookmark776"/>
      <w:bookmarkEnd w:id="776"/>
      <w:r>
        <w:rPr>
          <w:color w:val="000000"/>
          <w:spacing w:val="0"/>
          <w:w w:val="100"/>
          <w:position w:val="0"/>
        </w:rPr>
        <w:t>对于租赁应收款项，信用损失为本公司应收取的合同现金流量与预期收取的现金流量之间 差额的现值；</w:t>
      </w:r>
    </w:p>
    <w:p>
      <w:pPr>
        <w:pStyle w:val="Style13"/>
        <w:keepNext w:val="0"/>
        <w:keepLines w:val="0"/>
        <w:widowControl w:val="0"/>
        <w:numPr>
          <w:ilvl w:val="0"/>
          <w:numId w:val="27"/>
        </w:numPr>
        <w:shd w:val="clear" w:color="auto" w:fill="auto"/>
        <w:tabs>
          <w:tab w:pos="830" w:val="left"/>
        </w:tabs>
        <w:bidi w:val="0"/>
        <w:spacing w:before="0" w:after="0" w:line="469" w:lineRule="exact"/>
        <w:ind w:left="0" w:right="0" w:firstLine="480"/>
        <w:jc w:val="both"/>
      </w:pPr>
      <w:bookmarkStart w:id="777" w:name="bookmark777"/>
      <w:bookmarkEnd w:id="777"/>
      <w:r>
        <w:rPr>
          <w:color w:val="000000"/>
          <w:spacing w:val="0"/>
          <w:w w:val="100"/>
          <w:position w:val="0"/>
        </w:rPr>
        <w:t>对于资产负债表日已发生信用减值但并非购买或源生已发生信用减值的金融资产，信用损 失为该金融资产账面余额与按原实际利率折现的估计未来现金流量的现值之间的差额。</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对于购买或源生的未发生信用减值的金融工具，每个资产负债表日，考虑合理且有依据的信 息（包括前瞻性信息），评估其信用风险自初始确认后是否显著增加，按照三阶段分别确认预期 信用损失。信用风险自初始确认后未显著增加的，处于第一阶段，按照该金融工具未来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 的预期信用损失计量损失准备；信用风险自初始确认后已显著增加但尚未发生信用减值的，处于 第二阶段，按照该金融工具整个存续期的预期信用损失计量损失准备；自初始确认后已经发生信 用减值的，处于第三阶段，按照该金融工具整个存续期的预期信用损失计量损失准备。处于第一 阶段和第二阶段的金融工具，按照其账面余额和实际利率计算利息收入；处于第三阶段的金融工 具，按照其摊余成本和实际利率计算确定利息收入。</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对于购买或源生的已发生信用减值的金融资产，在资产负债表日仅将自初始确认后整个存续 期内预期信用损失的累计变动确认为损失准备，其利息收入按照金融资产的摊余成本和经信用调 整的实际利率计算确定。</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损失准备的增加或转回，作为减值损失或利得，计入当期损益。对于持有的以公允价值计量 且其变动计入其他综合收益的债务工具，减值损失或利得计入当期损益的同时调整其他综合收 益。</w:t>
      </w:r>
    </w:p>
    <w:p>
      <w:pPr>
        <w:pStyle w:val="Style13"/>
        <w:keepNext w:val="0"/>
        <w:keepLines w:val="0"/>
        <w:widowControl w:val="0"/>
        <w:numPr>
          <w:ilvl w:val="0"/>
          <w:numId w:val="29"/>
        </w:numPr>
        <w:shd w:val="clear" w:color="auto" w:fill="auto"/>
        <w:bidi w:val="0"/>
        <w:spacing w:before="0" w:after="0" w:line="469" w:lineRule="exact"/>
        <w:ind w:left="0" w:right="0" w:firstLine="480"/>
        <w:jc w:val="both"/>
      </w:pPr>
      <w:bookmarkStart w:id="778" w:name="bookmark778"/>
      <w:bookmarkEnd w:id="778"/>
      <w:r>
        <w:rPr>
          <w:color w:val="000000"/>
          <w:spacing w:val="0"/>
          <w:w w:val="100"/>
          <w:position w:val="0"/>
        </w:rPr>
        <w:t>对于应收票据和应收账款，无论是否存在重大融资成分，本公司均按照整个存续期的预 期信用损失计量损失准备。</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当单项应收票据和应收账款无法以合理成本取得评估预期信用损失的信息时，本公司依据信 用风险特征，将应收票据和应收账款划分为若干组合，在组合基础上计算预期信用损失。</w:t>
      </w:r>
    </w:p>
    <w:p>
      <w:pPr>
        <w:pStyle w:val="Style13"/>
        <w:keepNext w:val="0"/>
        <w:keepLines w:val="0"/>
        <w:widowControl w:val="0"/>
        <w:shd w:val="clear" w:color="auto" w:fill="auto"/>
        <w:bidi w:val="0"/>
        <w:spacing w:before="0" w:after="140" w:line="469" w:lineRule="exact"/>
        <w:ind w:left="0" w:right="0" w:firstLine="480"/>
        <w:jc w:val="both"/>
      </w:pPr>
      <w:r>
        <w:rPr>
          <w:color w:val="000000"/>
          <w:spacing w:val="0"/>
          <w:w w:val="100"/>
          <w:position w:val="0"/>
        </w:rPr>
        <w:t>对于划分为组合的应收票据，本公司参考历史信用损失经验，结合当前状况以及对未来经济 状况的预测，通过违约风险敞口和整个存续期预期信用损失率，计算预期信用损失。确定组合的 依据如下：</w:t>
      </w:r>
    </w:p>
    <w:p>
      <w:pPr>
        <w:pStyle w:val="Style13"/>
        <w:keepNext w:val="0"/>
        <w:keepLines w:val="0"/>
        <w:widowControl w:val="0"/>
        <w:shd w:val="clear" w:color="auto" w:fill="auto"/>
        <w:tabs>
          <w:tab w:pos="5384" w:val="left"/>
        </w:tabs>
        <w:bidi w:val="0"/>
        <w:spacing w:before="0" w:after="0" w:line="240" w:lineRule="auto"/>
        <w:ind w:left="1280" w:right="0" w:firstLine="0"/>
        <w:jc w:val="both"/>
        <w:rPr>
          <w:sz w:val="20"/>
          <w:szCs w:val="20"/>
        </w:rPr>
      </w:pPr>
      <w:r>
        <w:rPr>
          <w:b/>
          <w:bCs/>
          <w:color w:val="000000"/>
          <w:spacing w:val="0"/>
          <w:w w:val="100"/>
          <w:position w:val="0"/>
          <w:sz w:val="20"/>
          <w:szCs w:val="20"/>
        </w:rPr>
        <w:t>组合名称</w:t>
        <w:tab/>
        <w:t>确定组合的依据</w:t>
      </w:r>
    </w:p>
    <w:tbl>
      <w:tblPr>
        <w:tblOverlap w:val="never"/>
        <w:jc w:val="center"/>
        <w:tblLayout w:type="fixed"/>
      </w:tblPr>
      <w:tblGrid>
        <w:gridCol w:w="2448"/>
        <w:gridCol w:w="6806"/>
      </w:tblGrid>
      <w:tr>
        <w:trPr>
          <w:trHeight w:val="47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银行承兑汇票</w:t>
            </w:r>
          </w:p>
        </w:tc>
      </w:tr>
      <w:tr>
        <w:trPr>
          <w:trHeight w:val="48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商业承兑汇票</w:t>
            </w:r>
          </w:p>
        </w:tc>
      </w:tr>
    </w:tbl>
    <w:p>
      <w:pPr>
        <w:pStyle w:val="Style13"/>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对于划分为组合的应收账款，本公司参考历史信用损失经验，结合当前状况以及对未来经济 状况的预测，编制应收账款账龄与整个存续期预期信用损失率对照表，计算预期信用损失。确定 组合的依据如下：</w:t>
      </w:r>
    </w:p>
    <w:tbl>
      <w:tblPr>
        <w:tblOverlap w:val="never"/>
        <w:jc w:val="center"/>
        <w:tblLayout w:type="fixed"/>
      </w:tblPr>
      <w:tblGrid>
        <w:gridCol w:w="2453"/>
        <w:gridCol w:w="6955"/>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47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应收合并内关联方款项</w:t>
            </w:r>
          </w:p>
        </w:tc>
      </w:tr>
      <w:tr>
        <w:trPr>
          <w:trHeight w:val="4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按账龄划分的具有类似信用风险特征的应收款项</w:t>
            </w:r>
          </w:p>
        </w:tc>
      </w:tr>
    </w:tbl>
    <w:p>
      <w:pPr>
        <w:pStyle w:val="Style13"/>
        <w:keepNext w:val="0"/>
        <w:keepLines w:val="0"/>
        <w:widowControl w:val="0"/>
        <w:numPr>
          <w:ilvl w:val="0"/>
          <w:numId w:val="29"/>
        </w:numPr>
        <w:shd w:val="clear" w:color="auto" w:fill="auto"/>
        <w:bidi w:val="0"/>
        <w:spacing w:before="0" w:after="100" w:line="468" w:lineRule="exact"/>
        <w:ind w:left="0" w:right="0" w:firstLine="480"/>
        <w:jc w:val="both"/>
      </w:pPr>
      <w:bookmarkStart w:id="779" w:name="bookmark779"/>
      <w:bookmarkEnd w:id="779"/>
      <w:r>
        <w:rPr>
          <w:color w:val="000000"/>
          <w:spacing w:val="0"/>
          <w:w w:val="100"/>
          <w:position w:val="0"/>
        </w:rPr>
        <w:t>当单项其他应收款、长期应收款无法以合理成本取得评估预期信用损失的信息时，本公司 依据信用风险特征将其他应收款、长期应收款划分为若干组合，在组合基础上计算预期信用损失。 确定组合的依据如下：</w:t>
      </w:r>
    </w:p>
    <w:tbl>
      <w:tblPr>
        <w:tblOverlap w:val="never"/>
        <w:jc w:val="center"/>
        <w:tblLayout w:type="fixed"/>
      </w:tblPr>
      <w:tblGrid>
        <w:gridCol w:w="2453"/>
        <w:gridCol w:w="6955"/>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应收合并内关联方款项</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按账龄划分的具有类似信用风险特征的应收款项</w:t>
            </w:r>
          </w:p>
        </w:tc>
      </w:tr>
      <w:tr>
        <w:trPr>
          <w:trHeight w:val="59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根据业务性质，认定低信用风险，主要包括押金及保证金、备用金、 社保和公积金等</w:t>
            </w:r>
          </w:p>
        </w:tc>
      </w:tr>
    </w:tbl>
    <w:p>
      <w:pPr>
        <w:pStyle w:val="Style30"/>
        <w:keepNext w:val="0"/>
        <w:keepLines w:val="0"/>
        <w:widowControl w:val="0"/>
        <w:shd w:val="clear" w:color="auto" w:fill="auto"/>
        <w:bidi w:val="0"/>
        <w:spacing w:before="0" w:after="0" w:line="240" w:lineRule="auto"/>
        <w:ind w:left="77"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）金融资产和金融负债的抵销</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当本公司具有抵销已确认金融资产和金融负债的法定权利，且目前可执行该种法定权利，同 时本公司计划以净额结算或同时变现该金融资产和清偿该金融负债时，金融资产和金融负债以相 互抵销后的金额在资产负债表内列示。除此以外，金融资产和金融负债在资产负债表内分别列示， 不予相互抵销。</w:t>
      </w:r>
    </w:p>
    <w:p>
      <w:pPr>
        <w:pStyle w:val="Style13"/>
        <w:keepNext w:val="0"/>
        <w:keepLines w:val="0"/>
        <w:widowControl w:val="0"/>
        <w:shd w:val="clear" w:color="auto" w:fill="auto"/>
        <w:bidi w:val="0"/>
        <w:spacing w:before="0" w:after="0" w:line="471" w:lineRule="exact"/>
        <w:ind w:left="0" w:right="0" w:firstLine="48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7</w:t>
      </w:r>
      <w:r>
        <w:rPr>
          <w:color w:val="000000"/>
          <w:spacing w:val="0"/>
          <w:w w:val="100"/>
          <w:position w:val="0"/>
        </w:rPr>
        <w:t>）金融工具的公允价值确定</w:t>
      </w:r>
    </w:p>
    <w:p>
      <w:pPr>
        <w:pStyle w:val="Style13"/>
        <w:keepNext w:val="0"/>
        <w:keepLines w:val="0"/>
        <w:widowControl w:val="0"/>
        <w:shd w:val="clear" w:color="auto" w:fill="auto"/>
        <w:bidi w:val="0"/>
        <w:spacing w:before="0" w:after="60" w:line="471" w:lineRule="exact"/>
        <w:ind w:left="0" w:right="0" w:firstLine="480"/>
        <w:jc w:val="both"/>
      </w:pPr>
      <w:r>
        <w:rPr>
          <w:color w:val="000000"/>
          <w:spacing w:val="0"/>
          <w:w w:val="100"/>
          <w:position w:val="0"/>
        </w:rPr>
        <w:t>存在活跃市场的金融工具，以市场参与者在计量日发生的有序交易中，出售一项资产所能收 到或者转移一项负债所需支付的价格确定其公允价值。不存在活跃市场的金融工具，采用估值技 术确定其公允价值。在估值时，本公司采用在当前情况下适用并且有足够可利用数据和其他信息 支持的估值技术，选择与市场参与者在相关资产或负债的交易中所考虑的资产或负债特征相一致 的输入值，并尽可能优先使用相关可观察输入值。在相关可观察输入值无法取得或取得不切实可 行时，使用不可观察输入值。</w:t>
      </w:r>
    </w:p>
    <w:p>
      <w:pPr>
        <w:pStyle w:val="Style13"/>
        <w:keepNext w:val="0"/>
        <w:keepLines w:val="0"/>
        <w:widowControl w:val="0"/>
        <w:shd w:val="clear" w:color="auto" w:fill="auto"/>
        <w:tabs>
          <w:tab w:pos="488" w:val="left"/>
        </w:tabs>
        <w:bidi w:val="0"/>
        <w:spacing w:before="0" w:after="220" w:line="470" w:lineRule="exact"/>
        <w:ind w:left="0" w:right="0" w:firstLine="0"/>
        <w:jc w:val="left"/>
      </w:pPr>
      <w:bookmarkStart w:id="781" w:name="bookmark781"/>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0</w:t>
      </w:r>
      <w:r>
        <w:rPr>
          <w:color w:val="000000"/>
          <w:spacing w:val="0"/>
          <w:w w:val="100"/>
          <w:position w:val="0"/>
        </w:rPr>
        <w:t>、</w:t>
        <w:tab/>
        <w:t>存货</w:t>
      </w:r>
    </w:p>
    <w:p>
      <w:pPr>
        <w:pStyle w:val="Style13"/>
        <w:keepNext w:val="0"/>
        <w:keepLines w:val="0"/>
        <w:widowControl w:val="0"/>
        <w:shd w:val="clear" w:color="auto" w:fill="auto"/>
        <w:tabs>
          <w:tab w:pos="992" w:val="left"/>
        </w:tabs>
        <w:bidi w:val="0"/>
        <w:spacing w:before="0" w:after="0" w:line="470" w:lineRule="exact"/>
        <w:ind w:left="0" w:right="0" w:firstLine="48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本公司存货分为原材料、在产品、库存商品、周转材料、发出商品、委托加工物资、合同履 约成本、未到结算期的分期销售收款商品或提供的劳务等。</w:t>
      </w:r>
    </w:p>
    <w:p>
      <w:pPr>
        <w:pStyle w:val="Style13"/>
        <w:keepNext w:val="0"/>
        <w:keepLines w:val="0"/>
        <w:widowControl w:val="0"/>
        <w:shd w:val="clear" w:color="auto" w:fill="auto"/>
        <w:tabs>
          <w:tab w:pos="992" w:val="left"/>
        </w:tabs>
        <w:bidi w:val="0"/>
        <w:spacing w:before="0" w:after="0" w:line="470" w:lineRule="exact"/>
        <w:ind w:left="0" w:right="0" w:firstLine="48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2</w:t>
      </w:r>
      <w:r>
        <w:rPr>
          <w:color w:val="000000"/>
          <w:spacing w:val="0"/>
          <w:w w:val="100"/>
          <w:position w:val="0"/>
        </w:rPr>
        <w:t>）</w:t>
        <w:tab/>
        <w:t>存货取得和发出的计价方法</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本公司存货盘存制度采用永续盘存制，存货取得时按实际成本计价。原材料、在产品、库存 商品、发出商品等发出时采用月末一次加权平均法计价；低值易耗品领用时采用一次转销法摊销； 周转用包装物按照预计的使用次数分次计入成本费用。</w:t>
      </w:r>
    </w:p>
    <w:p>
      <w:pPr>
        <w:pStyle w:val="Style13"/>
        <w:keepNext w:val="0"/>
        <w:keepLines w:val="0"/>
        <w:widowControl w:val="0"/>
        <w:shd w:val="clear" w:color="auto" w:fill="auto"/>
        <w:tabs>
          <w:tab w:pos="992" w:val="left"/>
        </w:tabs>
        <w:bidi w:val="0"/>
        <w:spacing w:before="0" w:after="0" w:line="470" w:lineRule="exact"/>
        <w:ind w:left="0" w:right="0" w:firstLine="48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3</w:t>
      </w:r>
      <w:r>
        <w:rPr>
          <w:color w:val="000000"/>
          <w:spacing w:val="0"/>
          <w:w w:val="100"/>
          <w:position w:val="0"/>
        </w:rPr>
        <w:t>）</w:t>
        <w:tab/>
        <w:t>存货跌价准备计提方法</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本公司期末存货成本高于其可变现净值的，计提存货跌价准备。本公司通常按照单个存货项 目计提存货跌价准备，期末，以前减记存货价值的影响因素已经消失的，存货跌价准备在原己计 提的金额内转回。</w:t>
      </w:r>
    </w:p>
    <w:p>
      <w:pPr>
        <w:pStyle w:val="Style13"/>
        <w:keepNext w:val="0"/>
        <w:keepLines w:val="0"/>
        <w:widowControl w:val="0"/>
        <w:shd w:val="clear" w:color="auto" w:fill="auto"/>
        <w:tabs>
          <w:tab w:pos="992" w:val="left"/>
        </w:tabs>
        <w:bidi w:val="0"/>
        <w:spacing w:before="0" w:after="0" w:line="470" w:lineRule="exact"/>
        <w:ind w:left="0" w:right="0" w:firstLine="48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4</w:t>
      </w:r>
      <w:r>
        <w:rPr>
          <w:color w:val="000000"/>
          <w:spacing w:val="0"/>
          <w:w w:val="100"/>
          <w:position w:val="0"/>
        </w:rPr>
        <w:t>）</w:t>
        <w:tab/>
        <w:t>存货可变现净值的确认方法</w:t>
      </w:r>
    </w:p>
    <w:p>
      <w:pPr>
        <w:pStyle w:val="Style13"/>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存货可变现净值是按存货的估计售价减去至完工时估计将要发生的成本、估计的销售费用以 及相关税费后的金额。</w:t>
      </w:r>
    </w:p>
    <w:p>
      <w:pPr>
        <w:pStyle w:val="Style13"/>
        <w:keepNext w:val="0"/>
        <w:keepLines w:val="0"/>
        <w:widowControl w:val="0"/>
        <w:shd w:val="clear" w:color="auto" w:fill="auto"/>
        <w:tabs>
          <w:tab w:pos="488" w:val="left"/>
        </w:tabs>
        <w:bidi w:val="0"/>
        <w:spacing w:before="0" w:after="220" w:line="470" w:lineRule="exact"/>
        <w:ind w:left="0" w:right="0" w:firstLine="0"/>
        <w:jc w:val="left"/>
      </w:pPr>
      <w:bookmarkStart w:id="786" w:name="bookmark786"/>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1</w:t>
      </w:r>
      <w:r>
        <w:rPr>
          <w:color w:val="000000"/>
          <w:spacing w:val="0"/>
          <w:w w:val="100"/>
          <w:position w:val="0"/>
        </w:rPr>
        <w:t>、</w:t>
        <w:tab/>
        <w:t>合同资产和合同负债</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本公司根据履行履约义务与客户付款之间的关系在资产负债表中列示合同资产或合同负债。 合同资产是本公司已向客户转让商品而有权收取对价的权利，且该权利取决于时间流逝之外的其 他因素。合同负债是本公司已收或应收客户对价而应向客户转让商品的义务。</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合同资产按照预期信用损失法计提减值准备。无论是否包含重大融资成分，本公司在资产负 债表日均按照整个存续期内预期信用损失的金额计量其损失准备，如果该预期信用损失大于当前 合同资产减值准备的账面金额，将其差额确认为减值损失，反之则确认为减值利得。实际发生减 值损失，认定相关合同资产无法收回，经批准予以核销。</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资产负债表日，对于不同合同下的合同资产、合同负债，分别列示。对于同一合同下的合同 资产、合同负债，以净额列示，净额为借方余额的，根据其流动性分别列示为合同资产或其他非 流动资产，己计提减值准备的，减去合同资产减值准备的期末余额后列示；净额为贷方余额的， 根据其流动性列示为合同负债或其他非流动负债。</w:t>
      </w:r>
    </w:p>
    <w:p>
      <w:pPr>
        <w:pStyle w:val="Style13"/>
        <w:keepNext w:val="0"/>
        <w:keepLines w:val="0"/>
        <w:widowControl w:val="0"/>
        <w:shd w:val="clear" w:color="auto" w:fill="auto"/>
        <w:bidi w:val="0"/>
        <w:spacing w:before="0" w:after="220" w:line="469" w:lineRule="exact"/>
        <w:ind w:left="0" w:right="0" w:firstLine="0"/>
        <w:jc w:val="left"/>
      </w:pPr>
      <w:bookmarkStart w:id="787" w:name="bookmark787"/>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2</w:t>
      </w:r>
      <w:r>
        <w:rPr>
          <w:color w:val="000000"/>
          <w:spacing w:val="0"/>
          <w:w w:val="100"/>
          <w:position w:val="0"/>
        </w:rPr>
        <w:t>、长期股权投资</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本部分所指的长期股权投资，是指本公司对被投资单位具有控制、共同控制或重大影响的长 期股权投资。本公司对被投资单位不具有控制、共同控制或重大影响的长期股权投资，作为交易 性金融资产或其他权益工具投资核算，其会计政策详见附注三、</w:t>
      </w:r>
      <w:r>
        <w:rPr>
          <w:rFonts w:ascii="Times New Roman" w:eastAsia="Times New Roman" w:hAnsi="Times New Roman" w:cs="Times New Roman"/>
          <w:color w:val="000000"/>
          <w:spacing w:val="0"/>
          <w:w w:val="100"/>
          <w:position w:val="0"/>
        </w:rPr>
        <w:t xml:space="preserve">9 </w:t>
      </w:r>
      <w:r>
        <w:rPr>
          <w:color w:val="000000"/>
          <w:spacing w:val="0"/>
          <w:w w:val="100"/>
          <w:position w:val="0"/>
        </w:rPr>
        <w:t>“金融工具”。</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共同控制，是指本公司按照相关约定对某项安排所共有的控制，并且该安排的相关活动必须 经过分享控制权的参与方一致同意后才能决策。重大影响，是指本公司对被投资单位的财务和经 营政策有参与决策的权力，但并不能够控制或者与其他方一起共同控制这些政策的制定。</w:t>
      </w:r>
    </w:p>
    <w:p>
      <w:pPr>
        <w:pStyle w:val="Style13"/>
        <w:keepNext w:val="0"/>
        <w:keepLines w:val="0"/>
        <w:widowControl w:val="0"/>
        <w:shd w:val="clear" w:color="auto" w:fill="auto"/>
        <w:tabs>
          <w:tab w:pos="952" w:val="left"/>
        </w:tabs>
        <w:bidi w:val="0"/>
        <w:spacing w:before="0" w:after="0" w:line="469" w:lineRule="exact"/>
        <w:ind w:left="0" w:right="0" w:firstLine="48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对于同一控制下的企业合并取得的长期股权投资，在合并日按照被合并方所有者权益在最终 控制方合并财务报表中的账面价值的份额作为长期股权投资的初始投资成本。长期股权投资初始 投资成本与支付的现金、转让的非现金资产以及所承担债务账面价值之间的差额，调整资本公积; 资本公积不足冲减的，调整留存收益。以发行权益性证券作为合并对价的，在合并日按照被合并 方所有者权益在最终控制方合并财务报表中的账面价值的份额作为长期股权投资的初始投资成 本，按照发行股份的面值总额作为股本，长期股权投资初始投资成本与所发行股份面值总额之间 的差额，调整资本公积；资本公积不足冲减的，调整留存收益。</w:t>
      </w:r>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对于非同一控制下的企业合并取得的长期股权投资，在购买日按照合并成本作为长期股权投 资的初始投资成本，合并成本包括包括购买方付出的资产、发生或承担的负债、发行的权益性证 券的公允价值之和。</w:t>
      </w:r>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合并方或购买方为企业合并发生的审计、法律服务、评估咨询等中介费用以及其他相关管理 费用，于发生时计入当期损益。</w:t>
      </w:r>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除企业合并形成的长期股权投资外的其他股权投资，按成本进行初始计量，该成本视长期股 权投资取得方式的不同，分别按照本公司实际支付的现金购买价款、本公司发行的权益性证券的 公允价值、投资合同或协议约定的价值、非货币性资产交换交易中换出资产的公允价值或原账面 价值、该项长期股权投资自身的公允价值等方式确定。与取得长期股权投资直接相关的费用、税 金及其他必要支出也计入投资成本。</w:t>
      </w:r>
    </w:p>
    <w:p>
      <w:pPr>
        <w:pStyle w:val="Style13"/>
        <w:keepNext w:val="0"/>
        <w:keepLines w:val="0"/>
        <w:widowControl w:val="0"/>
        <w:shd w:val="clear" w:color="auto" w:fill="auto"/>
        <w:tabs>
          <w:tab w:pos="952" w:val="left"/>
        </w:tabs>
        <w:bidi w:val="0"/>
        <w:spacing w:before="0" w:after="0" w:line="469" w:lineRule="exact"/>
        <w:ind w:left="0" w:right="0" w:firstLine="48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13"/>
        <w:keepNext w:val="0"/>
        <w:keepLines w:val="0"/>
        <w:widowControl w:val="0"/>
        <w:shd w:val="clear" w:color="auto" w:fill="auto"/>
        <w:bidi w:val="0"/>
        <w:spacing w:before="0" w:after="220" w:line="466" w:lineRule="exact"/>
        <w:ind w:left="0" w:right="0" w:firstLine="480"/>
        <w:jc w:val="both"/>
      </w:pPr>
      <w:r>
        <w:rPr>
          <w:color w:val="000000"/>
          <w:spacing w:val="0"/>
          <w:w w:val="100"/>
          <w:position w:val="0"/>
        </w:rPr>
        <w:t>对被投资单位具有共同控制（构成共同经营者除外）或重大影响的长期股权投资，采用权益 法核算。此外，公司财务报表采用成本法核算能够对被投资单位实施控制的长期股权投资。</w:t>
      </w:r>
    </w:p>
    <w:p>
      <w:pPr>
        <w:pStyle w:val="Style13"/>
        <w:keepNext w:val="0"/>
        <w:keepLines w:val="0"/>
        <w:widowControl w:val="0"/>
        <w:numPr>
          <w:ilvl w:val="0"/>
          <w:numId w:val="31"/>
        </w:numPr>
        <w:shd w:val="clear" w:color="auto" w:fill="auto"/>
        <w:bidi w:val="0"/>
        <w:spacing w:before="0" w:after="0" w:line="240" w:lineRule="auto"/>
        <w:ind w:left="0" w:right="0" w:firstLine="480"/>
        <w:jc w:val="both"/>
        <w:sectPr>
          <w:footnotePr>
            <w:pos w:val="pageBottom"/>
            <w:numFmt w:val="decimal"/>
            <w:numRestart w:val="continuous"/>
          </w:footnotePr>
          <w:pgSz w:w="11900" w:h="16840"/>
          <w:pgMar w:top="1434" w:right="1007" w:bottom="1467" w:left="1081" w:header="0" w:footer="3" w:gutter="0"/>
          <w:cols w:space="720"/>
          <w:noEndnote/>
          <w:rtlGutter w:val="0"/>
          <w:docGrid w:linePitch="360"/>
        </w:sectPr>
      </w:pPr>
      <w:bookmarkStart w:id="790" w:name="bookmark790"/>
      <w:bookmarkEnd w:id="790"/>
      <w:r>
        <w:rPr>
          <w:color w:val="000000"/>
          <w:spacing w:val="0"/>
          <w:w w:val="100"/>
          <w:position w:val="0"/>
        </w:rPr>
        <w:t>成本法核算的长期股权投资</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采用成本法核算时，长期股权投资按初始投资成本计价，追加或收回投资调整长期股权投资 的成本。除取得投资时实际支付的价款或者对价中包含的已宣告但尚未发放的现金股利或者利润 外，当期投资收益按照享有被投资单位宣告发放的现金股利或利润确认。</w:t>
      </w:r>
    </w:p>
    <w:p>
      <w:pPr>
        <w:pStyle w:val="Style13"/>
        <w:keepNext w:val="0"/>
        <w:keepLines w:val="0"/>
        <w:widowControl w:val="0"/>
        <w:numPr>
          <w:ilvl w:val="0"/>
          <w:numId w:val="31"/>
        </w:numPr>
        <w:shd w:val="clear" w:color="auto" w:fill="auto"/>
        <w:tabs>
          <w:tab w:pos="831" w:val="left"/>
        </w:tabs>
        <w:bidi w:val="0"/>
        <w:spacing w:before="0" w:after="0" w:line="466" w:lineRule="exact"/>
        <w:ind w:left="0" w:right="0" w:firstLine="480"/>
        <w:jc w:val="both"/>
      </w:pPr>
      <w:bookmarkStart w:id="791" w:name="bookmark791"/>
      <w:bookmarkEnd w:id="791"/>
      <w:r>
        <w:rPr>
          <w:color w:val="000000"/>
          <w:spacing w:val="0"/>
          <w:w w:val="100"/>
          <w:position w:val="0"/>
        </w:rPr>
        <w:t>权益法核算的长期股权投资</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采用权益法核算时，按照应享有或应分担的被投资单位实现的净损益和其他综合收益的份 额，分别确认投资收益和其他综合收益，同时调整长期股权投资的账面价值；按照被投资单位宣 告分派的利润或现金股利计算应享有的部分，相应减少长期股权投资的账面价值；对于被投资单 位除净损益、其他综合收益和利润分配以外所有者权益的其他变动，调整长期股权投资的账面价 值并计入资本公积。在确认应享有被投资单位净损益的份额时，以取得投资时被投资单位各项可 辨认资产等的公允价值为基础，对被投资单位的净利润进行调整后确认。被投资单位采用的会计 政策及会计期间与本公司不一致的，按照本公司的会计政策及会计期间对被投资单位的财务报表 进行调整，并据以确认投资收益和其他综合收益。对于本公司与联营企业及合营企业之间发生的 交易，投出或出售的资产不构成业务的，未实现内部交易损益按照享有的比例计算归属于本公司 的部分予以抵销，在此基础上确认投资损益。但本公司与被投资单位发生的未实现内部交易损失， 属于所转让资产减值损失的，不予以抵销。</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Style13"/>
        <w:keepNext w:val="0"/>
        <w:keepLines w:val="0"/>
        <w:widowControl w:val="0"/>
        <w:numPr>
          <w:ilvl w:val="0"/>
          <w:numId w:val="31"/>
        </w:numPr>
        <w:shd w:val="clear" w:color="auto" w:fill="auto"/>
        <w:tabs>
          <w:tab w:pos="831" w:val="left"/>
        </w:tabs>
        <w:bidi w:val="0"/>
        <w:spacing w:before="0" w:after="0" w:line="468" w:lineRule="exact"/>
        <w:ind w:left="0" w:right="0" w:firstLine="480"/>
        <w:jc w:val="both"/>
      </w:pPr>
      <w:bookmarkStart w:id="792" w:name="bookmark792"/>
      <w:bookmarkEnd w:id="792"/>
      <w:r>
        <w:rPr>
          <w:color w:val="000000"/>
          <w:spacing w:val="0"/>
          <w:w w:val="100"/>
          <w:position w:val="0"/>
        </w:rPr>
        <w:t>收购少数股权</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在编制合并财务报表时，因购买少数股权新增的长期股权投资与按照新增持股比例计算应享 有子公司自购买日（或合并日）开始持续计算的净资产份额之间的差额，调整资本公积，资本公 积不足冲减的，调整留存收益。</w:t>
      </w:r>
    </w:p>
    <w:p>
      <w:pPr>
        <w:pStyle w:val="Style13"/>
        <w:keepNext w:val="0"/>
        <w:keepLines w:val="0"/>
        <w:widowControl w:val="0"/>
        <w:numPr>
          <w:ilvl w:val="0"/>
          <w:numId w:val="31"/>
        </w:numPr>
        <w:shd w:val="clear" w:color="auto" w:fill="auto"/>
        <w:tabs>
          <w:tab w:pos="831" w:val="left"/>
        </w:tabs>
        <w:bidi w:val="0"/>
        <w:spacing w:before="0" w:after="60" w:line="468" w:lineRule="exact"/>
        <w:ind w:left="0" w:right="0" w:firstLine="480"/>
        <w:jc w:val="both"/>
      </w:pPr>
      <w:bookmarkStart w:id="793" w:name="bookmark793"/>
      <w:bookmarkEnd w:id="793"/>
      <w:r>
        <w:rPr>
          <w:color w:val="000000"/>
          <w:spacing w:val="0"/>
          <w:w w:val="100"/>
          <w:position w:val="0"/>
        </w:rPr>
        <w:t>处置长期股权投资</w:t>
      </w:r>
    </w:p>
    <w:p>
      <w:pPr>
        <w:pStyle w:val="Style13"/>
        <w:keepNext w:val="0"/>
        <w:keepLines w:val="0"/>
        <w:widowControl w:val="0"/>
        <w:shd w:val="clear" w:color="auto" w:fill="auto"/>
        <w:bidi w:val="0"/>
        <w:spacing w:before="0" w:after="0" w:line="395" w:lineRule="exact"/>
        <w:ind w:left="0" w:right="0" w:firstLine="480"/>
        <w:jc w:val="both"/>
        <w:rPr>
          <w:sz w:val="18"/>
          <w:szCs w:val="18"/>
        </w:rPr>
        <w:sectPr>
          <w:footnotePr>
            <w:pos w:val="pageBottom"/>
            <w:numFmt w:val="decimal"/>
            <w:numRestart w:val="continuous"/>
          </w:footnotePr>
          <w:pgSz w:w="11900" w:h="16840"/>
          <w:pgMar w:top="1566" w:right="999" w:bottom="913" w:left="1104" w:header="0" w:footer="3" w:gutter="0"/>
          <w:cols w:space="720"/>
          <w:noEndnote/>
          <w:rtlGutter w:val="0"/>
          <w:docGrid w:linePitch="360"/>
        </w:sectPr>
      </w:pPr>
      <w:r>
        <w:rPr>
          <w:color w:val="000000"/>
          <w:spacing w:val="0"/>
          <w:w w:val="100"/>
          <w:position w:val="0"/>
          <w:sz w:val="22"/>
          <w:szCs w:val="22"/>
        </w:rPr>
        <w:t>在合并财务报表中，母公司在不丧失控制权的情况下部分处置对子公司的长期股权投资，处 置价款与处置长期股权投资相对应享有子公司净资产的差额计入股东权益；母公司部分处置对子 公司的长期股权投资导致丧失对子公司控制权的，按本附注三、</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 xml:space="preserve">）“合并财务报表编制的 </w:t>
      </w:r>
      <w:r>
        <w:rPr>
          <w:rFonts w:ascii="Times New Roman" w:eastAsia="Times New Roman" w:hAnsi="Times New Roman" w:cs="Times New Roman"/>
          <w:color w:val="000000"/>
          <w:spacing w:val="0"/>
          <w:w w:val="100"/>
          <w:position w:val="0"/>
          <w:sz w:val="18"/>
          <w:szCs w:val="18"/>
        </w:rPr>
        <w:t>142</w:t>
      </w:r>
    </w:p>
    <w:p>
      <w:pPr>
        <w:pStyle w:val="Style13"/>
        <w:keepNext w:val="0"/>
        <w:keepLines w:val="0"/>
        <w:widowControl w:val="0"/>
        <w:shd w:val="clear" w:color="auto" w:fill="auto"/>
        <w:bidi w:val="0"/>
        <w:spacing w:before="0" w:after="0" w:line="467" w:lineRule="exact"/>
        <w:ind w:left="0" w:right="0" w:firstLine="0"/>
        <w:jc w:val="both"/>
      </w:pPr>
      <w:r>
        <w:rPr>
          <w:color w:val="000000"/>
          <w:spacing w:val="0"/>
          <w:w w:val="100"/>
          <w:position w:val="0"/>
        </w:rPr>
        <w:t>方法”中所述的相关会计政策处理。</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其他情形下的长期股权投资处置，对于处置的股权，其账面价值与实际取得价款的差额，计 入当期损益。</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采用权益法核算的长期股权投资，处置后的剩余股权仍采用权益法核算的，在处置时将原计 入股东权益的其他综合收益部分按相应的比例采用与被投资单位直接处置相关资产或负债相同 的基础进行会计处理。因被投资方除净损益、其他综合收益和利润分配以外的其他所有者权益变 动而确认的所有者权益，按比例结转入当期损益。</w:t>
      </w:r>
    </w:p>
    <w:p>
      <w:pPr>
        <w:pStyle w:val="Style13"/>
        <w:keepNext w:val="0"/>
        <w:keepLines w:val="0"/>
        <w:widowControl w:val="0"/>
        <w:shd w:val="clear" w:color="auto" w:fill="auto"/>
        <w:bidi w:val="0"/>
        <w:spacing w:before="0" w:after="220" w:line="467" w:lineRule="exact"/>
        <w:ind w:left="0" w:right="0" w:firstLine="480"/>
        <w:jc w:val="both"/>
      </w:pPr>
      <w:r>
        <w:rPr>
          <w:color w:val="000000"/>
          <w:spacing w:val="0"/>
          <w:w w:val="100"/>
          <w:position w:val="0"/>
        </w:rPr>
        <w:t>采用成本法核算的长期股权投资，处置后剩余股权仍采用成本法核算的，其在取得对被投资 单位的控制之前因采用权益法核算或金融工具确认和计量准则核算而确认的其他综合收益，采用 与被投资单位直接处置相关资产或负债相同的基础进行会计处理，并按比例结转当期损益；因采 用权益法核算而确认的被投资单位净资产中除净损益、其他综合收益和利润分配以外的其他所有 者权益变动按比例结转当期损益。</w:t>
      </w:r>
    </w:p>
    <w:p>
      <w:pPr>
        <w:pStyle w:val="Style13"/>
        <w:keepNext w:val="0"/>
        <w:keepLines w:val="0"/>
        <w:widowControl w:val="0"/>
        <w:shd w:val="clear" w:color="auto" w:fill="auto"/>
        <w:bidi w:val="0"/>
        <w:spacing w:before="0" w:after="220" w:line="468" w:lineRule="exact"/>
        <w:ind w:left="0" w:right="0" w:firstLine="0"/>
        <w:jc w:val="both"/>
      </w:pPr>
      <w:bookmarkStart w:id="794" w:name="bookmark794"/>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3</w:t>
      </w:r>
      <w:r>
        <w:rPr>
          <w:color w:val="000000"/>
          <w:spacing w:val="0"/>
          <w:w w:val="100"/>
          <w:position w:val="0"/>
        </w:rPr>
        <w:t>、投资性房地产</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投资性房地产是指为赚取租金或资本增值，或两者兼有而持有的房地产。本公司投资性房地 产包括已出租的土地使用权、持有并准备增值后转让的土地使用权、已出租的建筑物。</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本公司投资性房地产按照取得时的成本进行初始计量，与投资性房地产有关的后续支出，如 果与该资产有关的经济利益很可能流入且其成本能可靠地计量，则计入投资性房地产成本，其他 后续支出，在发生时计入当期损益。</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本公司投资性房地产采用公允价值模式进行后续计量，不对投资性房地产计提折旧或进行摊 销，以资产负债表日投资性房地产的公允价值为基础调整其账面价值，公允价值与原账面价值之 间的差额计入当期损益。</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本公司确定投资性房地产的公允价值时，参照活跃市场上同类或类似房地产的现行市场价 格；无法取得同类或类似房地产的现行市场价格的，参照活跃市场上同类或类似房地产的最近交 易价格，并考虑资产状况、所在位置、交易情况、交易日期等因素，从而对投资性房地产的公允 价值作出合理的估计；或基于预计未来获得的租金收益和有关现金流量的现值确定其公允价值。</w:t>
      </w:r>
    </w:p>
    <w:p>
      <w:pPr>
        <w:pStyle w:val="Style13"/>
        <w:keepNext w:val="0"/>
        <w:keepLines w:val="0"/>
        <w:widowControl w:val="0"/>
        <w:shd w:val="clear" w:color="auto" w:fill="auto"/>
        <w:bidi w:val="0"/>
        <w:spacing w:before="0" w:after="0" w:line="468" w:lineRule="exact"/>
        <w:ind w:left="0" w:right="0" w:firstLine="480"/>
        <w:jc w:val="both"/>
        <w:sectPr>
          <w:footnotePr>
            <w:pos w:val="pageBottom"/>
            <w:numFmt w:val="decimal"/>
            <w:numRestart w:val="continuous"/>
          </w:footnotePr>
          <w:pgSz w:w="11900" w:h="16840"/>
          <w:pgMar w:top="1570" w:right="1095" w:bottom="1570" w:left="1109" w:header="0" w:footer="3" w:gutter="0"/>
          <w:cols w:space="720"/>
          <w:noEndnote/>
          <w:rtlGutter w:val="0"/>
          <w:docGrid w:linePitch="360"/>
        </w:sectPr>
      </w:pPr>
      <w:r>
        <w:rPr>
          <w:color w:val="000000"/>
          <w:spacing w:val="0"/>
          <w:w w:val="100"/>
          <w:position w:val="0"/>
        </w:rPr>
        <w:t>投资性房地产采用公允价值模式进行后续计量的依据为：①投资性房地产所在地有活跃的房 地产交易市场。②本公司能够从房地产交易市场上取得同类或类似房地产的市场价格及其他相关 信息，从而对投资性房地产的公允价值作出合理的估计。</w:t>
      </w:r>
    </w:p>
    <w:p>
      <w:pPr>
        <w:pStyle w:val="Style40"/>
        <w:keepNext/>
        <w:keepLines/>
        <w:widowControl w:val="0"/>
        <w:shd w:val="clear" w:color="auto" w:fill="auto"/>
        <w:bidi w:val="0"/>
        <w:spacing w:before="0" w:after="0" w:line="240" w:lineRule="auto"/>
        <w:ind w:left="0" w:right="0" w:firstLine="140"/>
        <w:jc w:val="left"/>
      </w:pPr>
      <w:bookmarkStart w:id="795" w:name="bookmark795"/>
      <w:bookmarkStart w:id="796" w:name="bookmark796"/>
      <w:bookmarkStart w:id="797" w:name="bookmark797"/>
      <w:r>
        <w:rPr>
          <w:spacing w:val="0"/>
          <w:w w:val="100"/>
          <w:position w:val="0"/>
        </w:rPr>
        <w:t>Nation 0</w:t>
      </w:r>
      <w:bookmarkEnd w:id="795"/>
      <w:bookmarkEnd w:id="796"/>
      <w:bookmarkEnd w:id="797"/>
    </w:p>
    <w:p>
      <w:pPr>
        <w:pStyle w:val="Style5"/>
        <w:keepNext w:val="0"/>
        <w:keepLines w:val="0"/>
        <w:widowControl w:val="0"/>
        <w:shd w:val="clear" w:color="auto" w:fill="auto"/>
        <w:bidi w:val="0"/>
        <w:spacing w:before="0" w:after="440" w:line="240" w:lineRule="auto"/>
        <w:ind w:left="0" w:right="0" w:firstLine="780"/>
        <w:jc w:val="both"/>
      </w:pPr>
      <w:r>
        <w:rPr>
          <w:color w:val="000000"/>
          <w:spacing w:val="0"/>
          <w:w w:val="100"/>
          <w:position w:val="0"/>
        </w:rPr>
        <w:t>国民技术</w:t>
      </w:r>
      <w:r>
        <w:rPr>
          <w:color w:val="01418A"/>
          <w:spacing w:val="0"/>
          <w:w w:val="100"/>
          <w:position w:val="0"/>
        </w:rPr>
        <w:t>▼</w:t>
      </w:r>
    </w:p>
    <w:p>
      <w:pPr>
        <w:pStyle w:val="Style13"/>
        <w:keepNext w:val="0"/>
        <w:keepLines w:val="0"/>
        <w:widowControl w:val="0"/>
        <w:shd w:val="clear" w:color="auto" w:fill="auto"/>
        <w:bidi w:val="0"/>
        <w:spacing w:before="0" w:after="220" w:line="240" w:lineRule="auto"/>
        <w:ind w:left="0" w:right="0" w:firstLine="140"/>
        <w:jc w:val="both"/>
      </w:pPr>
      <w:bookmarkStart w:id="798" w:name="bookmark798"/>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4</w:t>
      </w:r>
      <w:r>
        <w:rPr>
          <w:color w:val="000000"/>
          <w:spacing w:val="0"/>
          <w:w w:val="100"/>
          <w:position w:val="0"/>
        </w:rPr>
        <w:t>、固定资产及其累计折旧</w:t>
      </w:r>
    </w:p>
    <w:p>
      <w:pPr>
        <w:pStyle w:val="Style13"/>
        <w:keepNext w:val="0"/>
        <w:keepLines w:val="0"/>
        <w:widowControl w:val="0"/>
        <w:shd w:val="clear" w:color="auto" w:fill="auto"/>
        <w:tabs>
          <w:tab w:pos="1112" w:val="left"/>
        </w:tabs>
        <w:bidi w:val="0"/>
        <w:spacing w:before="0" w:after="0" w:line="468" w:lineRule="exact"/>
        <w:ind w:left="0" w:right="0" w:firstLine="60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1</w:t>
      </w:r>
      <w:r>
        <w:rPr>
          <w:color w:val="000000"/>
          <w:spacing w:val="0"/>
          <w:w w:val="100"/>
          <w:position w:val="0"/>
        </w:rPr>
        <w:t>）</w:t>
        <w:tab/>
        <w:t>固定资产的确认条件</w:t>
      </w:r>
    </w:p>
    <w:p>
      <w:pPr>
        <w:pStyle w:val="Style13"/>
        <w:keepNext w:val="0"/>
        <w:keepLines w:val="0"/>
        <w:widowControl w:val="0"/>
        <w:shd w:val="clear" w:color="auto" w:fill="auto"/>
        <w:bidi w:val="0"/>
        <w:spacing w:before="0" w:after="0" w:line="468" w:lineRule="exact"/>
        <w:ind w:left="140" w:right="0" w:firstLine="460"/>
        <w:jc w:val="both"/>
      </w:pPr>
      <w:r>
        <w:rPr>
          <w:color w:val="000000"/>
          <w:spacing w:val="0"/>
          <w:w w:val="100"/>
          <w:position w:val="0"/>
        </w:rPr>
        <w:t>本公司固定资产是指为生产商品、提供劳务、出租或经营管理而持有的，使用寿命超过一个 会计年度的有形资产。</w:t>
      </w:r>
    </w:p>
    <w:p>
      <w:pPr>
        <w:pStyle w:val="Style13"/>
        <w:keepNext w:val="0"/>
        <w:keepLines w:val="0"/>
        <w:widowControl w:val="0"/>
        <w:shd w:val="clear" w:color="auto" w:fill="auto"/>
        <w:bidi w:val="0"/>
        <w:spacing w:before="0" w:after="0" w:line="468" w:lineRule="exact"/>
        <w:ind w:left="140" w:right="0" w:firstLine="460"/>
        <w:jc w:val="both"/>
      </w:pPr>
      <w:r>
        <w:rPr>
          <w:color w:val="000000"/>
          <w:spacing w:val="0"/>
          <w:w w:val="100"/>
          <w:position w:val="0"/>
        </w:rPr>
        <w:t>与该固定资产有关的经济利益很可能流入企业，并且该固定资产的成本能够可靠地计量时， 固定资产才能予以确认。</w:t>
      </w:r>
    </w:p>
    <w:p>
      <w:pPr>
        <w:pStyle w:val="Style13"/>
        <w:keepNext w:val="0"/>
        <w:keepLines w:val="0"/>
        <w:widowControl w:val="0"/>
        <w:shd w:val="clear" w:color="auto" w:fill="auto"/>
        <w:bidi w:val="0"/>
        <w:spacing w:before="0" w:after="0" w:line="468" w:lineRule="exact"/>
        <w:ind w:left="0" w:right="0" w:firstLine="600"/>
        <w:jc w:val="both"/>
      </w:pPr>
      <w:r>
        <w:rPr>
          <w:color w:val="000000"/>
          <w:spacing w:val="0"/>
          <w:w w:val="100"/>
          <w:position w:val="0"/>
        </w:rPr>
        <w:t>本公司固定资产按照取得时的实际成本进行初始计量。</w:t>
      </w:r>
    </w:p>
    <w:p>
      <w:pPr>
        <w:pStyle w:val="Style13"/>
        <w:keepNext w:val="0"/>
        <w:keepLines w:val="0"/>
        <w:widowControl w:val="0"/>
        <w:shd w:val="clear" w:color="auto" w:fill="auto"/>
        <w:tabs>
          <w:tab w:pos="1112" w:val="left"/>
        </w:tabs>
        <w:bidi w:val="0"/>
        <w:spacing w:before="0" w:after="0" w:line="468" w:lineRule="exact"/>
        <w:ind w:left="0" w:right="0" w:firstLine="60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2</w:t>
      </w:r>
      <w:r>
        <w:rPr>
          <w:color w:val="000000"/>
          <w:spacing w:val="0"/>
          <w:w w:val="100"/>
          <w:position w:val="0"/>
        </w:rPr>
        <w:t>）</w:t>
        <w:tab/>
        <w:t>固定资产分类及折旧政策</w:t>
      </w:r>
    </w:p>
    <w:p>
      <w:pPr>
        <w:pStyle w:val="Style13"/>
        <w:keepNext w:val="0"/>
        <w:keepLines w:val="0"/>
        <w:widowControl w:val="0"/>
        <w:shd w:val="clear" w:color="auto" w:fill="auto"/>
        <w:bidi w:val="0"/>
        <w:spacing w:before="0" w:after="220" w:line="475" w:lineRule="exact"/>
        <w:ind w:left="140" w:right="0" w:firstLine="460"/>
        <w:jc w:val="both"/>
      </w:pPr>
      <w:r>
        <w:rPr>
          <w:color w:val="000000"/>
          <w:spacing w:val="0"/>
          <w:w w:val="100"/>
          <w:position w:val="0"/>
        </w:rPr>
        <w:t>本公司采用年限平均法计提折旧。固定资产自达到预定可使用状态时开始计提折旧，终止确 认时或划分为持有待售非流动资产时停止计提折旧。在不考虑减值准备的情况下，按固定资产类</w:t>
      </w:r>
    </w:p>
    <w:p>
      <w:pPr>
        <w:pStyle w:val="Style30"/>
        <w:keepNext w:val="0"/>
        <w:keepLines w:val="0"/>
        <w:widowControl w:val="0"/>
        <w:shd w:val="clear" w:color="auto" w:fill="auto"/>
        <w:bidi w:val="0"/>
        <w:spacing w:before="0" w:after="0" w:line="240" w:lineRule="auto"/>
        <w:ind w:left="139" w:right="0" w:firstLine="0"/>
        <w:jc w:val="left"/>
        <w:rPr>
          <w:sz w:val="22"/>
          <w:szCs w:val="22"/>
        </w:rPr>
      </w:pPr>
      <w:r>
        <w:rPr>
          <w:color w:val="000000"/>
          <w:spacing w:val="0"/>
          <w:w w:val="100"/>
          <w:position w:val="0"/>
          <w:sz w:val="22"/>
          <w:szCs w:val="22"/>
        </w:rPr>
        <w:t>别、预计使用寿命和预计残值，本公司确定各类固定资产的年折旧率如下:</w:t>
      </w:r>
    </w:p>
    <w:tbl>
      <w:tblPr>
        <w:tblOverlap w:val="never"/>
        <w:jc w:val="center"/>
        <w:tblLayout w:type="fixed"/>
      </w:tblPr>
      <w:tblGrid>
        <w:gridCol w:w="2990"/>
        <w:gridCol w:w="1560"/>
        <w:gridCol w:w="1699"/>
        <w:gridCol w:w="1416"/>
        <w:gridCol w:w="1574"/>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折旧方法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使用年限 （年）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残值率</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年折旧率</w:t>
            </w:r>
            <w:r>
              <w:rPr>
                <w:b/>
                <w:bCs/>
                <w:color w:val="000000"/>
                <w:spacing w:val="0"/>
                <w:w w:val="100"/>
                <w:position w:val="0"/>
                <w:sz w:val="20"/>
                <w:szCs w:val="2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3.17-4.85</w:t>
            </w:r>
          </w:p>
        </w:tc>
      </w:tr>
      <w:tr>
        <w:trPr>
          <w:trHeight w:val="51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机器设备及工具设备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9.70-33.33</w:t>
            </w:r>
          </w:p>
        </w:tc>
      </w:tr>
      <w:tr>
        <w:trPr>
          <w:trHeight w:val="53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11.88-24.25</w:t>
            </w:r>
          </w:p>
        </w:tc>
      </w:tr>
    </w:tbl>
    <w:p>
      <w:pPr>
        <w:pStyle w:val="Style13"/>
        <w:keepNext w:val="0"/>
        <w:keepLines w:val="0"/>
        <w:widowControl w:val="0"/>
        <w:shd w:val="clear" w:color="auto" w:fill="auto"/>
        <w:bidi w:val="0"/>
        <w:spacing w:before="0" w:after="0" w:line="469" w:lineRule="exact"/>
        <w:ind w:left="140" w:right="0" w:firstLine="460"/>
        <w:jc w:val="both"/>
      </w:pPr>
      <w:r>
        <w:rPr>
          <w:color w:val="000000"/>
          <w:spacing w:val="0"/>
          <w:w w:val="100"/>
          <w:position w:val="0"/>
        </w:rPr>
        <w:t>其中，己计提减值准备的固定资产，还应扣除已计提的固定资产减值准备累计金额计算确定 折旧。</w:t>
      </w:r>
    </w:p>
    <w:p>
      <w:pPr>
        <w:pStyle w:val="Style13"/>
        <w:keepNext w:val="0"/>
        <w:keepLines w:val="0"/>
        <w:widowControl w:val="0"/>
        <w:shd w:val="clear" w:color="auto" w:fill="auto"/>
        <w:bidi w:val="0"/>
        <w:spacing w:before="0" w:after="0" w:line="469" w:lineRule="exact"/>
        <w:ind w:left="140" w:right="0" w:firstLine="460"/>
        <w:jc w:val="both"/>
      </w:pPr>
      <w:r>
        <w:rPr>
          <w:color w:val="000000"/>
          <w:spacing w:val="0"/>
          <w:w w:val="100"/>
          <w:position w:val="0"/>
        </w:rPr>
        <w:t>每年年度终了，本公司对固定资产的使用寿命、预计净残值和折旧方法进行复核。使用寿命 预计数与原先估计数有差异的，调整固定资产使用寿命；预计净残值预计数与原先估计数有差异 的，调整预计净残值。</w:t>
      </w:r>
    </w:p>
    <w:p>
      <w:pPr>
        <w:pStyle w:val="Style13"/>
        <w:keepNext w:val="0"/>
        <w:keepLines w:val="0"/>
        <w:widowControl w:val="0"/>
        <w:shd w:val="clear" w:color="auto" w:fill="auto"/>
        <w:bidi w:val="0"/>
        <w:spacing w:before="0" w:after="0" w:line="470" w:lineRule="exact"/>
        <w:ind w:left="0" w:right="0" w:firstLine="60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3</w:t>
      </w:r>
      <w:r>
        <w:rPr>
          <w:color w:val="000000"/>
          <w:spacing w:val="0"/>
          <w:w w:val="100"/>
          <w:position w:val="0"/>
        </w:rPr>
        <w:t>）大修理费用</w:t>
      </w:r>
    </w:p>
    <w:p>
      <w:pPr>
        <w:pStyle w:val="Style13"/>
        <w:keepNext w:val="0"/>
        <w:keepLines w:val="0"/>
        <w:widowControl w:val="0"/>
        <w:shd w:val="clear" w:color="auto" w:fill="auto"/>
        <w:bidi w:val="0"/>
        <w:spacing w:before="0" w:after="440" w:line="470" w:lineRule="exact"/>
        <w:ind w:left="140" w:right="0" w:firstLine="460"/>
        <w:jc w:val="both"/>
      </w:pPr>
      <w:r>
        <w:rPr>
          <w:color w:val="000000"/>
          <w:spacing w:val="0"/>
          <w:w w:val="100"/>
          <w:position w:val="0"/>
        </w:rPr>
        <w:t>本公司对固定资产进行定期检查发生的大修理费用，有确凿证据表明符合固定资产确认条件 的部分，计入固定资产成本，不符合固定资产确认条件的计入当期损益。固定资产在定期大修理 间隔期间，照提折旧。</w:t>
      </w:r>
    </w:p>
    <w:p>
      <w:pPr>
        <w:pStyle w:val="Style13"/>
        <w:keepNext w:val="0"/>
        <w:keepLines w:val="0"/>
        <w:widowControl w:val="0"/>
        <w:shd w:val="clear" w:color="auto" w:fill="auto"/>
        <w:bidi w:val="0"/>
        <w:spacing w:before="0" w:after="0" w:line="446" w:lineRule="auto"/>
        <w:ind w:left="0" w:right="0" w:firstLine="140"/>
        <w:jc w:val="both"/>
      </w:pPr>
      <w:bookmarkStart w:id="802" w:name="bookmark802"/>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5</w:t>
      </w:r>
      <w:r>
        <w:rPr>
          <w:color w:val="000000"/>
          <w:spacing w:val="0"/>
          <w:w w:val="100"/>
          <w:position w:val="0"/>
        </w:rPr>
        <w:t>、在建工程</w:t>
      </w:r>
    </w:p>
    <w:p>
      <w:pPr>
        <w:pStyle w:val="Style13"/>
        <w:keepNext w:val="0"/>
        <w:keepLines w:val="0"/>
        <w:widowControl w:val="0"/>
        <w:shd w:val="clear" w:color="auto" w:fill="auto"/>
        <w:bidi w:val="0"/>
        <w:spacing w:before="0" w:after="0" w:line="475" w:lineRule="exact"/>
        <w:ind w:left="140" w:right="0" w:firstLine="460"/>
        <w:jc w:val="both"/>
        <w:sectPr>
          <w:footnotePr>
            <w:pos w:val="pageBottom"/>
            <w:numFmt w:val="decimal"/>
            <w:numRestart w:val="continuous"/>
          </w:footnotePr>
          <w:pgSz w:w="11900" w:h="16840"/>
          <w:pgMar w:top="313" w:right="1090" w:bottom="1369" w:left="975" w:header="0" w:footer="3" w:gutter="0"/>
          <w:cols w:space="720"/>
          <w:noEndnote/>
          <w:rtlGutter w:val="0"/>
          <w:docGrid w:linePitch="360"/>
        </w:sectPr>
      </w:pPr>
      <w:r>
        <w:rPr>
          <w:color w:val="000000"/>
          <w:spacing w:val="0"/>
          <w:w w:val="100"/>
          <w:position w:val="0"/>
        </w:rPr>
        <w:t>本公司在建工程成本按实际工程支出确定，包括在建期间发生的各项必要工程支出、工程达 到预定可使用状态前的应予资本化的借款费用以及其他相关费用等。</w:t>
      </w:r>
    </w:p>
    <w:p>
      <w:pPr>
        <w:pStyle w:val="Style13"/>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在建工程在达到预定可使用状态时转入固定资产。</w:t>
      </w:r>
    </w:p>
    <w:p>
      <w:pPr>
        <w:pStyle w:val="Style13"/>
        <w:keepNext w:val="0"/>
        <w:keepLines w:val="0"/>
        <w:widowControl w:val="0"/>
        <w:shd w:val="clear" w:color="auto" w:fill="auto"/>
        <w:tabs>
          <w:tab w:pos="458" w:val="left"/>
        </w:tabs>
        <w:bidi w:val="0"/>
        <w:spacing w:before="0" w:after="220" w:line="469" w:lineRule="exact"/>
        <w:ind w:left="0" w:right="0" w:firstLine="0"/>
        <w:jc w:val="both"/>
      </w:pPr>
      <w:bookmarkStart w:id="803" w:name="bookmark803"/>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p>
    <w:p>
      <w:pPr>
        <w:pStyle w:val="Style13"/>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借款费用包括借款利息、折价或溢价的摊销、辅助费用以及因外币借款而发生的汇兑差额等。 可直接归属于符合资本化条件的资产的购建或者生产的借款费用，在资产支出已经发生、借款费 用已经发生、为使资产达到预定可使用或可销售状态所必要的购建或生产活动已经开始时，开始 资本化；构建或者生产的符合资本化条件的资产达到预定可使用状态或者可销售状态时，停止资 本化。其余借款费用在发生当期确认为费用。</w:t>
      </w:r>
    </w:p>
    <w:p>
      <w:pPr>
        <w:pStyle w:val="Style13"/>
        <w:keepNext w:val="0"/>
        <w:keepLines w:val="0"/>
        <w:widowControl w:val="0"/>
        <w:shd w:val="clear" w:color="auto" w:fill="auto"/>
        <w:bidi w:val="0"/>
        <w:spacing w:before="0" w:after="0" w:line="469" w:lineRule="exact"/>
        <w:ind w:left="0" w:right="0" w:firstLine="480"/>
        <w:jc w:val="left"/>
      </w:pPr>
      <w:r>
        <w:rPr>
          <w:color w:val="000000"/>
          <w:spacing w:val="0"/>
          <w:w w:val="100"/>
          <w:position w:val="0"/>
        </w:rPr>
        <w:t>专门借款当期实际发生的利息费用，减去尚未动用的借款资金存入银行取得的利息收入或进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借款的加权平均利率计算确定。</w:t>
      </w:r>
    </w:p>
    <w:p>
      <w:pPr>
        <w:pStyle w:val="Style13"/>
        <w:keepNext w:val="0"/>
        <w:keepLines w:val="0"/>
        <w:widowControl w:val="0"/>
        <w:shd w:val="clear" w:color="auto" w:fill="auto"/>
        <w:bidi w:val="0"/>
        <w:spacing w:before="0" w:after="0" w:line="469" w:lineRule="exact"/>
        <w:ind w:left="0" w:right="0" w:firstLine="480"/>
        <w:jc w:val="left"/>
      </w:pPr>
      <w:r>
        <w:rPr>
          <w:color w:val="000000"/>
          <w:spacing w:val="0"/>
          <w:w w:val="100"/>
          <w:position w:val="0"/>
        </w:rPr>
        <w:t>资本化期间内，外币专门借款的汇兑差额全部予以资本化；外币一般借款的汇兑差额计入当 期损益。</w:t>
      </w:r>
    </w:p>
    <w:p>
      <w:pPr>
        <w:pStyle w:val="Style13"/>
        <w:keepNext w:val="0"/>
        <w:keepLines w:val="0"/>
        <w:widowControl w:val="0"/>
        <w:shd w:val="clear" w:color="auto" w:fill="auto"/>
        <w:bidi w:val="0"/>
        <w:spacing w:before="0" w:after="0" w:line="469" w:lineRule="exact"/>
        <w:ind w:left="0" w:right="0" w:firstLine="480"/>
        <w:jc w:val="left"/>
      </w:pPr>
      <w:r>
        <w:rPr>
          <w:color w:val="000000"/>
          <w:spacing w:val="0"/>
          <w:w w:val="100"/>
          <w:position w:val="0"/>
        </w:rPr>
        <w:t>符合资本化条件的资产指需要经过相当长时间的购建或者生产活动才能达到预定可使用或 可销售状态的固定资产、投资性房地产和存货等资产。</w:t>
      </w:r>
    </w:p>
    <w:p>
      <w:pPr>
        <w:pStyle w:val="Style13"/>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个月的，暂停借款费用的资本化，直至资产的购建或生产活动重新开始。</w:t>
      </w:r>
    </w:p>
    <w:p>
      <w:pPr>
        <w:pStyle w:val="Style13"/>
        <w:keepNext w:val="0"/>
        <w:keepLines w:val="0"/>
        <w:widowControl w:val="0"/>
        <w:shd w:val="clear" w:color="auto" w:fill="auto"/>
        <w:bidi w:val="0"/>
        <w:spacing w:before="0" w:after="0" w:line="469" w:lineRule="exact"/>
        <w:ind w:left="0" w:right="0" w:firstLine="480"/>
        <w:jc w:val="left"/>
      </w:pPr>
      <w:r>
        <w:rPr>
          <w:color w:val="000000"/>
          <w:spacing w:val="0"/>
          <w:w w:val="100"/>
          <w:position w:val="0"/>
        </w:rPr>
        <w:t>专门借款的利息费用（扣除尚未动用的借款资金存入银行取得的利息收入或者进行暂时性投 资取得的投资收益）及其辅助费用在所购建或者生产的符合资本化条件的资产达到预定可使用或 者可销售状态前，予以资本化。</w:t>
      </w:r>
    </w:p>
    <w:p>
      <w:pPr>
        <w:pStyle w:val="Style13"/>
        <w:keepNext w:val="0"/>
        <w:keepLines w:val="0"/>
        <w:widowControl w:val="0"/>
        <w:shd w:val="clear" w:color="auto" w:fill="auto"/>
        <w:bidi w:val="0"/>
        <w:spacing w:before="0" w:after="0" w:line="469" w:lineRule="exact"/>
        <w:ind w:left="0" w:right="0" w:firstLine="480"/>
        <w:jc w:val="left"/>
      </w:pPr>
      <w:r>
        <w:rPr>
          <w:color w:val="000000"/>
          <w:spacing w:val="0"/>
          <w:w w:val="100"/>
          <w:position w:val="0"/>
        </w:rPr>
        <w:t>根据累计资产支出超过专门借款部分的资产支出加权平均数乘以所占用一般借款的资本化 率，计算确定一般借款应予资本化的利息金额。资本化率根据一般借款加权平均利率计算确定。</w:t>
      </w:r>
    </w:p>
    <w:p>
      <w:pPr>
        <w:pStyle w:val="Style13"/>
        <w:keepNext w:val="0"/>
        <w:keepLines w:val="0"/>
        <w:widowControl w:val="0"/>
        <w:shd w:val="clear" w:color="auto" w:fill="auto"/>
        <w:bidi w:val="0"/>
        <w:spacing w:before="0" w:after="220" w:line="469" w:lineRule="exact"/>
        <w:ind w:left="0" w:right="0" w:firstLine="480"/>
        <w:jc w:val="left"/>
      </w:pPr>
      <w:r>
        <w:rPr>
          <w:color w:val="000000"/>
          <w:spacing w:val="0"/>
          <w:w w:val="100"/>
          <w:position w:val="0"/>
        </w:rPr>
        <w:t>借款存在折价或者溢价的，按照实际利率法确定每一会计期间应摊销的折价或者溢价金额， 调整每期利息金额。实际利率法是根据借款实际利率计算其摊余折价或溢价或利息费用的方法。 其中实际利率是借款在预期存续期间的未来现金流量，折现为该借款当前账面价值所使用的利 率。</w:t>
      </w:r>
    </w:p>
    <w:p>
      <w:pPr>
        <w:pStyle w:val="Style13"/>
        <w:keepNext w:val="0"/>
        <w:keepLines w:val="0"/>
        <w:widowControl w:val="0"/>
        <w:shd w:val="clear" w:color="auto" w:fill="auto"/>
        <w:tabs>
          <w:tab w:pos="458" w:val="left"/>
        </w:tabs>
        <w:bidi w:val="0"/>
        <w:spacing w:before="0" w:after="380" w:line="469" w:lineRule="exact"/>
        <w:ind w:left="0" w:right="0" w:firstLine="0"/>
        <w:jc w:val="both"/>
      </w:pPr>
      <w:bookmarkStart w:id="804" w:name="bookmark804"/>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7</w:t>
      </w:r>
      <w:r>
        <w:rPr>
          <w:color w:val="000000"/>
          <w:spacing w:val="0"/>
          <w:w w:val="100"/>
          <w:position w:val="0"/>
        </w:rPr>
        <w:t>、</w:t>
        <w:tab/>
        <w:t>租赁</w:t>
      </w:r>
    </w:p>
    <w:p>
      <w:pPr>
        <w:pStyle w:val="Style13"/>
        <w:keepNext w:val="0"/>
        <w:keepLines w:val="0"/>
        <w:widowControl w:val="0"/>
        <w:shd w:val="clear" w:color="auto" w:fill="auto"/>
        <w:bidi w:val="0"/>
        <w:spacing w:before="0" w:after="220" w:line="298" w:lineRule="exact"/>
        <w:ind w:left="4700" w:right="0" w:hanging="4220"/>
        <w:jc w:val="both"/>
        <w:rPr>
          <w:sz w:val="18"/>
          <w:szCs w:val="18"/>
        </w:rPr>
        <w:sectPr>
          <w:footnotePr>
            <w:pos w:val="pageBottom"/>
            <w:numFmt w:val="decimal"/>
            <w:numRestart w:val="continuous"/>
          </w:footnotePr>
          <w:pgSz w:w="11900" w:h="16840"/>
          <w:pgMar w:top="1570" w:right="999" w:bottom="912" w:left="1109" w:header="0" w:footer="3" w:gutter="0"/>
          <w:cols w:space="720"/>
          <w:noEndnote/>
          <w:rtlGutter w:val="0"/>
          <w:docGrid w:linePitch="360"/>
        </w:sectPr>
      </w:pPr>
      <w:r>
        <w:rPr>
          <w:color w:val="000000"/>
          <w:spacing w:val="0"/>
          <w:w w:val="100"/>
          <w:position w:val="0"/>
          <w:sz w:val="22"/>
          <w:szCs w:val="22"/>
        </w:rPr>
        <w:t xml:space="preserve">租赁，是指在一定期间内，出租人将资产的使用权让与承租人以获取对价的合同。在合同开 </w:t>
      </w:r>
      <w:r>
        <w:rPr>
          <w:rFonts w:ascii="Times New Roman" w:eastAsia="Times New Roman" w:hAnsi="Times New Roman" w:cs="Times New Roman"/>
          <w:color w:val="000000"/>
          <w:spacing w:val="0"/>
          <w:w w:val="100"/>
          <w:position w:val="0"/>
          <w:sz w:val="18"/>
          <w:szCs w:val="18"/>
        </w:rPr>
        <w:t>145</w:t>
      </w:r>
    </w:p>
    <w:p>
      <w:pPr>
        <w:pStyle w:val="Style13"/>
        <w:keepNext w:val="0"/>
        <w:keepLines w:val="0"/>
        <w:widowControl w:val="0"/>
        <w:shd w:val="clear" w:color="auto" w:fill="auto"/>
        <w:bidi w:val="0"/>
        <w:spacing w:before="0" w:after="0" w:line="475" w:lineRule="exact"/>
        <w:ind w:left="0" w:right="0" w:firstLine="0"/>
        <w:jc w:val="both"/>
      </w:pPr>
      <w:r>
        <w:rPr>
          <w:color w:val="000000"/>
          <w:spacing w:val="0"/>
          <w:w w:val="100"/>
          <w:position w:val="0"/>
        </w:rPr>
        <w:t>始日，本公司评估合同是否为租赁或者包含租赁，如果合同中一方让渡了在一定期间内控制一项 或多项已识别资产使用的权利以换取对价，则该合同为租赁或者包含租赁。除非合同条款和条件 发生变化，本公司不重新评估合同是否为租赁或者包含租赁。</w:t>
      </w:r>
    </w:p>
    <w:p>
      <w:pPr>
        <w:pStyle w:val="Style13"/>
        <w:keepNext w:val="0"/>
        <w:keepLines w:val="0"/>
        <w:widowControl w:val="0"/>
        <w:shd w:val="clear" w:color="auto" w:fill="auto"/>
        <w:bidi w:val="0"/>
        <w:spacing w:before="0" w:after="60" w:line="475" w:lineRule="exact"/>
        <w:ind w:left="0" w:right="0" w:firstLine="48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1</w:t>
      </w:r>
      <w:r>
        <w:rPr>
          <w:color w:val="000000"/>
          <w:spacing w:val="0"/>
          <w:w w:val="100"/>
          <w:position w:val="0"/>
        </w:rPr>
        <w:t>）本公司作为承租人</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合同中同时包含多项单独租赁的，将合同予以分拆，分别各项单独租赁进行会计处理。合同 中同时包含租赁和非租赁部分的，将租赁和非租赁部分进行分拆，按照各租赁部分单独价格及非 租赁部分的单独价格之和的相对比例分摊合同对价。租赁期是本公司有权使用租赁资产且不可撤 销的期间。</w:t>
      </w:r>
    </w:p>
    <w:p>
      <w:pPr>
        <w:pStyle w:val="Style13"/>
        <w:keepNext w:val="0"/>
        <w:keepLines w:val="0"/>
        <w:widowControl w:val="0"/>
        <w:numPr>
          <w:ilvl w:val="0"/>
          <w:numId w:val="33"/>
        </w:numPr>
        <w:shd w:val="clear" w:color="auto" w:fill="auto"/>
        <w:tabs>
          <w:tab w:pos="851" w:val="left"/>
        </w:tabs>
        <w:bidi w:val="0"/>
        <w:spacing w:before="0" w:after="0" w:line="468" w:lineRule="exact"/>
        <w:ind w:left="0" w:right="0" w:firstLine="480"/>
        <w:jc w:val="both"/>
      </w:pPr>
      <w:bookmarkStart w:id="806" w:name="bookmark806"/>
      <w:bookmarkEnd w:id="806"/>
      <w:r>
        <w:rPr>
          <w:color w:val="000000"/>
          <w:spacing w:val="0"/>
          <w:w w:val="100"/>
          <w:position w:val="0"/>
        </w:rPr>
        <w:t>使用权资产</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使用权资产是指本公司可在租赁期内使用租赁资产的权利。本公司租赁资产的类别主要包括 房屋建筑物。</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在租赁期开始日，本公司按照成本对使用权资产进行初始计量，包括：</w:t>
      </w:r>
      <w:r>
        <w:rPr>
          <w:rFonts w:ascii="Times New Roman" w:eastAsia="Times New Roman" w:hAnsi="Times New Roman" w:cs="Times New Roman"/>
          <w:color w:val="000000"/>
          <w:spacing w:val="0"/>
          <w:w w:val="100"/>
          <w:position w:val="0"/>
        </w:rPr>
        <w:t>A.</w:t>
      </w:r>
      <w:r>
        <w:rPr>
          <w:color w:val="000000"/>
          <w:spacing w:val="0"/>
          <w:w w:val="100"/>
          <w:position w:val="0"/>
        </w:rPr>
        <w:t>租赁负债的初始计 量金额；</w:t>
      </w:r>
      <w:r>
        <w:rPr>
          <w:rFonts w:ascii="Times New Roman" w:eastAsia="Times New Roman" w:hAnsi="Times New Roman" w:cs="Times New Roman"/>
          <w:color w:val="000000"/>
          <w:spacing w:val="0"/>
          <w:w w:val="100"/>
          <w:position w:val="0"/>
        </w:rPr>
        <w:t>B.</w:t>
      </w:r>
      <w:r>
        <w:rPr>
          <w:color w:val="000000"/>
          <w:spacing w:val="0"/>
          <w:w w:val="100"/>
          <w:position w:val="0"/>
        </w:rPr>
        <w:t>在租赁期开始日或之前支付的租赁付款额，存在租赁激励的，扣除已享受的租赁激励 相关金额；</w:t>
      </w:r>
      <w:r>
        <w:rPr>
          <w:rFonts w:ascii="Times New Roman" w:eastAsia="Times New Roman" w:hAnsi="Times New Roman" w:cs="Times New Roman"/>
          <w:color w:val="000000"/>
          <w:spacing w:val="0"/>
          <w:w w:val="100"/>
          <w:position w:val="0"/>
        </w:rPr>
        <w:t>C.</w:t>
      </w:r>
      <w:r>
        <w:rPr>
          <w:color w:val="000000"/>
          <w:spacing w:val="0"/>
          <w:w w:val="100"/>
          <w:position w:val="0"/>
        </w:rPr>
        <w:t>发生的初始直接费用；</w:t>
      </w:r>
      <w:r>
        <w:rPr>
          <w:rFonts w:ascii="Times New Roman" w:eastAsia="Times New Roman" w:hAnsi="Times New Roman" w:cs="Times New Roman"/>
          <w:color w:val="000000"/>
          <w:spacing w:val="0"/>
          <w:w w:val="100"/>
          <w:position w:val="0"/>
        </w:rPr>
        <w:t>D.</w:t>
      </w:r>
      <w:r>
        <w:rPr>
          <w:color w:val="000000"/>
          <w:spacing w:val="0"/>
          <w:w w:val="100"/>
          <w:position w:val="0"/>
        </w:rPr>
        <w:t>为拆卸及移除租赁资产、复原租赁资产所在场地或将租赁 资产恢复至租赁条款约定状态预计将发生的成本，但属于为生产存货而发生的，适用《企业会计 准则第</w:t>
      </w:r>
      <w:r>
        <w:rPr>
          <w:rFonts w:ascii="Times New Roman" w:eastAsia="Times New Roman" w:hAnsi="Times New Roman" w:cs="Times New Roman"/>
          <w:color w:val="000000"/>
          <w:spacing w:val="0"/>
          <w:w w:val="100"/>
          <w:position w:val="0"/>
        </w:rPr>
        <w:t>1</w:t>
      </w:r>
      <w:r>
        <w:rPr>
          <w:color w:val="000000"/>
          <w:spacing w:val="0"/>
          <w:w w:val="100"/>
          <w:position w:val="0"/>
        </w:rPr>
        <w:t>号——存货》。</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在租赁期开始日后，本公司采用成本模式对使用权资产进行后续计量，根据与使用权资产有 关的经济利益的预期实现方式作出决定，以直线法对使用权资产计提折旧，并对已识别的减值损 失进行会计处理。本公司按照租赁准则有关规定重新计量租赁负债的，相应调整使用权资产的账 面价值。</w:t>
      </w:r>
    </w:p>
    <w:p>
      <w:pPr>
        <w:pStyle w:val="Style13"/>
        <w:keepNext w:val="0"/>
        <w:keepLines w:val="0"/>
        <w:widowControl w:val="0"/>
        <w:numPr>
          <w:ilvl w:val="0"/>
          <w:numId w:val="33"/>
        </w:numPr>
        <w:shd w:val="clear" w:color="auto" w:fill="auto"/>
        <w:tabs>
          <w:tab w:pos="851" w:val="left"/>
        </w:tabs>
        <w:bidi w:val="0"/>
        <w:spacing w:before="0" w:after="0" w:line="468" w:lineRule="exact"/>
        <w:ind w:left="0" w:right="0" w:firstLine="480"/>
        <w:jc w:val="both"/>
      </w:pPr>
      <w:bookmarkStart w:id="807" w:name="bookmark807"/>
      <w:bookmarkEnd w:id="807"/>
      <w:r>
        <w:rPr>
          <w:color w:val="000000"/>
          <w:spacing w:val="0"/>
          <w:w w:val="100"/>
          <w:position w:val="0"/>
        </w:rPr>
        <w:t>租赁负债</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租赁负债反映本公司尚未支付的租赁付款额的现值。本公司按照租赁期开始日尚未支付的租 赁付款额的现值对租赁负债进行初始计量。</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租赁付款额，是指本公司向出租人支付的与在租赁期内使用租赁资产的权利相关的款项，包 括：</w:t>
      </w:r>
      <w:r>
        <w:rPr>
          <w:rFonts w:ascii="Times New Roman" w:eastAsia="Times New Roman" w:hAnsi="Times New Roman" w:cs="Times New Roman"/>
          <w:color w:val="000000"/>
          <w:spacing w:val="0"/>
          <w:w w:val="100"/>
          <w:position w:val="0"/>
        </w:rPr>
        <w:t>A.</w:t>
      </w:r>
      <w:r>
        <w:rPr>
          <w:color w:val="000000"/>
          <w:spacing w:val="0"/>
          <w:w w:val="100"/>
          <w:position w:val="0"/>
        </w:rPr>
        <w:t>固定付款额及实质固定付款额，存在租赁激励的，扣除租赁激励相关金额；</w:t>
      </w:r>
      <w:r>
        <w:rPr>
          <w:rFonts w:ascii="Times New Roman" w:eastAsia="Times New Roman" w:hAnsi="Times New Roman" w:cs="Times New Roman"/>
          <w:color w:val="000000"/>
          <w:spacing w:val="0"/>
          <w:w w:val="100"/>
          <w:position w:val="0"/>
        </w:rPr>
        <w:t>B.</w:t>
      </w:r>
      <w:r>
        <w:rPr>
          <w:color w:val="000000"/>
          <w:spacing w:val="0"/>
          <w:w w:val="100"/>
          <w:position w:val="0"/>
        </w:rPr>
        <w:t>取决于指数 或比率的可变租赁付款额，该款项在初始计量时根据租赁期开始日的指数或比率确定；</w:t>
      </w:r>
      <w:r>
        <w:rPr>
          <w:rFonts w:ascii="Times New Roman" w:eastAsia="Times New Roman" w:hAnsi="Times New Roman" w:cs="Times New Roman"/>
          <w:color w:val="000000"/>
          <w:spacing w:val="0"/>
          <w:w w:val="100"/>
          <w:position w:val="0"/>
        </w:rPr>
        <w:t>C.</w:t>
      </w:r>
      <w:r>
        <w:rPr>
          <w:color w:val="000000"/>
          <w:spacing w:val="0"/>
          <w:w w:val="100"/>
          <w:position w:val="0"/>
        </w:rPr>
        <w:t>本公司 合理确定将行使购买选择权时，购买选择权的行权价格；</w:t>
      </w:r>
      <w:r>
        <w:rPr>
          <w:rFonts w:ascii="Times New Roman" w:eastAsia="Times New Roman" w:hAnsi="Times New Roman" w:cs="Times New Roman"/>
          <w:color w:val="000000"/>
          <w:spacing w:val="0"/>
          <w:w w:val="100"/>
          <w:position w:val="0"/>
        </w:rPr>
        <w:t>D.</w:t>
      </w:r>
      <w:r>
        <w:rPr>
          <w:color w:val="000000"/>
          <w:spacing w:val="0"/>
          <w:w w:val="100"/>
          <w:position w:val="0"/>
        </w:rPr>
        <w:t>租赁期反映出本公司将行使终止租赁 选择权时，行使终止租赁选择权需支付的款项；</w:t>
      </w:r>
      <w:r>
        <w:rPr>
          <w:rFonts w:ascii="Times New Roman" w:eastAsia="Times New Roman" w:hAnsi="Times New Roman" w:cs="Times New Roman"/>
          <w:color w:val="000000"/>
          <w:spacing w:val="0"/>
          <w:w w:val="100"/>
          <w:position w:val="0"/>
        </w:rPr>
        <w:t>E.</w:t>
      </w:r>
      <w:r>
        <w:rPr>
          <w:color w:val="000000"/>
          <w:spacing w:val="0"/>
          <w:w w:val="100"/>
          <w:position w:val="0"/>
        </w:rPr>
        <w:t>根据本公司提供的担保余值预计应支付的款项。</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在计算租赁付款额的现值时，本公司采用租赁内含利率作为折现率；无法确定租赁内含利率 </w:t>
      </w:r>
      <w:r>
        <w:rPr>
          <w:color w:val="000000"/>
          <w:spacing w:val="0"/>
          <w:w w:val="100"/>
          <w:position w:val="0"/>
        </w:rPr>
        <w:t>时，采用增量借款利率作为折现率，以同期银行贷款利率为基础，考虑相关因素调整得出增量借 款利率。</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本公司按照固定的周期性利率计算租赁负债在租赁期内各期间的利息费用，并计入当期损 益，但应当资本化的计入相关资产成本。</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当购买选择权、续租选择权、终止租赁选择权的评估结果发生变化，续租选择权、终止租赁 选择权实际行使情况与原评估结果不一致，根据担保余值预计的应付金额发生变动，用于确定租 赁付款额的指数或比率发生变动，或者实质固定付款额发生变动时，重新计量租赁负债。</w:t>
      </w:r>
    </w:p>
    <w:p>
      <w:pPr>
        <w:pStyle w:val="Style13"/>
        <w:keepNext w:val="0"/>
        <w:keepLines w:val="0"/>
        <w:widowControl w:val="0"/>
        <w:numPr>
          <w:ilvl w:val="0"/>
          <w:numId w:val="33"/>
        </w:numPr>
        <w:shd w:val="clear" w:color="auto" w:fill="auto"/>
        <w:tabs>
          <w:tab w:pos="881" w:val="left"/>
        </w:tabs>
        <w:bidi w:val="0"/>
        <w:spacing w:before="0" w:after="0" w:line="470" w:lineRule="exact"/>
        <w:ind w:left="0" w:right="0" w:firstLine="480"/>
        <w:jc w:val="both"/>
      </w:pPr>
      <w:bookmarkStart w:id="808" w:name="bookmark808"/>
      <w:bookmarkEnd w:id="808"/>
      <w:r>
        <w:rPr>
          <w:color w:val="000000"/>
          <w:spacing w:val="0"/>
          <w:w w:val="100"/>
          <w:position w:val="0"/>
        </w:rPr>
        <w:t>租赁的变更</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当租赁变更通过增加一项或多项租赁资产的使用权而扩大了租赁范围，且增加的对价与租赁 范围扩大部分的单独价格按该合同情况调整后的金额相当时，该租赁变更作为一项单独租赁进行 会计处理。未作为单独租赁进行会计处理的，分摊变更后合同的对价，重新确定租赁期，重新计 量租赁负债。</w:t>
      </w:r>
    </w:p>
    <w:p>
      <w:pPr>
        <w:pStyle w:val="Style13"/>
        <w:keepNext w:val="0"/>
        <w:keepLines w:val="0"/>
        <w:widowControl w:val="0"/>
        <w:numPr>
          <w:ilvl w:val="0"/>
          <w:numId w:val="33"/>
        </w:numPr>
        <w:shd w:val="clear" w:color="auto" w:fill="auto"/>
        <w:tabs>
          <w:tab w:pos="881" w:val="left"/>
        </w:tabs>
        <w:bidi w:val="0"/>
        <w:spacing w:before="0" w:after="0" w:line="470" w:lineRule="exact"/>
        <w:ind w:left="0" w:right="0" w:firstLine="480"/>
        <w:jc w:val="both"/>
      </w:pPr>
      <w:bookmarkStart w:id="809" w:name="bookmark809"/>
      <w:bookmarkEnd w:id="809"/>
      <w:r>
        <w:rPr>
          <w:color w:val="000000"/>
          <w:spacing w:val="0"/>
          <w:w w:val="100"/>
          <w:position w:val="0"/>
        </w:rPr>
        <w:t>短期租赁和低价值资产租赁</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本公司将在租赁期开始日租赁期不超过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个月，且不包含购买选择权的租赁认定为短期租 赁；将单项租赁资产为全新资产时价值不超过</w:t>
      </w:r>
      <w:r>
        <w:rPr>
          <w:rFonts w:ascii="Times New Roman" w:eastAsia="Times New Roman" w:hAnsi="Times New Roman" w:cs="Times New Roman"/>
          <w:color w:val="000000"/>
          <w:spacing w:val="0"/>
          <w:w w:val="100"/>
          <w:position w:val="0"/>
        </w:rPr>
        <w:t>4</w:t>
      </w:r>
      <w:r>
        <w:rPr>
          <w:color w:val="000000"/>
          <w:spacing w:val="0"/>
          <w:w w:val="100"/>
          <w:position w:val="0"/>
        </w:rPr>
        <w:t>万元的租赁认定为低价值资产租赁。本公司转租 或预期转租租赁资产的，原租赁不认定为低价值资产租赁。本公司对短期租赁和低价值资产租赁 选择不确认使用权资产和租赁负债，将租赁付款额在租赁期内各个期间按照直线法或其他系统合 理的方法计入相关的资产成本或当期损益。</w:t>
      </w:r>
    </w:p>
    <w:p>
      <w:pPr>
        <w:pStyle w:val="Style13"/>
        <w:keepNext w:val="0"/>
        <w:keepLines w:val="0"/>
        <w:widowControl w:val="0"/>
        <w:numPr>
          <w:ilvl w:val="0"/>
          <w:numId w:val="33"/>
        </w:numPr>
        <w:shd w:val="clear" w:color="auto" w:fill="auto"/>
        <w:tabs>
          <w:tab w:pos="881" w:val="left"/>
        </w:tabs>
        <w:bidi w:val="0"/>
        <w:spacing w:before="0" w:after="0" w:line="470" w:lineRule="exact"/>
        <w:ind w:left="0" w:right="0" w:firstLine="480"/>
        <w:jc w:val="both"/>
      </w:pPr>
      <w:bookmarkStart w:id="810" w:name="bookmark810"/>
      <w:bookmarkEnd w:id="810"/>
      <w:r>
        <w:rPr>
          <w:color w:val="000000"/>
          <w:spacing w:val="0"/>
          <w:w w:val="100"/>
          <w:position w:val="0"/>
        </w:rPr>
        <w:t>售后租回交易</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对于售后租回交易，本公司按照《企业会计准则第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号——收入》的规定，评估确定售后租 回交易中的资产转让是否属于销售，属于销售的，按原资产账面价值中与租回获得的使用权有关 的部分，计量售后租回所形成的使用权资产，并仅就转让至出租人的权利确认相关利得或损失； 不属于销售的，继续确认被转让资产，同时确认一项与转让收入等额的金融负债。</w:t>
      </w:r>
    </w:p>
    <w:p>
      <w:pPr>
        <w:pStyle w:val="Style13"/>
        <w:keepNext w:val="0"/>
        <w:keepLines w:val="0"/>
        <w:widowControl w:val="0"/>
        <w:shd w:val="clear" w:color="auto" w:fill="auto"/>
        <w:bidi w:val="0"/>
        <w:spacing w:before="0" w:after="0" w:line="470" w:lineRule="exact"/>
        <w:ind w:left="0" w:right="0" w:firstLine="48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2</w:t>
      </w:r>
      <w:r>
        <w:rPr>
          <w:color w:val="000000"/>
          <w:spacing w:val="0"/>
          <w:w w:val="100"/>
          <w:position w:val="0"/>
        </w:rPr>
        <w:t>）本公司作为出租人</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本公司在租赁开始日将租赁分为融资租赁和经营租赁，实质上转移了与租赁资产所有权有关 的几乎全部风险和报酬的租赁为融资租赁，此外为经营租赁。本公司作为转租出租人时，基于原 租赁产生的使用权资产对转租赁进行分类。</w:t>
      </w:r>
    </w:p>
    <w:p>
      <w:pPr>
        <w:pStyle w:val="Style13"/>
        <w:keepNext w:val="0"/>
        <w:keepLines w:val="0"/>
        <w:widowControl w:val="0"/>
        <w:numPr>
          <w:ilvl w:val="0"/>
          <w:numId w:val="35"/>
        </w:numPr>
        <w:shd w:val="clear" w:color="auto" w:fill="auto"/>
        <w:bidi w:val="0"/>
        <w:spacing w:before="0" w:after="0" w:line="470" w:lineRule="exact"/>
        <w:ind w:left="0" w:right="0" w:firstLine="480"/>
        <w:jc w:val="both"/>
      </w:pPr>
      <w:bookmarkStart w:id="812" w:name="bookmark812"/>
      <w:bookmarkEnd w:id="812"/>
      <w:r>
        <w:rPr>
          <w:color w:val="000000"/>
          <w:spacing w:val="0"/>
          <w:w w:val="100"/>
          <w:position w:val="0"/>
        </w:rPr>
        <w:t>融资租赁</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在租赁期开始日，本公司对融资租赁确认应收融资租赁款，并终止确认融资租赁资产。对应 </w:t>
      </w:r>
      <w:r>
        <w:rPr>
          <w:color w:val="000000"/>
          <w:spacing w:val="0"/>
          <w:w w:val="100"/>
          <w:position w:val="0"/>
        </w:rPr>
        <w:t>收融资租赁款进行初始计量时，以租赁投资净额作为应收融资租赁款的入账价值。租赁投资净额 为未担保余值和租赁期开始日尚未收到的租赁收款额按照租赁内含利率折现的现值之和。</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租赁收款额，是指本公司因让渡在租赁期内使用租赁资产的权利而应向承租人收取的款项， 包括：</w:t>
      </w:r>
      <w:r>
        <w:rPr>
          <w:rFonts w:ascii="Times New Roman" w:eastAsia="Times New Roman" w:hAnsi="Times New Roman" w:cs="Times New Roman"/>
          <w:color w:val="000000"/>
          <w:spacing w:val="0"/>
          <w:w w:val="100"/>
          <w:position w:val="0"/>
        </w:rPr>
        <w:t>A.</w:t>
      </w:r>
      <w:r>
        <w:rPr>
          <w:color w:val="000000"/>
          <w:spacing w:val="0"/>
          <w:w w:val="100"/>
          <w:position w:val="0"/>
        </w:rPr>
        <w:t>承租人需支付的固定付款额及实质固定付款额，存在租赁激励的，扣除租赁激励相关金 额；</w:t>
      </w:r>
      <w:r>
        <w:rPr>
          <w:rFonts w:ascii="Times New Roman" w:eastAsia="Times New Roman" w:hAnsi="Times New Roman" w:cs="Times New Roman"/>
          <w:color w:val="000000"/>
          <w:spacing w:val="0"/>
          <w:w w:val="100"/>
          <w:position w:val="0"/>
        </w:rPr>
        <w:t>B.</w:t>
      </w:r>
      <w:r>
        <w:rPr>
          <w:color w:val="000000"/>
          <w:spacing w:val="0"/>
          <w:w w:val="100"/>
          <w:position w:val="0"/>
        </w:rPr>
        <w:t>取决于指数或比率的可变租赁付款额；</w:t>
      </w:r>
      <w:r>
        <w:rPr>
          <w:rFonts w:ascii="Times New Roman" w:eastAsia="Times New Roman" w:hAnsi="Times New Roman" w:cs="Times New Roman"/>
          <w:color w:val="000000"/>
          <w:spacing w:val="0"/>
          <w:w w:val="100"/>
          <w:position w:val="0"/>
        </w:rPr>
        <w:t>C.</w:t>
      </w:r>
      <w:r>
        <w:rPr>
          <w:color w:val="000000"/>
          <w:spacing w:val="0"/>
          <w:w w:val="100"/>
          <w:position w:val="0"/>
        </w:rPr>
        <w:t>购买选择权的行权价格，前提是合理确定承租人 将行使该选择权；</w:t>
      </w:r>
      <w:r>
        <w:rPr>
          <w:rFonts w:ascii="Times New Roman" w:eastAsia="Times New Roman" w:hAnsi="Times New Roman" w:cs="Times New Roman"/>
          <w:color w:val="000000"/>
          <w:spacing w:val="0"/>
          <w:w w:val="100"/>
          <w:position w:val="0"/>
        </w:rPr>
        <w:t>D.</w:t>
      </w:r>
      <w:r>
        <w:rPr>
          <w:color w:val="000000"/>
          <w:spacing w:val="0"/>
          <w:w w:val="100"/>
          <w:position w:val="0"/>
        </w:rPr>
        <w:t>承租人行使终止租赁选择权需支付的款项，前提是租赁期反映出承租人将行 使终止租赁选择权；</w:t>
      </w:r>
      <w:r>
        <w:rPr>
          <w:rFonts w:ascii="Times New Roman" w:eastAsia="Times New Roman" w:hAnsi="Times New Roman" w:cs="Times New Roman"/>
          <w:color w:val="000000"/>
          <w:spacing w:val="0"/>
          <w:w w:val="100"/>
          <w:position w:val="0"/>
        </w:rPr>
        <w:t>E.</w:t>
      </w:r>
      <w:r>
        <w:rPr>
          <w:color w:val="000000"/>
          <w:spacing w:val="0"/>
          <w:w w:val="100"/>
          <w:position w:val="0"/>
        </w:rPr>
        <w:t>由承租人、与承租人有关的一方以及有经济能力履行担保义务的独立第三 方向本公司提供的担保余值。</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本公司按照固定的周期性利率计算并确认租赁期内各个期间的利息收入。本公司取得的未纳 入租赁投资净额计量的可变租赁付款额在实际发生时计入当期损益。</w:t>
      </w:r>
    </w:p>
    <w:p>
      <w:pPr>
        <w:pStyle w:val="Style13"/>
        <w:keepNext w:val="0"/>
        <w:keepLines w:val="0"/>
        <w:widowControl w:val="0"/>
        <w:numPr>
          <w:ilvl w:val="0"/>
          <w:numId w:val="35"/>
        </w:numPr>
        <w:shd w:val="clear" w:color="auto" w:fill="auto"/>
        <w:bidi w:val="0"/>
        <w:spacing w:before="0" w:after="0" w:line="470" w:lineRule="exact"/>
        <w:ind w:left="0" w:right="0" w:firstLine="480"/>
        <w:jc w:val="both"/>
      </w:pPr>
      <w:bookmarkStart w:id="813" w:name="bookmark813"/>
      <w:bookmarkEnd w:id="813"/>
      <w:r>
        <w:rPr>
          <w:color w:val="000000"/>
          <w:spacing w:val="0"/>
          <w:w w:val="100"/>
          <w:position w:val="0"/>
        </w:rPr>
        <w:t>经营租赁</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租赁期内各个期间，本公司采用直线法，将经营租赁的租赁收款额确认为租金收入。未计入 租赁收款额的可变租赁付款额在实际发生时计入当期损益。</w:t>
      </w:r>
    </w:p>
    <w:p>
      <w:pPr>
        <w:pStyle w:val="Style13"/>
        <w:keepNext w:val="0"/>
        <w:keepLines w:val="0"/>
        <w:widowControl w:val="0"/>
        <w:shd w:val="clear" w:color="auto" w:fill="auto"/>
        <w:bidi w:val="0"/>
        <w:spacing w:before="0" w:after="40" w:line="470" w:lineRule="exact"/>
        <w:ind w:left="0" w:right="0" w:firstLine="480"/>
        <w:jc w:val="both"/>
      </w:pPr>
      <w:r>
        <w:rPr>
          <w:color w:val="000000"/>
          <w:spacing w:val="0"/>
          <w:w w:val="100"/>
          <w:position w:val="0"/>
        </w:rPr>
        <w:t>经营租赁发生变更的，本公司自变更生效日起将其作为一项新租赁进行会计处理，与变更前 租赁有关的预收或应收租赁收款额视为新租赁的收款额。</w:t>
      </w:r>
    </w:p>
    <w:p>
      <w:pPr>
        <w:pStyle w:val="Style13"/>
        <w:keepNext w:val="0"/>
        <w:keepLines w:val="0"/>
        <w:widowControl w:val="0"/>
        <w:shd w:val="clear" w:color="auto" w:fill="auto"/>
        <w:bidi w:val="0"/>
        <w:spacing w:before="0" w:after="40" w:line="470" w:lineRule="exact"/>
        <w:ind w:left="0" w:right="0" w:firstLine="48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3</w:t>
      </w:r>
      <w:r>
        <w:rPr>
          <w:color w:val="000000"/>
          <w:spacing w:val="0"/>
          <w:w w:val="100"/>
          <w:position w:val="0"/>
        </w:rPr>
        <w:t>）售后租回交易</w:t>
      </w:r>
    </w:p>
    <w:p>
      <w:pPr>
        <w:pStyle w:val="Style13"/>
        <w:keepNext w:val="0"/>
        <w:keepLines w:val="0"/>
        <w:widowControl w:val="0"/>
        <w:shd w:val="clear" w:color="auto" w:fill="auto"/>
        <w:bidi w:val="0"/>
        <w:spacing w:before="0" w:after="220" w:line="473" w:lineRule="exact"/>
        <w:ind w:left="0" w:right="0" w:firstLine="480"/>
        <w:jc w:val="both"/>
      </w:pPr>
      <w:r>
        <w:rPr>
          <w:color w:val="000000"/>
          <w:spacing w:val="0"/>
          <w:w w:val="100"/>
          <w:position w:val="0"/>
        </w:rPr>
        <w:t>对于售后租回交易，本公司按照《企业会计准则第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号——收入》的规定，评估确定售后租 回交易中的资产转让是否属于销售，属于销售的，根据适用的会计准则对资产购买和资产处置进 行会计处理；不属于销售的，不确认被转让资产，但确认一项与转让收入等额的金融资产。</w:t>
      </w:r>
    </w:p>
    <w:p>
      <w:pPr>
        <w:pStyle w:val="Style13"/>
        <w:keepNext w:val="0"/>
        <w:keepLines w:val="0"/>
        <w:widowControl w:val="0"/>
        <w:shd w:val="clear" w:color="auto" w:fill="auto"/>
        <w:bidi w:val="0"/>
        <w:spacing w:before="0" w:after="220" w:line="470" w:lineRule="exact"/>
        <w:ind w:left="0" w:right="0" w:firstLine="0"/>
        <w:jc w:val="both"/>
      </w:pPr>
      <w:bookmarkStart w:id="815" w:name="bookmark815"/>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8</w:t>
      </w:r>
      <w:r>
        <w:rPr>
          <w:color w:val="000000"/>
          <w:spacing w:val="0"/>
          <w:w w:val="100"/>
          <w:position w:val="0"/>
        </w:rPr>
        <w:t>、无形资产</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本公司无形资产按照成本进行初始计量，并于取得无形资产时分析判断其使用寿命。使用寿 命为有限的，自无形资产可供使用时起，采用能反映与该资产有关的经济利益的预期实现方式的 摊销方法，在预计使用年限内摊销；无法可靠确定预期实现方式的，采用直线法摊销；使用寿命 不确定的无形资产，不作摊销。</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本公司于每年年度终了，对使用寿命有限的无形资产的使用寿命及摊销方法进行复核，与以 前估计不同的，调整原先估计数，并按会计估计变更处理。</w:t>
      </w:r>
    </w:p>
    <w:p>
      <w:pPr>
        <w:pStyle w:val="Style13"/>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 xml:space="preserve">本公司期末预计某项无形资产已经不能给企业带来未来经济利益的，将该项无形资产的账面 </w:t>
      </w:r>
      <w:r>
        <w:rPr>
          <w:color w:val="000000"/>
          <w:spacing w:val="0"/>
          <w:w w:val="100"/>
          <w:position w:val="0"/>
        </w:rPr>
        <w:t>价值全部转入当期损益。</w:t>
      </w:r>
    </w:p>
    <w:p>
      <w:pPr>
        <w:pStyle w:val="Style13"/>
        <w:keepNext w:val="0"/>
        <w:keepLines w:val="0"/>
        <w:widowControl w:val="0"/>
        <w:shd w:val="clear" w:color="auto" w:fill="auto"/>
        <w:tabs>
          <w:tab w:pos="488" w:val="left"/>
        </w:tabs>
        <w:bidi w:val="0"/>
        <w:spacing w:before="0" w:after="200" w:line="467" w:lineRule="exact"/>
        <w:ind w:left="0" w:right="0" w:firstLine="0"/>
        <w:jc w:val="both"/>
      </w:pPr>
      <w:bookmarkStart w:id="816" w:name="bookmark816"/>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9</w:t>
      </w:r>
      <w:r>
        <w:rPr>
          <w:color w:val="000000"/>
          <w:spacing w:val="0"/>
          <w:w w:val="100"/>
          <w:position w:val="0"/>
        </w:rPr>
        <w:t>、</w:t>
        <w:tab/>
        <w:t>研究开发支出</w:t>
      </w:r>
    </w:p>
    <w:p>
      <w:pPr>
        <w:pStyle w:val="Style13"/>
        <w:keepNext w:val="0"/>
        <w:keepLines w:val="0"/>
        <w:widowControl w:val="0"/>
        <w:shd w:val="clear" w:color="auto" w:fill="auto"/>
        <w:bidi w:val="0"/>
        <w:spacing w:before="0" w:after="40" w:line="470" w:lineRule="exact"/>
        <w:ind w:left="0" w:right="0" w:firstLine="480"/>
        <w:jc w:val="both"/>
      </w:pPr>
      <w:r>
        <w:rPr>
          <w:color w:val="000000"/>
          <w:spacing w:val="0"/>
          <w:w w:val="100"/>
          <w:position w:val="0"/>
        </w:rPr>
        <w:t>本公司将内部研究开发项目的支出，区分为研究阶段支出和开发阶段支出。研究阶段的支出， 于发生时计入当期损益。</w:t>
      </w:r>
    </w:p>
    <w:p>
      <w:pPr>
        <w:pStyle w:val="Style13"/>
        <w:keepNext w:val="0"/>
        <w:keepLines w:val="0"/>
        <w:widowControl w:val="0"/>
        <w:shd w:val="clear" w:color="auto" w:fill="auto"/>
        <w:tabs>
          <w:tab w:pos="992" w:val="left"/>
        </w:tabs>
        <w:bidi w:val="0"/>
        <w:spacing w:before="0" w:after="0" w:line="467" w:lineRule="exact"/>
        <w:ind w:left="0" w:right="0" w:firstLine="480"/>
        <w:jc w:val="left"/>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1</w:t>
      </w:r>
      <w:r>
        <w:rPr>
          <w:color w:val="000000"/>
          <w:spacing w:val="0"/>
          <w:w w:val="100"/>
          <w:position w:val="0"/>
        </w:rPr>
        <w:t>）</w:t>
        <w:tab/>
        <w:t>划分公司内部研究开发项目的研究阶段和开发阶段具体标准</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研究阶段：为研发项目而进行的前期市场调研和项目可行性论证的阶段，公司以《研发项目 立项书》上项目立项申请审核通过时间作为研发项目进入研究阶段的标准。</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开发阶段：研发项目投片后即进入开发阶段，开发阶段以《投片评审报告》上的审批时间作 为进入开发阶段的标准。</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内部研究开发项目研究阶段的支出，在发生时计入当期损益。</w:t>
      </w:r>
    </w:p>
    <w:p>
      <w:pPr>
        <w:pStyle w:val="Style13"/>
        <w:keepNext w:val="0"/>
        <w:keepLines w:val="0"/>
        <w:widowControl w:val="0"/>
        <w:shd w:val="clear" w:color="auto" w:fill="auto"/>
        <w:tabs>
          <w:tab w:pos="992" w:val="left"/>
        </w:tabs>
        <w:bidi w:val="0"/>
        <w:spacing w:before="0" w:after="40" w:line="467" w:lineRule="exact"/>
        <w:ind w:left="0" w:right="0" w:firstLine="48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2</w:t>
      </w:r>
      <w:r>
        <w:rPr>
          <w:color w:val="000000"/>
          <w:spacing w:val="0"/>
          <w:w w:val="100"/>
          <w:position w:val="0"/>
        </w:rPr>
        <w:t>）</w:t>
        <w:tab/>
        <w:t>开发阶段支出符合资本化的具体标准</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内部研究开发项目开发阶段的支出，同时满足下列条件时确认为无形资产：</w:t>
      </w:r>
    </w:p>
    <w:p>
      <w:pPr>
        <w:pStyle w:val="Style13"/>
        <w:keepNext w:val="0"/>
        <w:keepLines w:val="0"/>
        <w:widowControl w:val="0"/>
        <w:numPr>
          <w:ilvl w:val="0"/>
          <w:numId w:val="37"/>
        </w:numPr>
        <w:shd w:val="clear" w:color="auto" w:fill="auto"/>
        <w:tabs>
          <w:tab w:pos="891" w:val="left"/>
        </w:tabs>
        <w:bidi w:val="0"/>
        <w:spacing w:before="0" w:after="0" w:line="467" w:lineRule="exact"/>
        <w:ind w:left="0" w:right="0" w:firstLine="480"/>
        <w:jc w:val="both"/>
      </w:pPr>
      <w:bookmarkStart w:id="819" w:name="bookmark819"/>
      <w:bookmarkEnd w:id="819"/>
      <w:r>
        <w:rPr>
          <w:color w:val="000000"/>
          <w:spacing w:val="0"/>
          <w:w w:val="100"/>
          <w:position w:val="0"/>
        </w:rPr>
        <w:t>完成该无形资产以使其能够使用或出售在技术上具有可行性；</w:t>
      </w:r>
    </w:p>
    <w:p>
      <w:pPr>
        <w:pStyle w:val="Style13"/>
        <w:keepNext w:val="0"/>
        <w:keepLines w:val="0"/>
        <w:widowControl w:val="0"/>
        <w:numPr>
          <w:ilvl w:val="0"/>
          <w:numId w:val="37"/>
        </w:numPr>
        <w:shd w:val="clear" w:color="auto" w:fill="auto"/>
        <w:tabs>
          <w:tab w:pos="891" w:val="left"/>
        </w:tabs>
        <w:bidi w:val="0"/>
        <w:spacing w:before="0" w:after="0" w:line="467" w:lineRule="exact"/>
        <w:ind w:left="0" w:right="0" w:firstLine="480"/>
        <w:jc w:val="both"/>
      </w:pPr>
      <w:bookmarkStart w:id="820" w:name="bookmark820"/>
      <w:bookmarkEnd w:id="820"/>
      <w:r>
        <w:rPr>
          <w:color w:val="000000"/>
          <w:spacing w:val="0"/>
          <w:w w:val="100"/>
          <w:position w:val="0"/>
        </w:rPr>
        <w:t>具有完成该无形资产并使用或出售的意图；</w:t>
      </w:r>
    </w:p>
    <w:p>
      <w:pPr>
        <w:pStyle w:val="Style13"/>
        <w:keepNext w:val="0"/>
        <w:keepLines w:val="0"/>
        <w:widowControl w:val="0"/>
        <w:numPr>
          <w:ilvl w:val="0"/>
          <w:numId w:val="37"/>
        </w:numPr>
        <w:shd w:val="clear" w:color="auto" w:fill="auto"/>
        <w:tabs>
          <w:tab w:pos="862" w:val="left"/>
        </w:tabs>
        <w:bidi w:val="0"/>
        <w:spacing w:before="0" w:after="0" w:line="467" w:lineRule="exact"/>
        <w:ind w:left="0" w:right="0" w:firstLine="480"/>
        <w:jc w:val="both"/>
      </w:pPr>
      <w:bookmarkStart w:id="821" w:name="bookmark821"/>
      <w:bookmarkEnd w:id="821"/>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13"/>
        <w:keepNext w:val="0"/>
        <w:keepLines w:val="0"/>
        <w:widowControl w:val="0"/>
        <w:numPr>
          <w:ilvl w:val="0"/>
          <w:numId w:val="37"/>
        </w:numPr>
        <w:shd w:val="clear" w:color="auto" w:fill="auto"/>
        <w:tabs>
          <w:tab w:pos="872" w:val="left"/>
        </w:tabs>
        <w:bidi w:val="0"/>
        <w:spacing w:before="0" w:after="0" w:line="467" w:lineRule="exact"/>
        <w:ind w:left="0" w:right="0" w:firstLine="480"/>
        <w:jc w:val="both"/>
      </w:pPr>
      <w:bookmarkStart w:id="822" w:name="bookmark822"/>
      <w:bookmarkEnd w:id="822"/>
      <w:r>
        <w:rPr>
          <w:color w:val="000000"/>
          <w:spacing w:val="0"/>
          <w:w w:val="100"/>
          <w:position w:val="0"/>
        </w:rPr>
        <w:t>有足够的技术、财务资源和其他资源支持，以完成该无形资产的开发，并有能力使用或出 售该无形资产；</w:t>
      </w:r>
    </w:p>
    <w:p>
      <w:pPr>
        <w:pStyle w:val="Style13"/>
        <w:keepNext w:val="0"/>
        <w:keepLines w:val="0"/>
        <w:widowControl w:val="0"/>
        <w:numPr>
          <w:ilvl w:val="0"/>
          <w:numId w:val="37"/>
        </w:numPr>
        <w:shd w:val="clear" w:color="auto" w:fill="auto"/>
        <w:tabs>
          <w:tab w:pos="891" w:val="left"/>
        </w:tabs>
        <w:bidi w:val="0"/>
        <w:spacing w:before="0" w:after="0" w:line="467" w:lineRule="exact"/>
        <w:ind w:left="0" w:right="0" w:firstLine="480"/>
        <w:jc w:val="both"/>
      </w:pPr>
      <w:bookmarkStart w:id="823" w:name="bookmark823"/>
      <w:bookmarkEnd w:id="823"/>
      <w:r>
        <w:rPr>
          <w:color w:val="000000"/>
          <w:spacing w:val="0"/>
          <w:w w:val="100"/>
          <w:position w:val="0"/>
        </w:rPr>
        <w:t>归属于该无形资产开发阶段的支出能够可靠地计量。</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具体到研发项目上，公司以研发项目达到量产作为开发阶段支出转入无形资产的条件和时 点。</w:t>
      </w:r>
    </w:p>
    <w:p>
      <w:pPr>
        <w:pStyle w:val="Style13"/>
        <w:keepNext w:val="0"/>
        <w:keepLines w:val="0"/>
        <w:widowControl w:val="0"/>
        <w:shd w:val="clear" w:color="auto" w:fill="auto"/>
        <w:bidi w:val="0"/>
        <w:spacing w:before="0" w:after="200" w:line="467" w:lineRule="exact"/>
        <w:ind w:left="0" w:right="0" w:firstLine="480"/>
        <w:jc w:val="both"/>
      </w:pPr>
      <w:r>
        <w:rPr>
          <w:color w:val="000000"/>
          <w:spacing w:val="0"/>
          <w:w w:val="100"/>
          <w:position w:val="0"/>
        </w:rPr>
        <w:t>不满足上述条件的开发阶段的支出，于发生时计入当期损益。以前期间已计入损益的开发支 出不在以后期间重新确认为资产。己资本化的开发阶段的支出在资产负债表上列示为开发支出， 自该项目达到预定用途之日起转为无形资产。</w:t>
      </w:r>
    </w:p>
    <w:p>
      <w:pPr>
        <w:pStyle w:val="Style13"/>
        <w:keepNext w:val="0"/>
        <w:keepLines w:val="0"/>
        <w:widowControl w:val="0"/>
        <w:shd w:val="clear" w:color="auto" w:fill="auto"/>
        <w:tabs>
          <w:tab w:pos="507" w:val="left"/>
        </w:tabs>
        <w:bidi w:val="0"/>
        <w:spacing w:before="0" w:after="200" w:line="467" w:lineRule="exact"/>
        <w:ind w:left="0" w:right="0" w:firstLine="0"/>
        <w:jc w:val="left"/>
      </w:pPr>
      <w:bookmarkStart w:id="824" w:name="bookmark824"/>
      <w:r>
        <w:rPr>
          <w:rFonts w:ascii="Times New Roman" w:eastAsia="Times New Roman" w:hAnsi="Times New Roman" w:cs="Times New Roman"/>
          <w:color w:val="000000"/>
          <w:spacing w:val="0"/>
          <w:w w:val="100"/>
          <w:position w:val="0"/>
        </w:rPr>
        <w:t>2</w:t>
      </w:r>
      <w:bookmarkEnd w:id="824"/>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长期待摊费用摊销方法</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本公司发生的长期待摊费用按实际成本计价，并按预计受益期限平均摊销。对不能使以后会 计期间受益的长期待摊费用项目，其摊余价值全部计入当期损益。</w:t>
      </w:r>
    </w:p>
    <w:p>
      <w:pPr>
        <w:pStyle w:val="Style13"/>
        <w:keepNext w:val="0"/>
        <w:keepLines w:val="0"/>
        <w:widowControl w:val="0"/>
        <w:shd w:val="clear" w:color="auto" w:fill="auto"/>
        <w:tabs>
          <w:tab w:pos="468" w:val="left"/>
        </w:tabs>
        <w:bidi w:val="0"/>
        <w:spacing w:before="0" w:after="200" w:line="468" w:lineRule="exact"/>
        <w:ind w:left="0" w:right="0" w:firstLine="0"/>
        <w:jc w:val="left"/>
      </w:pPr>
      <w:bookmarkStart w:id="825" w:name="bookmark825"/>
      <w:r>
        <w:rPr>
          <w:rFonts w:ascii="Times New Roman" w:eastAsia="Times New Roman" w:hAnsi="Times New Roman" w:cs="Times New Roman"/>
          <w:color w:val="000000"/>
          <w:spacing w:val="0"/>
          <w:w w:val="100"/>
          <w:position w:val="0"/>
        </w:rPr>
        <w:t>2</w:t>
      </w:r>
      <w:bookmarkEnd w:id="825"/>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对于固定资产、在建工程、使用权资产、使用寿命有限的无形资产、以成本模式计量的投资 性房地产及对子公司、合营企业、联营企业的长期股权投资等非流动非金融资产，本公司于资产 负债表日判断是否存在减值迹象。如存在减值迹象的，则估计其可收回金额，进行减值测试。商 誉、使用寿命不确定的无形资产和尚未达到可使用状态的无形资产，无论是否存在减值迹象，每 年均进行减值测试。</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减值测试结果表明资产的可收回金额低于其账面价值的，按其差额计提减值准备并计入减值 损失。可收回金额为资产的公允价值减去处置费用后的净额与资产预计未来现金流量的现值两者 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 或资产组组合的商誉的账面价值，再根据资产组或资产组组合中除商誉以外的其他各项资产的账 面价值所占比重，按比例抵减其他各项资产的账面价值。</w:t>
      </w:r>
    </w:p>
    <w:p>
      <w:pPr>
        <w:pStyle w:val="Style13"/>
        <w:keepNext w:val="0"/>
        <w:keepLines w:val="0"/>
        <w:widowControl w:val="0"/>
        <w:shd w:val="clear" w:color="auto" w:fill="auto"/>
        <w:bidi w:val="0"/>
        <w:spacing w:before="0" w:after="200" w:line="468" w:lineRule="exact"/>
        <w:ind w:left="0" w:right="0" w:firstLine="480"/>
        <w:jc w:val="left"/>
      </w:pPr>
      <w:r>
        <w:rPr>
          <w:color w:val="000000"/>
          <w:spacing w:val="0"/>
          <w:w w:val="100"/>
          <w:position w:val="0"/>
        </w:rPr>
        <w:t>上述资产减值损失一经确认，以后期间不予转回价值得以恢复的部分。</w:t>
      </w:r>
    </w:p>
    <w:p>
      <w:pPr>
        <w:pStyle w:val="Style13"/>
        <w:keepNext w:val="0"/>
        <w:keepLines w:val="0"/>
        <w:widowControl w:val="0"/>
        <w:shd w:val="clear" w:color="auto" w:fill="auto"/>
        <w:tabs>
          <w:tab w:pos="468" w:val="left"/>
        </w:tabs>
        <w:bidi w:val="0"/>
        <w:spacing w:before="0" w:after="200" w:line="468" w:lineRule="exact"/>
        <w:ind w:left="0" w:right="0" w:firstLine="0"/>
        <w:jc w:val="left"/>
      </w:pPr>
      <w:bookmarkStart w:id="826" w:name="bookmark826"/>
      <w:r>
        <w:rPr>
          <w:rFonts w:ascii="Times New Roman" w:eastAsia="Times New Roman" w:hAnsi="Times New Roman" w:cs="Times New Roman"/>
          <w:color w:val="000000"/>
          <w:spacing w:val="0"/>
          <w:w w:val="100"/>
          <w:position w:val="0"/>
        </w:rPr>
        <w:t>2</w:t>
      </w:r>
      <w:bookmarkEnd w:id="826"/>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本公司职工薪酬主要包括短期职工薪酬、离职后福利、辞退福利以及其他长期职工福利。其 中：</w:t>
      </w:r>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 xml:space="preserve">短期薪酬主要包括工资、奖金、津贴和补贴、职工福利费、医疗保险费、生育保险费、工伤 保险费、住房公积金、工会经费和职工教育经费、非货币性福利等。本公司在职工为本公司提供 服务的会计期间将实际发生的短期职工薪酬确认为负债，并计入当期损益或相关资产成本。其中 </w:t>
      </w:r>
      <w:r>
        <w:rPr>
          <w:color w:val="000000"/>
          <w:spacing w:val="0"/>
          <w:w w:val="100"/>
          <w:position w:val="0"/>
        </w:rPr>
        <w:t>非货币性福利按公允价值计量。</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离职后福利主要包括设定提存计划。其中设定提存计划主要包括基本养老保险、失业保险等， 相应的应缴存金额于发生时计入相关资产成本或当期损益。</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在职工劳动合同到期之前解除与职工的劳动关系，或为鼓励职工自愿接受裁减而提出给予补 偿的建议，在本公司不能单方面撤回因解除劳动关系计划或裁减建议所提供的辞退福利时，和本 公司确认与涉及支付辞退福利的重组相关的成本两者孰早日，确认辞退福利产生的职工薪酬负 债，并计入当期损益。但辞退福利预期在年度报告期结束后十二个月不能完全支付的，按照其他 长期职工薪酬处理。</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职工内部退休计划采用上述辞退福利相同的原则处理。本公司将自职工停止提供服务日至正 常退休日的期间拟支付的内退人员工资和缴纳的社会保险费等，在符合预计负债确认条件时，计 入当期损益（辞退福利）。</w:t>
      </w:r>
    </w:p>
    <w:p>
      <w:pPr>
        <w:pStyle w:val="Style13"/>
        <w:keepNext w:val="0"/>
        <w:keepLines w:val="0"/>
        <w:widowControl w:val="0"/>
        <w:shd w:val="clear" w:color="auto" w:fill="auto"/>
        <w:bidi w:val="0"/>
        <w:spacing w:before="0" w:after="220" w:line="467" w:lineRule="exact"/>
        <w:ind w:left="0" w:right="0" w:firstLine="480"/>
        <w:jc w:val="both"/>
      </w:pPr>
      <w:r>
        <w:rPr>
          <w:color w:val="000000"/>
          <w:spacing w:val="0"/>
          <w:w w:val="100"/>
          <w:position w:val="0"/>
        </w:rPr>
        <w:t>本公司向职工提供的其他长期职工福利，符合设定提存计划的，按照设定提存计划进行会计 处理，除此之外按照设定受益计划进行会计处理。</w:t>
      </w:r>
    </w:p>
    <w:p>
      <w:pPr>
        <w:pStyle w:val="Style13"/>
        <w:keepNext w:val="0"/>
        <w:keepLines w:val="0"/>
        <w:widowControl w:val="0"/>
        <w:shd w:val="clear" w:color="auto" w:fill="auto"/>
        <w:tabs>
          <w:tab w:pos="507" w:val="left"/>
        </w:tabs>
        <w:bidi w:val="0"/>
        <w:spacing w:before="0" w:after="220" w:line="467" w:lineRule="exact"/>
        <w:ind w:left="0" w:right="0" w:firstLine="0"/>
        <w:jc w:val="both"/>
      </w:pPr>
      <w:bookmarkStart w:id="827" w:name="bookmark827"/>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3</w:t>
      </w:r>
      <w:r>
        <w:rPr>
          <w:color w:val="000000"/>
          <w:spacing w:val="0"/>
          <w:w w:val="100"/>
          <w:position w:val="0"/>
        </w:rPr>
        <w:t>、</w:t>
        <w:tab/>
        <w:t>股份支付</w:t>
      </w:r>
    </w:p>
    <w:p>
      <w:pPr>
        <w:pStyle w:val="Style13"/>
        <w:keepNext w:val="0"/>
        <w:keepLines w:val="0"/>
        <w:widowControl w:val="0"/>
        <w:shd w:val="clear" w:color="auto" w:fill="auto"/>
        <w:tabs>
          <w:tab w:pos="992" w:val="left"/>
        </w:tabs>
        <w:bidi w:val="0"/>
        <w:spacing w:before="0" w:after="0" w:line="467" w:lineRule="exact"/>
        <w:ind w:left="0" w:right="0" w:firstLine="48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本公司股份支付分为以权益结算的股份支付和以现金结算的股份支付。</w:t>
      </w:r>
    </w:p>
    <w:p>
      <w:pPr>
        <w:pStyle w:val="Style13"/>
        <w:keepNext w:val="0"/>
        <w:keepLines w:val="0"/>
        <w:widowControl w:val="0"/>
        <w:shd w:val="clear" w:color="auto" w:fill="auto"/>
        <w:tabs>
          <w:tab w:pos="992" w:val="left"/>
        </w:tabs>
        <w:bidi w:val="0"/>
        <w:spacing w:before="0" w:after="0" w:line="467" w:lineRule="exact"/>
        <w:ind w:left="0" w:right="0" w:firstLine="48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13"/>
        <w:keepNext w:val="0"/>
        <w:keepLines w:val="0"/>
        <w:widowControl w:val="0"/>
        <w:shd w:val="clear" w:color="auto" w:fill="auto"/>
        <w:bidi w:val="0"/>
        <w:spacing w:before="0" w:after="0" w:line="480" w:lineRule="exact"/>
        <w:ind w:left="0" w:right="0" w:firstLine="480"/>
        <w:jc w:val="both"/>
      </w:pPr>
      <w:r>
        <w:rPr>
          <w:color w:val="000000"/>
          <w:spacing w:val="0"/>
          <w:w w:val="100"/>
          <w:position w:val="0"/>
        </w:rPr>
        <w:t>本公司对于授予的存在活跃市场的期权等权益工具，按照活跃市场中的报价确定其公允价 值。对于授予的不存在活跃市场的期权等权益工具，采用期权定价模型等确定其公允价值。</w:t>
      </w:r>
    </w:p>
    <w:p>
      <w:pPr>
        <w:pStyle w:val="Style13"/>
        <w:keepNext w:val="0"/>
        <w:keepLines w:val="0"/>
        <w:widowControl w:val="0"/>
        <w:shd w:val="clear" w:color="auto" w:fill="auto"/>
        <w:tabs>
          <w:tab w:pos="992" w:val="left"/>
        </w:tabs>
        <w:bidi w:val="0"/>
        <w:spacing w:before="0" w:after="0" w:line="480" w:lineRule="exact"/>
        <w:ind w:left="0" w:right="0" w:firstLine="48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13"/>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等待期内每个资产负债表日，本公司根据最新取得的可行权职工人数变动等后续信息作出最 佳估计，修正预计可行权的权益工具数量。在可行权日，最终预计可行权权益工具的数量应当与 实际可行权数量一致。</w:t>
      </w:r>
    </w:p>
    <w:p>
      <w:pPr>
        <w:pStyle w:val="Style13"/>
        <w:keepNext w:val="0"/>
        <w:keepLines w:val="0"/>
        <w:widowControl w:val="0"/>
        <w:shd w:val="clear" w:color="auto" w:fill="auto"/>
        <w:tabs>
          <w:tab w:pos="507" w:val="left"/>
        </w:tabs>
        <w:bidi w:val="0"/>
        <w:spacing w:before="0" w:after="220" w:line="467" w:lineRule="exact"/>
        <w:ind w:left="0" w:right="0" w:firstLine="0"/>
        <w:jc w:val="both"/>
      </w:pPr>
      <w:bookmarkStart w:id="831" w:name="bookmark831"/>
      <w:r>
        <w:rPr>
          <w:rFonts w:ascii="Times New Roman" w:eastAsia="Times New Roman" w:hAnsi="Times New Roman" w:cs="Times New Roman"/>
          <w:color w:val="000000"/>
          <w:spacing w:val="0"/>
          <w:w w:val="100"/>
          <w:position w:val="0"/>
        </w:rPr>
        <w:t>2</w:t>
      </w:r>
      <w:bookmarkEnd w:id="831"/>
      <w:r>
        <w:rPr>
          <w:rFonts w:ascii="Times New Roman" w:eastAsia="Times New Roman" w:hAnsi="Times New Roman" w:cs="Times New Roman"/>
          <w:color w:val="000000"/>
          <w:spacing w:val="0"/>
          <w:w w:val="100"/>
          <w:position w:val="0"/>
        </w:rPr>
        <w:t>4</w:t>
      </w:r>
      <w:r>
        <w:rPr>
          <w:color w:val="000000"/>
          <w:spacing w:val="0"/>
          <w:w w:val="100"/>
          <w:position w:val="0"/>
        </w:rPr>
        <w:t>、</w:t>
        <w:tab/>
        <w:t>收入确认</w:t>
      </w:r>
    </w:p>
    <w:p>
      <w:pPr>
        <w:pStyle w:val="Style13"/>
        <w:keepNext w:val="0"/>
        <w:keepLines w:val="0"/>
        <w:widowControl w:val="0"/>
        <w:shd w:val="clear" w:color="auto" w:fill="auto"/>
        <w:bidi w:val="0"/>
        <w:spacing w:before="0" w:after="0" w:line="468" w:lineRule="exact"/>
        <w:ind w:left="0" w:right="0" w:firstLine="480"/>
        <w:jc w:val="both"/>
        <w:sectPr>
          <w:footnotePr>
            <w:pos w:val="pageBottom"/>
            <w:numFmt w:val="decimal"/>
            <w:numRestart w:val="continuous"/>
          </w:footnotePr>
          <w:pgSz w:w="11900" w:h="16840"/>
          <w:pgMar w:top="1494" w:right="1011" w:bottom="1470" w:left="1087" w:header="0" w:footer="3" w:gutter="0"/>
          <w:cols w:space="720"/>
          <w:noEndnote/>
          <w:rtlGutter w:val="0"/>
          <w:docGrid w:linePitch="360"/>
        </w:sectPr>
      </w:pPr>
      <w:r>
        <w:rPr>
          <w:color w:val="000000"/>
          <w:spacing w:val="0"/>
          <w:w w:val="100"/>
          <w:position w:val="0"/>
        </w:rPr>
        <w:t>收入是本公司在日常活动中形成的、会导致股东权益增加且与股东投入资本无关的经济利益 的总流入。本公司在履行了合同中的履约义务，即在客户取得相关商品或服务（简称商品）的控 制权时确认收入。</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合同中包含两项或多项履约义务的，本公司在合同开始日，按照各单项履约义务所承诺商品 的单独售价的相对比例，将交易价格分摊至各单项履约义务，按照分摊至各单项履约义务的交易 价格计量收入。</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交易价格是本公司因向客户转让商品而预期有权收取的对价金额，不包括代第三方收取的款 项。本公司确认的交易价格不超过在相关不确定性消除时累计已确认收入极可能不会发生重大转 回的金额。合同中存在重大融资成分的，本公司按照假定客户在取得商品控制权时即以现金支付 的应付金额确定交易价格，该交易价格与合同承诺的对价之间的差额，在合同期间内采用实际利 率法摊销。</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满足下列条件之一时，属于在某一时段内履行履约义务，否则，属于在某一时点履行履约义 务：①客户在本公司履约的同时即取得并消耗本公司履约所带来的经济利益；②客户能够控制本 公司履约过程中在建的商品；③本公司履约过程中所产出的商品具有不可替代用途，且本公司在 整个合同期间内有权就累计至今已完成的履约部分收取款项。</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对于在某一时段内履行的履约义务，本公司在该时段内按照履约进度确认收入。履约进度不 能合理确定时，本公司已经发生的成本预计能够得到补偿的，按照已经发生的成本金额确认收入， 直至履约进度能够合理确定。对于在某一时点履行的履约义务，本公司在客户取得相关商品控制 权时点确认收入。</w:t>
      </w:r>
    </w:p>
    <w:p>
      <w:pPr>
        <w:pStyle w:val="Style13"/>
        <w:keepNext w:val="0"/>
        <w:keepLines w:val="0"/>
        <w:widowControl w:val="0"/>
        <w:shd w:val="clear" w:color="auto" w:fill="auto"/>
        <w:bidi w:val="0"/>
        <w:spacing w:before="0" w:after="0" w:line="468" w:lineRule="exact"/>
        <w:ind w:left="0" w:right="0" w:firstLine="48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1</w:t>
      </w:r>
      <w:r>
        <w:rPr>
          <w:color w:val="000000"/>
          <w:spacing w:val="0"/>
          <w:w w:val="100"/>
          <w:position w:val="0"/>
        </w:rPr>
        <w:t>）商品销售收入</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本公司在履行了合同中的履约义务，即在客户取得相关商品控制权时确认收入。在判断客 户是否已取得商品控制权时，公司考虑下列迹象：</w:t>
      </w:r>
    </w:p>
    <w:p>
      <w:pPr>
        <w:pStyle w:val="Style13"/>
        <w:keepNext w:val="0"/>
        <w:keepLines w:val="0"/>
        <w:widowControl w:val="0"/>
        <w:numPr>
          <w:ilvl w:val="0"/>
          <w:numId w:val="39"/>
        </w:numPr>
        <w:shd w:val="clear" w:color="auto" w:fill="auto"/>
        <w:tabs>
          <w:tab w:pos="879" w:val="left"/>
        </w:tabs>
        <w:bidi w:val="0"/>
        <w:spacing w:before="0" w:after="0" w:line="468" w:lineRule="exact"/>
        <w:ind w:left="0" w:right="0" w:firstLine="480"/>
        <w:jc w:val="left"/>
      </w:pPr>
      <w:bookmarkStart w:id="833" w:name="bookmark833"/>
      <w:bookmarkEnd w:id="833"/>
      <w:r>
        <w:rPr>
          <w:color w:val="000000"/>
          <w:spacing w:val="0"/>
          <w:w w:val="100"/>
          <w:position w:val="0"/>
        </w:rPr>
        <w:t>公司就该商品享有现时收款权利，即客户就该商品负有现时付款义务。</w:t>
      </w:r>
    </w:p>
    <w:p>
      <w:pPr>
        <w:pStyle w:val="Style13"/>
        <w:keepNext w:val="0"/>
        <w:keepLines w:val="0"/>
        <w:widowControl w:val="0"/>
        <w:numPr>
          <w:ilvl w:val="0"/>
          <w:numId w:val="39"/>
        </w:numPr>
        <w:shd w:val="clear" w:color="auto" w:fill="auto"/>
        <w:tabs>
          <w:tab w:pos="879" w:val="left"/>
        </w:tabs>
        <w:bidi w:val="0"/>
        <w:spacing w:before="0" w:after="0" w:line="468" w:lineRule="exact"/>
        <w:ind w:left="0" w:right="0" w:firstLine="480"/>
        <w:jc w:val="left"/>
      </w:pPr>
      <w:bookmarkStart w:id="834" w:name="bookmark834"/>
      <w:bookmarkEnd w:id="834"/>
      <w:r>
        <w:rPr>
          <w:color w:val="000000"/>
          <w:spacing w:val="0"/>
          <w:w w:val="100"/>
          <w:position w:val="0"/>
        </w:rPr>
        <w:t>公司已将该商品的控制权转移给客户，即客户已拥有该商品的法定所有权。</w:t>
      </w:r>
    </w:p>
    <w:p>
      <w:pPr>
        <w:pStyle w:val="Style13"/>
        <w:keepNext w:val="0"/>
        <w:keepLines w:val="0"/>
        <w:widowControl w:val="0"/>
        <w:numPr>
          <w:ilvl w:val="0"/>
          <w:numId w:val="39"/>
        </w:numPr>
        <w:shd w:val="clear" w:color="auto" w:fill="auto"/>
        <w:tabs>
          <w:tab w:pos="879" w:val="left"/>
        </w:tabs>
        <w:bidi w:val="0"/>
        <w:spacing w:before="0" w:after="0" w:line="468" w:lineRule="exact"/>
        <w:ind w:left="0" w:right="0" w:firstLine="480"/>
        <w:jc w:val="left"/>
      </w:pPr>
      <w:bookmarkStart w:id="835" w:name="bookmark835"/>
      <w:bookmarkEnd w:id="835"/>
      <w:r>
        <w:rPr>
          <w:color w:val="000000"/>
          <w:spacing w:val="0"/>
          <w:w w:val="100"/>
          <w:position w:val="0"/>
        </w:rPr>
        <w:t>公司已将该商品实物转移给客户，即客户已实物占有该商品。</w:t>
      </w:r>
    </w:p>
    <w:p>
      <w:pPr>
        <w:pStyle w:val="Style13"/>
        <w:keepNext w:val="0"/>
        <w:keepLines w:val="0"/>
        <w:widowControl w:val="0"/>
        <w:numPr>
          <w:ilvl w:val="0"/>
          <w:numId w:val="39"/>
        </w:numPr>
        <w:shd w:val="clear" w:color="auto" w:fill="auto"/>
        <w:tabs>
          <w:tab w:pos="855" w:val="left"/>
        </w:tabs>
        <w:bidi w:val="0"/>
        <w:spacing w:before="0" w:after="0" w:line="468" w:lineRule="exact"/>
        <w:ind w:left="0" w:right="0" w:firstLine="480"/>
        <w:jc w:val="both"/>
      </w:pPr>
      <w:bookmarkStart w:id="836" w:name="bookmark836"/>
      <w:bookmarkEnd w:id="836"/>
      <w:r>
        <w:rPr>
          <w:color w:val="000000"/>
          <w:spacing w:val="0"/>
          <w:w w:val="100"/>
          <w:position w:val="0"/>
        </w:rPr>
        <w:t>公司已将该商品所有权上的主要风险和报酬转移给客户，即客户已取得该商品所有权上的 主要风险和报酬。</w:t>
      </w:r>
    </w:p>
    <w:p>
      <w:pPr>
        <w:pStyle w:val="Style13"/>
        <w:keepNext w:val="0"/>
        <w:keepLines w:val="0"/>
        <w:widowControl w:val="0"/>
        <w:numPr>
          <w:ilvl w:val="0"/>
          <w:numId w:val="39"/>
        </w:numPr>
        <w:shd w:val="clear" w:color="auto" w:fill="auto"/>
        <w:tabs>
          <w:tab w:pos="879" w:val="left"/>
        </w:tabs>
        <w:bidi w:val="0"/>
        <w:spacing w:before="0" w:after="0" w:line="468" w:lineRule="exact"/>
        <w:ind w:left="0" w:right="0" w:firstLine="480"/>
        <w:jc w:val="both"/>
      </w:pPr>
      <w:bookmarkStart w:id="837" w:name="bookmark837"/>
      <w:bookmarkEnd w:id="837"/>
      <w:r>
        <w:rPr>
          <w:color w:val="000000"/>
          <w:spacing w:val="0"/>
          <w:w w:val="100"/>
          <w:position w:val="0"/>
        </w:rPr>
        <w:t>客户已接受该商品。</w:t>
      </w:r>
    </w:p>
    <w:p>
      <w:pPr>
        <w:pStyle w:val="Style13"/>
        <w:keepNext w:val="0"/>
        <w:keepLines w:val="0"/>
        <w:widowControl w:val="0"/>
        <w:numPr>
          <w:ilvl w:val="0"/>
          <w:numId w:val="39"/>
        </w:numPr>
        <w:shd w:val="clear" w:color="auto" w:fill="auto"/>
        <w:tabs>
          <w:tab w:pos="879" w:val="left"/>
        </w:tabs>
        <w:bidi w:val="0"/>
        <w:spacing w:before="0" w:after="0" w:line="468" w:lineRule="exact"/>
        <w:ind w:left="0" w:right="0" w:firstLine="480"/>
        <w:jc w:val="both"/>
      </w:pPr>
      <w:bookmarkStart w:id="838" w:name="bookmark838"/>
      <w:bookmarkEnd w:id="838"/>
      <w:r>
        <w:rPr>
          <w:color w:val="000000"/>
          <w:spacing w:val="0"/>
          <w:w w:val="100"/>
          <w:position w:val="0"/>
        </w:rPr>
        <w:t>其他表明客户已取得商品控制权的迹象。</w:t>
      </w:r>
    </w:p>
    <w:p>
      <w:pPr>
        <w:pStyle w:val="Style13"/>
        <w:keepNext w:val="0"/>
        <w:keepLines w:val="0"/>
        <w:widowControl w:val="0"/>
        <w:shd w:val="clear" w:color="auto" w:fill="auto"/>
        <w:bidi w:val="0"/>
        <w:spacing w:before="0" w:after="200" w:line="468" w:lineRule="exact"/>
        <w:ind w:left="0" w:right="0" w:firstLine="480"/>
        <w:jc w:val="both"/>
      </w:pPr>
      <w:r>
        <w:rPr>
          <w:color w:val="000000"/>
          <w:spacing w:val="0"/>
          <w:w w:val="100"/>
          <w:position w:val="0"/>
        </w:rPr>
        <w:t>公司芯片类产品、负极材料形成的产品收入均属于销售商品收入，对于不包含安装的销售商 品收入，本公司收入确认时点，以购买方取得商品控制权（内销收入即客户签收时点，外销收入 即货物报关离岸时点）确认商品销售收入实现。</w:t>
      </w:r>
    </w:p>
    <w:p>
      <w:pPr>
        <w:pStyle w:val="Style13"/>
        <w:keepNext w:val="0"/>
        <w:keepLines w:val="0"/>
        <w:widowControl w:val="0"/>
        <w:shd w:val="clear" w:color="auto" w:fill="auto"/>
        <w:bidi w:val="0"/>
        <w:spacing w:before="0" w:after="0" w:line="250" w:lineRule="exact"/>
        <w:ind w:left="4700" w:right="0" w:hanging="4220"/>
        <w:jc w:val="both"/>
        <w:rPr>
          <w:sz w:val="18"/>
          <w:szCs w:val="18"/>
        </w:rPr>
      </w:pPr>
      <w:r>
        <w:rPr>
          <w:color w:val="000000"/>
          <w:spacing w:val="0"/>
          <w:w w:val="100"/>
          <w:position w:val="0"/>
          <w:sz w:val="22"/>
          <w:szCs w:val="22"/>
        </w:rPr>
        <w:t xml:space="preserve">对于包含安装的销售商品收入，销售商品部分和提供劳务部分不能够区分，或虽能区分但不 </w:t>
      </w:r>
      <w:r>
        <w:rPr>
          <w:rFonts w:ascii="Times New Roman" w:eastAsia="Times New Roman" w:hAnsi="Times New Roman" w:cs="Times New Roman"/>
          <w:color w:val="000000"/>
          <w:spacing w:val="0"/>
          <w:w w:val="100"/>
          <w:position w:val="0"/>
          <w:sz w:val="18"/>
          <w:szCs w:val="18"/>
        </w:rPr>
        <w:t>152</w:t>
      </w:r>
    </w:p>
    <w:p>
      <w:pPr>
        <w:pStyle w:val="Style13"/>
        <w:keepNext w:val="0"/>
        <w:keepLines w:val="0"/>
        <w:widowControl w:val="0"/>
        <w:shd w:val="clear" w:color="auto" w:fill="auto"/>
        <w:bidi w:val="0"/>
        <w:spacing w:before="0" w:after="0" w:line="470" w:lineRule="exact"/>
        <w:ind w:left="0" w:right="0" w:firstLine="0"/>
        <w:jc w:val="both"/>
      </w:pPr>
      <w:r>
        <w:rPr>
          <w:color w:val="000000"/>
          <w:spacing w:val="0"/>
          <w:w w:val="100"/>
          <w:position w:val="0"/>
        </w:rPr>
        <w:t>能够单独计量的，将销售商品部分和提供劳务部分全部作为销售商品处理。将购买方验收时点作 为控制权转移时点，确认收入。</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对于贸易类业务，公司收入分为总额法和净额法。</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总额法和净额法的判断标准：公司在向客户转让商品或服务前能够控制该商品或服务的，本 公司为主要合同履行方。如果履约义务是安排另一方提供指定商品或服务，则本公司为代理人。 在这种情况下，本公司在该商品或服务转移给客户之前不会控制另一方提供的指定商品或服务。 当本公司作为代理人身份时，本公司已收或应收对价总额扣除应支付给其他相关方的价款后的净 额确认收入。本公司为主要合同履行方的贸易业务，由公司人员负责运营，采用总额法确认收入。</w:t>
      </w:r>
    </w:p>
    <w:p>
      <w:pPr>
        <w:pStyle w:val="Style13"/>
        <w:keepNext w:val="0"/>
        <w:keepLines w:val="0"/>
        <w:widowControl w:val="0"/>
        <w:shd w:val="clear" w:color="auto" w:fill="auto"/>
        <w:bidi w:val="0"/>
        <w:spacing w:before="0" w:after="0" w:line="470" w:lineRule="exact"/>
        <w:ind w:left="0" w:right="0" w:firstLine="48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）提供劳务</w:t>
      </w:r>
    </w:p>
    <w:p>
      <w:pPr>
        <w:pStyle w:val="Style13"/>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本公司为客户提供软件设计、项目整体解决方案设计服务和石墨化加工服务属于提供劳务收 入，根据客户验收时点确认收入。本公司给予客户的信用期，根据客户的信用风险特征确定，不 存在重大融资成分。</w:t>
      </w:r>
    </w:p>
    <w:p>
      <w:pPr>
        <w:pStyle w:val="Style13"/>
        <w:keepNext w:val="0"/>
        <w:keepLines w:val="0"/>
        <w:widowControl w:val="0"/>
        <w:shd w:val="clear" w:color="auto" w:fill="auto"/>
        <w:bidi w:val="0"/>
        <w:spacing w:before="0" w:after="200" w:line="467" w:lineRule="exact"/>
        <w:ind w:left="0" w:right="0" w:firstLine="0"/>
        <w:jc w:val="both"/>
      </w:pPr>
      <w:bookmarkStart w:id="840" w:name="bookmark840"/>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5</w:t>
      </w:r>
      <w:r>
        <w:rPr>
          <w:color w:val="000000"/>
          <w:spacing w:val="0"/>
          <w:w w:val="100"/>
          <w:position w:val="0"/>
        </w:rPr>
        <w:t>、政府补助</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政府补助是指本公司从政府无偿取得货币性资产或非货币性资产，不包括政府以投资者身份 并享有相应所有者权益而投入的资本。政府补助为货币性资产的，按照收到或应收的金额计量。 政府补助为非货币性资产的，应当按照公允价值计量；公允价值不能可靠取得的，按照名义金额 计量。按照名义金额计量的政府补助，直接计入当期损益。</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当本公司能够满足政府补助所附条件，且能够收到政府补助时，才能确认政府补助。</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政府补助分为与资产相关的政府补助和与收益相关的政府补助。与资产相关的政府补助，是 指公司取得的、用于购建或以其他方式形成长期资产的政府补助。与收益相关的政府补助，是指 除与资产相关的政府补助之外的政府补助。</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与资产相关的政府补助，采用总额法，确认为递延收益，在相关资产使用寿命内按照合理、 系统的方法分期计入损益，相关资产在使用寿命结束前被出售、转让、报废或发生毁损的，将尚 未分配的相关递延收益余额转入资产处置当期的损益，已确认的政府补助需要退回的，冲减相关 递延收益账面余额，超出部分计入当期损益。</w:t>
      </w:r>
    </w:p>
    <w:p>
      <w:pPr>
        <w:pStyle w:val="Style13"/>
        <w:keepNext w:val="0"/>
        <w:keepLines w:val="0"/>
        <w:widowControl w:val="0"/>
        <w:shd w:val="clear" w:color="auto" w:fill="auto"/>
        <w:bidi w:val="0"/>
        <w:spacing w:before="0" w:after="200" w:line="467" w:lineRule="exact"/>
        <w:ind w:left="0" w:right="0" w:firstLine="480"/>
        <w:jc w:val="both"/>
      </w:pPr>
      <w:r>
        <w:rPr>
          <w:color w:val="000000"/>
          <w:spacing w:val="0"/>
          <w:w w:val="100"/>
          <w:position w:val="0"/>
        </w:rPr>
        <w:t>与收益相关的政府补助，采用总额法，用于补偿公司已发生的相关成本费用或损失时，直接 计入当期损益；用于补偿以后期间的相关成本费用或损失时，确认为递延收益，并在确认相关成 本费用或损失的期间，计入当期损益。</w:t>
      </w:r>
    </w:p>
    <w:p>
      <w:pPr>
        <w:pStyle w:val="Style13"/>
        <w:keepNext w:val="0"/>
        <w:keepLines w:val="0"/>
        <w:widowControl w:val="0"/>
        <w:shd w:val="clear" w:color="auto" w:fill="auto"/>
        <w:bidi w:val="0"/>
        <w:spacing w:before="0" w:after="200" w:line="274" w:lineRule="exact"/>
        <w:ind w:left="4700" w:right="0" w:hanging="4220"/>
        <w:jc w:val="both"/>
        <w:rPr>
          <w:sz w:val="18"/>
          <w:szCs w:val="18"/>
        </w:rPr>
      </w:pPr>
      <w:r>
        <w:rPr>
          <w:color w:val="000000"/>
          <w:spacing w:val="0"/>
          <w:w w:val="100"/>
          <w:position w:val="0"/>
          <w:sz w:val="22"/>
          <w:szCs w:val="22"/>
        </w:rPr>
        <w:t xml:space="preserve">对于同时包含与资产相关部分和与收益相关部分的政府补助，区分不同部分分别进行会计处 </w:t>
      </w:r>
      <w:r>
        <w:rPr>
          <w:rFonts w:ascii="Times New Roman" w:eastAsia="Times New Roman" w:hAnsi="Times New Roman" w:cs="Times New Roman"/>
          <w:color w:val="000000"/>
          <w:spacing w:val="0"/>
          <w:w w:val="100"/>
          <w:position w:val="0"/>
          <w:sz w:val="18"/>
          <w:szCs w:val="18"/>
        </w:rPr>
        <w:t>153</w:t>
      </w:r>
    </w:p>
    <w:p>
      <w:pPr>
        <w:pStyle w:val="Style13"/>
        <w:keepNext w:val="0"/>
        <w:keepLines w:val="0"/>
        <w:widowControl w:val="0"/>
        <w:shd w:val="clear" w:color="auto" w:fill="auto"/>
        <w:bidi w:val="0"/>
        <w:spacing w:before="0" w:after="0" w:line="466" w:lineRule="exact"/>
        <w:ind w:left="0" w:right="0" w:firstLine="0"/>
        <w:jc w:val="both"/>
      </w:pPr>
      <w:r>
        <w:rPr>
          <w:color w:val="000000"/>
          <w:spacing w:val="0"/>
          <w:w w:val="100"/>
          <w:position w:val="0"/>
        </w:rPr>
        <w:t>理；难以区分的，整体归类为与收益相关的政府补助。</w:t>
      </w:r>
    </w:p>
    <w:p>
      <w:pPr>
        <w:pStyle w:val="Style13"/>
        <w:keepNext w:val="0"/>
        <w:keepLines w:val="0"/>
        <w:widowControl w:val="0"/>
        <w:shd w:val="clear" w:color="auto" w:fill="auto"/>
        <w:bidi w:val="0"/>
        <w:spacing w:before="0" w:after="220" w:line="466" w:lineRule="exact"/>
        <w:ind w:left="0" w:right="0" w:firstLine="480"/>
        <w:jc w:val="both"/>
      </w:pPr>
      <w:r>
        <w:rPr>
          <w:color w:val="000000"/>
          <w:spacing w:val="0"/>
          <w:w w:val="100"/>
          <w:position w:val="0"/>
        </w:rPr>
        <w:t>与公司日常活动相关的政府补助，按照经济业务实质，计入其他收益或冲减相关成本费用。 与公司日常活动无关的政府补助，计入营业外收支。</w:t>
      </w:r>
    </w:p>
    <w:p>
      <w:pPr>
        <w:pStyle w:val="Style13"/>
        <w:keepNext w:val="0"/>
        <w:keepLines w:val="0"/>
        <w:widowControl w:val="0"/>
        <w:shd w:val="clear" w:color="auto" w:fill="auto"/>
        <w:tabs>
          <w:tab w:pos="466" w:val="left"/>
        </w:tabs>
        <w:bidi w:val="0"/>
        <w:spacing w:before="0" w:after="220" w:line="469" w:lineRule="exact"/>
        <w:ind w:left="0" w:right="0" w:firstLine="0"/>
        <w:jc w:val="both"/>
      </w:pPr>
      <w:bookmarkStart w:id="841" w:name="bookmark841"/>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递延所得税资产和递延所得税负债</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某些资产、负债项目的账面价值与其计税基础之间的差额，以及未作为资产和负债确认但按 照税法规定可以确定其计税基础的项目的账面价值与计税基础之间的差额产生的暂时性差异，采 用资产负债表债务法确认递延所得税资产及递延所得税负债。</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与商誉的初始确认有关，以及与既不是企业合并、发生时也不影响会计利润和应纳税所得额 （或可抵扣亏损）的交易中产生的资产或负债的初始确认有关的应纳税暂时性差异，不予确认有 关的递延所得税负债。此外，对与子公司、联营企业及合营企业投资相关的应纳税暂时性差异， 如果本公司能够控制暂时性差异转回的时间，而且该暂时性差异在可预见的未来很可能不会转 回，也不予确认有关的递延所得税负债。除上述例外情况，本公司确认其他所有应纳税暂时性差 异产生的递延所得税负债。</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与既不是企业合并、发生时也不影响会计利润和应纳税所得额（或可抵扣亏损）的交易中产 生的资产或负债的初始确认有关的可抵扣暂时性差异，不予确认有关的递延所得税资产。此外， 对与子公司、联营企业及合营企业投资相关的可抵扣暂时性差异，如果暂时性差异在可预见的未 来不是很可能转回，或者未来不是很可能获得用来抵扣可抵扣暂时性差异的应纳税所得额，不予 确认有关的递延所得税资产。除上述例外情况，本公司以很可能取得用来抵扣可抵扣暂时性差异 的应纳税所得额为限，确认其他可抵扣暂时性差异产生的递延所得税资产。</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对于能够结转以后年度的可抵扣亏损和税款抵减，以很可能获得用来抵扣可抵扣亏损和税款 抵减的未来应纳税所得额为限，确认相应的递延所得税资产。</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13"/>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于资产负债表日，对递延所得税资产的账面价值进行复核，如果未来很可能无法获得足够的 应纳税所得额用以抵扣递延所得税资产的利益，则减记递延所得税资产的账面价值。在很可能获 得足够的应纳税所得额时，减记的金额予以转回。</w:t>
      </w:r>
    </w:p>
    <w:p>
      <w:pPr>
        <w:pStyle w:val="Style13"/>
        <w:keepNext w:val="0"/>
        <w:keepLines w:val="0"/>
        <w:widowControl w:val="0"/>
        <w:shd w:val="clear" w:color="auto" w:fill="auto"/>
        <w:tabs>
          <w:tab w:pos="466" w:val="left"/>
        </w:tabs>
        <w:bidi w:val="0"/>
        <w:spacing w:before="0" w:after="380" w:line="469" w:lineRule="exact"/>
        <w:ind w:left="0" w:right="0" w:firstLine="0"/>
        <w:jc w:val="both"/>
      </w:pPr>
      <w:bookmarkStart w:id="842" w:name="bookmark842"/>
      <w:r>
        <w:rPr>
          <w:rFonts w:ascii="Times New Roman" w:eastAsia="Times New Roman" w:hAnsi="Times New Roman" w:cs="Times New Roman"/>
          <w:color w:val="000000"/>
          <w:spacing w:val="0"/>
          <w:w w:val="100"/>
          <w:position w:val="0"/>
        </w:rPr>
        <w:t>2</w:t>
      </w:r>
      <w:bookmarkEnd w:id="842"/>
      <w:r>
        <w:rPr>
          <w:rFonts w:ascii="Times New Roman" w:eastAsia="Times New Roman" w:hAnsi="Times New Roman" w:cs="Times New Roman"/>
          <w:color w:val="000000"/>
          <w:spacing w:val="0"/>
          <w:w w:val="100"/>
          <w:position w:val="0"/>
        </w:rPr>
        <w:t>7</w:t>
      </w:r>
      <w:r>
        <w:rPr>
          <w:color w:val="000000"/>
          <w:spacing w:val="0"/>
          <w:w w:val="100"/>
          <w:position w:val="0"/>
        </w:rPr>
        <w:t>、</w:t>
        <w:tab/>
        <w:t>所得税</w:t>
      </w:r>
    </w:p>
    <w:p>
      <w:pPr>
        <w:pStyle w:val="Style13"/>
        <w:keepNext w:val="0"/>
        <w:keepLines w:val="0"/>
        <w:widowControl w:val="0"/>
        <w:shd w:val="clear" w:color="auto" w:fill="auto"/>
        <w:bidi w:val="0"/>
        <w:spacing w:before="0" w:after="220" w:line="298" w:lineRule="exact"/>
        <w:ind w:left="4700" w:right="0" w:hanging="4220"/>
        <w:jc w:val="both"/>
        <w:rPr>
          <w:sz w:val="18"/>
          <w:szCs w:val="18"/>
        </w:rPr>
        <w:sectPr>
          <w:footnotePr>
            <w:pos w:val="pageBottom"/>
            <w:numFmt w:val="decimal"/>
            <w:numRestart w:val="continuous"/>
          </w:footnotePr>
          <w:pgSz w:w="11900" w:h="16840"/>
          <w:pgMar w:top="1566" w:right="1013" w:bottom="913" w:left="1090" w:header="0" w:footer="3" w:gutter="0"/>
          <w:cols w:space="720"/>
          <w:noEndnote/>
          <w:rtlGutter w:val="0"/>
          <w:docGrid w:linePitch="360"/>
        </w:sectPr>
      </w:pPr>
      <w:r>
        <w:rPr>
          <w:color w:val="000000"/>
          <w:spacing w:val="0"/>
          <w:w w:val="100"/>
          <w:position w:val="0"/>
          <w:sz w:val="22"/>
          <w:szCs w:val="22"/>
        </w:rPr>
        <w:t xml:space="preserve">所得税包括当期所得税和递延所得税。除由于企业合并产生的调整商誉，或与直接计入所有 </w:t>
      </w:r>
      <w:r>
        <w:rPr>
          <w:rFonts w:ascii="Times New Roman" w:eastAsia="Times New Roman" w:hAnsi="Times New Roman" w:cs="Times New Roman"/>
          <w:color w:val="000000"/>
          <w:spacing w:val="0"/>
          <w:w w:val="100"/>
          <w:position w:val="0"/>
          <w:sz w:val="18"/>
          <w:szCs w:val="18"/>
        </w:rPr>
        <w:t>154</w:t>
      </w:r>
    </w:p>
    <w:p>
      <w:pPr>
        <w:pStyle w:val="Style13"/>
        <w:keepNext w:val="0"/>
        <w:keepLines w:val="0"/>
        <w:widowControl w:val="0"/>
        <w:shd w:val="clear" w:color="auto" w:fill="auto"/>
        <w:bidi w:val="0"/>
        <w:spacing w:before="0" w:after="0" w:line="468" w:lineRule="exact"/>
        <w:ind w:left="0" w:right="0" w:firstLine="0"/>
        <w:jc w:val="both"/>
      </w:pPr>
      <w:r>
        <w:rPr>
          <w:color w:val="000000"/>
          <w:spacing w:val="0"/>
          <w:w w:val="100"/>
          <w:position w:val="0"/>
        </w:rPr>
        <w:t>者权益的交易或者事项相关的递延所得税计入所有者权益外，均作为所得税费用计入当期损益。</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当期所得税是按照当期应纳税所得额计算的当期应交所得税金额。应纳税所得额系根据有关 税法规定对本年度税前会计利润作相应调整后得出。</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本公司根据资产、负债于资产负债表日的账面价值与计税基础之间的暂时性差异，采用资产 负债表债务法确认递延所得税。</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各项应纳税暂时性差异均确认相关的递延所得税负债，除非该应纳税暂时性差异是在以下交 易中产生的：（</w:t>
      </w:r>
      <w:r>
        <w:rPr>
          <w:rFonts w:ascii="Times New Roman" w:eastAsia="Times New Roman" w:hAnsi="Times New Roman" w:cs="Times New Roman"/>
          <w:color w:val="000000"/>
          <w:spacing w:val="0"/>
          <w:w w:val="100"/>
          <w:position w:val="0"/>
        </w:rPr>
        <w:t>1</w:t>
      </w:r>
      <w:r>
        <w:rPr>
          <w:color w:val="000000"/>
          <w:spacing w:val="0"/>
          <w:w w:val="100"/>
          <w:position w:val="0"/>
        </w:rPr>
        <w:t>）商誉的初始确认，或者具有以下特征的交易中产生的资产或负债的初始确认： 该交易不是企业合并，并且交易发生时既不影响会计利润也不影响应纳税所得额；（</w:t>
      </w:r>
      <w:r>
        <w:rPr>
          <w:rFonts w:ascii="Times New Roman" w:eastAsia="Times New Roman" w:hAnsi="Times New Roman" w:cs="Times New Roman"/>
          <w:color w:val="000000"/>
          <w:spacing w:val="0"/>
          <w:w w:val="100"/>
          <w:position w:val="0"/>
        </w:rPr>
        <w:t>2</w:t>
      </w:r>
      <w:r>
        <w:rPr>
          <w:color w:val="000000"/>
          <w:spacing w:val="0"/>
          <w:w w:val="100"/>
          <w:position w:val="0"/>
        </w:rPr>
        <w:t>）对于与子 公司、合营企业及联营企业投资相关的应纳税暂时性差异，该暂时性差异转回的时间能够控制并 且该暂时性差异在可预见的未来很可能不会转回。</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对于可抵扣暂时性差异、能够结转以后年度的可抵扣亏损和税款抵减，本公司以很可能取得 用来抵扣可抵扣暂时性差异、可抵扣亏损和税款抵减的未来应纳税所得额为限，确认由此产生的 递延所得税资产，除非该可抵扣暂时性差异是在以下交易中产生的：（</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 并且交易发生时既不影响会计利润也不影响应纳税所得额；（</w:t>
      </w:r>
      <w:r>
        <w:rPr>
          <w:rFonts w:ascii="Times New Roman" w:eastAsia="Times New Roman" w:hAnsi="Times New Roman" w:cs="Times New Roman"/>
          <w:color w:val="000000"/>
          <w:spacing w:val="0"/>
          <w:w w:val="100"/>
          <w:position w:val="0"/>
        </w:rPr>
        <w:t>2</w:t>
      </w:r>
      <w:r>
        <w:rPr>
          <w:color w:val="000000"/>
          <w:spacing w:val="0"/>
          <w:w w:val="100"/>
          <w:position w:val="0"/>
        </w:rPr>
        <w:t>）对于与子公司、合营企业及联营 企业投资相关的可抵扣暂时性差异，同时满足下列条件的，确认相应的递延所得税资产：暂时性 差异在可预见的未来很可能转回，且未来很可能获得用来抵扣可抵扣暂时性差异的应纳税所得 额。</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于资产负债表日，本公司对递延所得税资产和递延所得税负债，按照预期收回该资产或清偿 该负债期间的适用税率计量，并反映资产负债表日预期收回资产或清偿负债方式的所得税影响。</w:t>
      </w:r>
    </w:p>
    <w:p>
      <w:pPr>
        <w:pStyle w:val="Style13"/>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于资产负债表日，本公司对递延所得税资产的账面价值进行复核。如果未来期间很可能无法 获得足够的应纳税所得额用以抵扣递延所得税资产的利益，减记递延所得税资产的账面价值。在 很可能获得足够的应纳税所得额时，减记的金额予以转回。</w:t>
      </w:r>
    </w:p>
    <w:p>
      <w:pPr>
        <w:pStyle w:val="Style13"/>
        <w:keepNext w:val="0"/>
        <w:keepLines w:val="0"/>
        <w:widowControl w:val="0"/>
        <w:shd w:val="clear" w:color="auto" w:fill="auto"/>
        <w:bidi w:val="0"/>
        <w:spacing w:before="0" w:after="340" w:line="468" w:lineRule="exact"/>
        <w:ind w:left="0" w:right="0" w:firstLine="0"/>
        <w:jc w:val="both"/>
      </w:pPr>
      <w:bookmarkStart w:id="843" w:name="bookmark843"/>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8</w:t>
      </w:r>
      <w:r>
        <w:rPr>
          <w:color w:val="000000"/>
          <w:spacing w:val="0"/>
          <w:w w:val="100"/>
          <w:position w:val="0"/>
        </w:rPr>
        <w:t>、重要会计政策和会计估计变更</w:t>
      </w:r>
    </w:p>
    <w:p>
      <w:pPr>
        <w:pStyle w:val="Style37"/>
        <w:keepNext/>
        <w:keepLines/>
        <w:widowControl w:val="0"/>
        <w:shd w:val="clear" w:color="auto" w:fill="auto"/>
        <w:bidi w:val="0"/>
        <w:spacing w:before="0" w:after="340" w:line="240" w:lineRule="auto"/>
        <w:ind w:left="0" w:right="0" w:firstLine="0"/>
        <w:jc w:val="both"/>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844"/>
      <w:bookmarkEnd w:id="845"/>
      <w:bookmarkEnd w:id="847"/>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寸</w:t>
      </w:r>
      <w:r>
        <w:rPr>
          <w:color w:val="000000"/>
          <w:spacing w:val="0"/>
          <w:w w:val="100"/>
          <w:position w:val="0"/>
          <w:sz w:val="22"/>
          <w:szCs w:val="22"/>
        </w:rPr>
        <w:t>适用</w:t>
      </w:r>
      <w:r>
        <w:rPr>
          <w:color w:val="000000"/>
          <w:spacing w:val="0"/>
          <w:w w:val="100"/>
          <w:position w:val="0"/>
          <w:sz w:val="22"/>
          <w:szCs w:val="22"/>
        </w:rPr>
        <w:t>口</w:t>
      </w:r>
      <w:r>
        <w:rPr>
          <w:color w:val="000000"/>
          <w:spacing w:val="0"/>
          <w:w w:val="100"/>
          <w:position w:val="0"/>
          <w:sz w:val="22"/>
          <w:szCs w:val="22"/>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日（以下 称首次执行日）起执行经修订的 《企业会计准则第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赁》（以下简称新租赁准则）。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 租赁准则。根据新租赁准则的相 关规定，公司对于首次执行本准 则的累积影响数，调整首次执行</w:t>
            </w:r>
          </w:p>
        </w:tc>
      </w:tr>
    </w:tbl>
    <w:p>
      <w:pPr>
        <w:sectPr>
          <w:footnotePr>
            <w:pos w:val="pageBottom"/>
            <w:numFmt w:val="decimal"/>
            <w:numRestart w:val="continuous"/>
          </w:footnotePr>
          <w:pgSz w:w="11900" w:h="16840"/>
          <w:pgMar w:top="1570" w:right="1094" w:bottom="1469" w:left="1104" w:header="0" w:footer="3" w:gutter="0"/>
          <w:cols w:space="720"/>
          <w:noEndnote/>
          <w:rtlGutter w:val="0"/>
          <w:docGrid w:linePitch="360"/>
        </w:sectPr>
      </w:pPr>
    </w:p>
    <w:tbl>
      <w:tblPr>
        <w:tblOverlap w:val="never"/>
        <w:jc w:val="center"/>
        <w:tblLayout w:type="fixed"/>
      </w:tblPr>
      <w:tblGrid>
        <w:gridCol w:w="3202"/>
        <w:gridCol w:w="3187"/>
        <w:gridCol w:w="3197"/>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本准则当年年初留存收益及财 务报表其他相关项目金额，不调 整可比期间信息。</w:t>
            </w:r>
          </w:p>
        </w:tc>
      </w:tr>
    </w:tbl>
    <w:p>
      <w:pPr>
        <w:pStyle w:val="Style30"/>
        <w:keepNext w:val="0"/>
        <w:keepLines w:val="0"/>
        <w:widowControl w:val="0"/>
        <w:shd w:val="clear" w:color="auto" w:fill="auto"/>
        <w:bidi w:val="0"/>
        <w:spacing w:before="0" w:after="0" w:line="240" w:lineRule="auto"/>
        <w:ind w:left="10" w:right="0" w:firstLine="0"/>
        <w:jc w:val="left"/>
        <w:rPr>
          <w:sz w:val="22"/>
          <w:szCs w:val="22"/>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）重要会计估计变更</w:t>
      </w:r>
    </w:p>
    <w:p>
      <w:pPr>
        <w:widowControl w:val="0"/>
        <w:spacing w:after="319" w:line="1" w:lineRule="exact"/>
      </w:pPr>
    </w:p>
    <w:p>
      <w:pPr>
        <w:pStyle w:val="Style1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848"/>
      <w:bookmarkEnd w:id="849"/>
      <w:bookmarkEnd w:id="851"/>
    </w:p>
    <w:p>
      <w:pPr>
        <w:pStyle w:val="Style1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30"/>
        <w:keepNext w:val="0"/>
        <w:keepLines w:val="0"/>
        <w:widowControl w:val="0"/>
        <w:shd w:val="clear" w:color="auto" w:fill="auto"/>
        <w:bidi w:val="0"/>
        <w:spacing w:before="0" w:after="0" w:line="240" w:lineRule="auto"/>
        <w:ind w:left="29" w:right="0" w:firstLine="0"/>
        <w:jc w:val="left"/>
        <w:rPr>
          <w:sz w:val="22"/>
          <w:szCs w:val="22"/>
        </w:rPr>
      </w:pPr>
      <w:r>
        <w:rPr>
          <w:color w:val="000000"/>
          <w:spacing w:val="0"/>
          <w:w w:val="100"/>
          <w:position w:val="0"/>
          <w:sz w:val="22"/>
          <w:szCs w:val="22"/>
        </w:rPr>
        <w:t>寸</w:t>
      </w:r>
      <w:r>
        <w:rPr>
          <w:color w:val="000000"/>
          <w:spacing w:val="0"/>
          <w:w w:val="100"/>
          <w:position w:val="0"/>
          <w:sz w:val="22"/>
          <w:szCs w:val="22"/>
        </w:rPr>
        <w:t>是</w:t>
      </w:r>
      <w:r>
        <w:rPr>
          <w:color w:val="000000"/>
          <w:spacing w:val="0"/>
          <w:w w:val="100"/>
          <w:position w:val="0"/>
          <w:sz w:val="22"/>
          <w:szCs w:val="22"/>
        </w:rPr>
        <w:t>口</w:t>
      </w:r>
      <w:r>
        <w:rPr>
          <w:color w:val="000000"/>
          <w:spacing w:val="0"/>
          <w:w w:val="100"/>
          <w:position w:val="0"/>
          <w:sz w:val="22"/>
          <w:szCs w:val="22"/>
        </w:rPr>
        <w:t>否</w:t>
      </w:r>
    </w:p>
    <w:tbl>
      <w:tblPr>
        <w:tblOverlap w:val="never"/>
        <w:jc w:val="center"/>
        <w:tblLayout w:type="fixed"/>
      </w:tblPr>
      <w:tblGrid>
        <w:gridCol w:w="2333"/>
        <w:gridCol w:w="2352"/>
        <w:gridCol w:w="2592"/>
        <w:gridCol w:w="2549"/>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b/>
                <w:bCs/>
                <w:color w:val="000000"/>
                <w:spacing w:val="0"/>
                <w:w w:val="100"/>
                <w:position w:val="0"/>
                <w:sz w:val="20"/>
                <w:szCs w:val="20"/>
              </w:rPr>
              <w:t>调整数</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52,417,638.02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52,417,638.02</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一年内到期的非流</w:t>
            </w:r>
          </w:p>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6,610,849.57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6,610,849.57</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45,806,788.45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45,806,788.45</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852" w:name="bookmark852"/>
      <w:bookmarkStart w:id="853" w:name="bookmark853"/>
      <w:bookmarkStart w:id="854" w:name="bookmark854"/>
      <w:r>
        <w:rPr>
          <w:color w:val="000000"/>
          <w:spacing w:val="0"/>
          <w:w w:val="100"/>
          <w:position w:val="0"/>
        </w:rPr>
        <w:t>四、税项</w:t>
      </w:r>
      <w:bookmarkEnd w:id="852"/>
      <w:bookmarkEnd w:id="853"/>
      <w:bookmarkEnd w:id="854"/>
    </w:p>
    <w:p>
      <w:pPr>
        <w:pStyle w:val="Style1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p>
    <w:tbl>
      <w:tblPr>
        <w:tblOverlap w:val="never"/>
        <w:jc w:val="left"/>
        <w:tblLayout w:type="fixed"/>
      </w:tblPr>
      <w:tblGrid>
        <w:gridCol w:w="3024"/>
        <w:gridCol w:w="3264"/>
        <w:gridCol w:w="2827"/>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b/>
                <w:bCs/>
                <w:color w:val="000000"/>
                <w:spacing w:val="0"/>
                <w:w w:val="100"/>
                <w:position w:val="0"/>
                <w:sz w:val="20"/>
                <w:szCs w:val="20"/>
              </w:rPr>
              <w:t>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税率</w:t>
            </w:r>
            <w:r>
              <w:rPr>
                <w:b/>
                <w:bCs/>
                <w:color w:val="000000"/>
                <w:spacing w:val="0"/>
                <w:w w:val="100"/>
                <w:position w:val="0"/>
                <w:sz w:val="20"/>
                <w:szCs w:val="20"/>
              </w:rPr>
              <w:t>％</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应税收入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应纳流转税额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应纳流转税额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应纳流转税额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应纳税所得额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16.5</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15</w:t>
            </w:r>
          </w:p>
        </w:tc>
      </w:tr>
      <w:tr>
        <w:trPr>
          <w:trHeight w:val="59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房产税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280" w:right="0" w:firstLine="0"/>
              <w:jc w:val="left"/>
              <w:rPr>
                <w:sz w:val="20"/>
                <w:szCs w:val="20"/>
              </w:rPr>
            </w:pPr>
            <w:r>
              <w:rPr>
                <w:color w:val="000000"/>
                <w:spacing w:val="0"/>
                <w:w w:val="100"/>
                <w:position w:val="0"/>
                <w:sz w:val="20"/>
                <w:szCs w:val="20"/>
              </w:rPr>
              <w:t>按照房产原值的</w:t>
            </w:r>
            <w:r>
              <w:rPr>
                <w:rFonts w:ascii="Times New Roman" w:eastAsia="Times New Roman" w:hAnsi="Times New Roman" w:cs="Times New Roman"/>
                <w:color w:val="000000"/>
                <w:spacing w:val="0"/>
                <w:w w:val="100"/>
                <w:position w:val="0"/>
                <w:sz w:val="22"/>
                <w:szCs w:val="22"/>
              </w:rPr>
              <w:t xml:space="preserve">70% </w:t>
            </w:r>
            <w:r>
              <w:rPr>
                <w:color w:val="000000"/>
                <w:spacing w:val="0"/>
                <w:w w:val="100"/>
                <w:position w:val="0"/>
                <w:sz w:val="20"/>
                <w:szCs w:val="20"/>
              </w:rPr>
              <w:t>（或租金 收入）为纳税基准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12</w:t>
            </w:r>
          </w:p>
        </w:tc>
      </w:tr>
    </w:tbl>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不同纳税主体所得税税率说明:</w:t>
      </w:r>
    </w:p>
    <w:p>
      <w:pPr>
        <w:widowControl w:val="0"/>
        <w:spacing w:after="79" w:line="1" w:lineRule="exact"/>
      </w:pPr>
    </w:p>
    <w:tbl>
      <w:tblPr>
        <w:tblOverlap w:val="never"/>
        <w:jc w:val="left"/>
        <w:tblLayout w:type="fixed"/>
      </w:tblPr>
      <w:tblGrid>
        <w:gridCol w:w="4728"/>
        <w:gridCol w:w="4387"/>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纳税主体名称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所得税税率</w:t>
            </w:r>
            <w:r>
              <w:rPr>
                <w:b/>
                <w:bCs/>
                <w:color w:val="000000"/>
                <w:spacing w:val="0"/>
                <w:w w:val="100"/>
                <w:position w:val="0"/>
                <w:sz w:val="20"/>
                <w:szCs w:val="20"/>
              </w:rPr>
              <w:t>％</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国民技术股份有限公司（母公司）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国民科技（深圳）有限公司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深圳前海国民投资管理有限公司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国民技术（香港）有限公司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w:t>
            </w:r>
          </w:p>
        </w:tc>
      </w:tr>
      <w:tr>
        <w:trPr>
          <w:trHeight w:val="518"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w:t>
            </w:r>
          </w:p>
        </w:tc>
      </w:tr>
    </w:tbl>
    <w:p>
      <w:pPr>
        <w:sectPr>
          <w:footnotePr>
            <w:pos w:val="pageBottom"/>
            <w:numFmt w:val="decimal"/>
            <w:numRestart w:val="continuous"/>
          </w:footnotePr>
          <w:pgSz w:w="11900" w:h="16840"/>
          <w:pgMar w:top="1441" w:right="994" w:bottom="1215" w:left="1080" w:header="0" w:footer="3" w:gutter="0"/>
          <w:cols w:space="720"/>
          <w:noEndnote/>
          <w:rtlGutter w:val="0"/>
          <w:docGrid w:linePitch="360"/>
        </w:sectPr>
      </w:pPr>
    </w:p>
    <w:p>
      <w:pPr>
        <w:widowControl w:val="0"/>
        <w:spacing w:after="299" w:line="1" w:lineRule="exact"/>
      </w:pPr>
    </w:p>
    <w:tbl>
      <w:tblPr>
        <w:tblOverlap w:val="never"/>
        <w:jc w:val="left"/>
        <w:tblLayout w:type="fixed"/>
      </w:tblPr>
      <w:tblGrid>
        <w:gridCol w:w="4728"/>
        <w:gridCol w:w="4387"/>
      </w:tblGrid>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福建省星民智联科技有限公司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Nations Technologies </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USA</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Nations Innovation Technologies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江西斯诺新能源有限公司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内蒙古斯诺新材料科技有限公司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民昇智能（深圳）有限公司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广东国民新能源科技有限公司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bl>
    <w:p>
      <w:pPr>
        <w:pStyle w:val="Style30"/>
        <w:keepNext w:val="0"/>
        <w:keepLines w:val="0"/>
        <w:widowControl w:val="0"/>
        <w:shd w:val="clear" w:color="auto" w:fill="auto"/>
        <w:bidi w:val="0"/>
        <w:spacing w:before="0" w:after="0" w:line="240" w:lineRule="auto"/>
        <w:ind w:left="24" w:right="0" w:firstLine="0"/>
        <w:jc w:val="left"/>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、优惠税负及批文</w:t>
      </w:r>
    </w:p>
    <w:p>
      <w:pPr>
        <w:widowControl w:val="0"/>
        <w:spacing w:after="319" w:line="1" w:lineRule="exact"/>
      </w:pPr>
    </w:p>
    <w:p>
      <w:pPr>
        <w:pStyle w:val="Style13"/>
        <w:keepNext w:val="0"/>
        <w:keepLines w:val="0"/>
        <w:widowControl w:val="0"/>
        <w:shd w:val="clear" w:color="auto" w:fill="auto"/>
        <w:tabs>
          <w:tab w:pos="834" w:val="left"/>
        </w:tabs>
        <w:bidi w:val="0"/>
        <w:spacing w:before="0" w:after="0" w:line="240" w:lineRule="auto"/>
        <w:ind w:left="0" w:right="0" w:firstLine="38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增值税税收优惠</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号）规定， 增值税一般纳税人销售其自行开发生产的软件产品，按</w:t>
      </w:r>
      <w:r>
        <w:rPr>
          <w:rFonts w:ascii="Times New Roman" w:eastAsia="Times New Roman" w:hAnsi="Times New Roman" w:cs="Times New Roman"/>
          <w:color w:val="000000"/>
          <w:spacing w:val="0"/>
          <w:w w:val="100"/>
          <w:position w:val="0"/>
        </w:rPr>
        <w:t>13%</w:t>
      </w:r>
      <w:r>
        <w:rPr>
          <w:color w:val="000000"/>
          <w:spacing w:val="0"/>
          <w:w w:val="100"/>
          <w:position w:val="0"/>
        </w:rPr>
        <w:t>税率征收增值税后，对其增值税实际 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的部分实行即征即退政策。本公司及全资子公司国民科技（深圳）有限公司享受上述 税收优惠。</w:t>
      </w:r>
    </w:p>
    <w:p>
      <w:pPr>
        <w:pStyle w:val="Style13"/>
        <w:keepNext w:val="0"/>
        <w:keepLines w:val="0"/>
        <w:widowControl w:val="0"/>
        <w:shd w:val="clear" w:color="auto" w:fill="auto"/>
        <w:bidi w:val="0"/>
        <w:spacing w:before="0" w:after="140" w:line="470" w:lineRule="exact"/>
        <w:ind w:left="0" w:right="0" w:firstLine="500"/>
        <w:jc w:val="both"/>
      </w:pPr>
      <w:r>
        <w:rPr>
          <w:color w:val="000000"/>
          <w:spacing w:val="0"/>
          <w:w w:val="100"/>
          <w:position w:val="0"/>
        </w:rPr>
        <w:t>根据财政部、国家税务总局《关于出口货物劳务增值税和消费税政策的通知》（财税</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39</w:t>
      </w:r>
      <w:r>
        <w:rPr>
          <w:color w:val="000000"/>
          <w:spacing w:val="0"/>
          <w:w w:val="100"/>
          <w:position w:val="0"/>
        </w:rPr>
        <w:t>号）规定，生产企业出口自产货物和视同自产货物及对外提供加工修理修配劳务，以及列名生 产企业出口非自产货物，免征增值税，相应的进项税额抵减应纳增值税额（不包括适用增值税即 征即退、先征后退政策的应纳增值税额），未抵减完的部分予以退还（以上简称免抵退税办法）。 本公司享受上述税收优惠。</w:t>
      </w:r>
    </w:p>
    <w:p>
      <w:pPr>
        <w:pStyle w:val="Style13"/>
        <w:keepNext w:val="0"/>
        <w:keepLines w:val="0"/>
        <w:widowControl w:val="0"/>
        <w:shd w:val="clear" w:color="auto" w:fill="auto"/>
        <w:tabs>
          <w:tab w:pos="834" w:val="left"/>
        </w:tabs>
        <w:bidi w:val="0"/>
        <w:spacing w:before="0" w:after="0" w:line="240" w:lineRule="auto"/>
        <w:ind w:left="0" w:right="0" w:firstLine="38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w:t>
        <w:tab/>
        <w:t>企业所得税税收优惠</w:t>
      </w:r>
    </w:p>
    <w:p>
      <w:pPr>
        <w:pStyle w:val="Style1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根据《国务院关于印发新时期促进集成电路产业和软件产业高质量发展若干政策的通知》</w:t>
      </w:r>
      <w:r>
        <w:rPr>
          <w:color w:val="000000"/>
          <w:spacing w:val="0"/>
          <w:w w:val="100"/>
          <w:position w:val="0"/>
        </w:rPr>
        <w:t>（</w:t>
      </w:r>
      <w:r>
        <w:rPr>
          <w:color w:val="000000"/>
          <w:spacing w:val="0"/>
          <w:w w:val="100"/>
          <w:position w:val="0"/>
        </w:rPr>
        <w:t>国 发〔</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规定，国家鼓励的重点集成电路设计企业和软件企业，自获利年度起，第一年至 第五年免征企业所得税，接续年度减按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的税率征收企业所得税，本公司递延所得税税率按照 上述优惠税率核算。</w:t>
      </w:r>
    </w:p>
    <w:p>
      <w:pPr>
        <w:pStyle w:val="Style13"/>
        <w:keepNext w:val="0"/>
        <w:keepLines w:val="0"/>
        <w:widowControl w:val="0"/>
        <w:shd w:val="clear" w:color="auto" w:fill="auto"/>
        <w:bidi w:val="0"/>
        <w:spacing w:before="0" w:after="0" w:line="467"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日，本公司取得深圳市科技创新委员会、深圳市财政委员会、国家税务总局深 圳市税务局联合颁发的高新技术企业证书，证书编号</w:t>
      </w:r>
      <w:r>
        <w:rPr>
          <w:rFonts w:ascii="Times New Roman" w:eastAsia="Times New Roman" w:hAnsi="Times New Roman" w:cs="Times New Roman"/>
          <w:color w:val="000000"/>
          <w:spacing w:val="0"/>
          <w:w w:val="100"/>
          <w:position w:val="0"/>
        </w:rPr>
        <w:t>GR202044204159</w:t>
      </w:r>
      <w:r>
        <w:rPr>
          <w:color w:val="000000"/>
          <w:spacing w:val="0"/>
          <w:w w:val="100"/>
          <w:position w:val="0"/>
        </w:rPr>
        <w:t>，有效期</w:t>
      </w:r>
      <w:r>
        <w:rPr>
          <w:rFonts w:ascii="Times New Roman" w:eastAsia="Times New Roman" w:hAnsi="Times New Roman" w:cs="Times New Roman"/>
          <w:color w:val="000000"/>
          <w:spacing w:val="0"/>
          <w:w w:val="100"/>
          <w:position w:val="0"/>
        </w:rPr>
        <w:t>3</w:t>
      </w:r>
      <w:r>
        <w:rPr>
          <w:color w:val="000000"/>
          <w:spacing w:val="0"/>
          <w:w w:val="100"/>
          <w:position w:val="0"/>
        </w:rPr>
        <w:t>年，企业所得税 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13"/>
        <w:keepNext w:val="0"/>
        <w:keepLines w:val="0"/>
        <w:widowControl w:val="0"/>
        <w:shd w:val="clear" w:color="auto" w:fill="auto"/>
        <w:bidi w:val="0"/>
        <w:spacing w:before="0" w:after="80" w:line="467"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日，子公司国民科技（深圳）有限公司取得深圳市科技创新委员会、深圳市财 政委员会、国家税务总局深圳市税务局联合颁发的高新技术企业证书，证书编号</w:t>
      </w:r>
      <w:r>
        <w:rPr>
          <w:rFonts w:ascii="Times New Roman" w:eastAsia="Times New Roman" w:hAnsi="Times New Roman" w:cs="Times New Roman"/>
          <w:color w:val="000000"/>
          <w:spacing w:val="0"/>
          <w:w w:val="100"/>
          <w:position w:val="0"/>
        </w:rPr>
        <w:t>GR202044204365</w:t>
      </w:r>
      <w:r>
        <w:rPr>
          <w:color w:val="000000"/>
          <w:spacing w:val="0"/>
          <w:w w:val="100"/>
          <w:position w:val="0"/>
        </w:rPr>
        <w:t xml:space="preserve">, </w:t>
      </w:r>
      <w:r>
        <w:rPr>
          <w:color w:val="000000"/>
          <w:spacing w:val="0"/>
          <w:w w:val="100"/>
          <w:position w:val="0"/>
        </w:rPr>
        <w:t>有效期</w:t>
      </w:r>
      <w:r>
        <w:rPr>
          <w:rFonts w:ascii="Times New Roman" w:eastAsia="Times New Roman" w:hAnsi="Times New Roman" w:cs="Times New Roman"/>
          <w:color w:val="000000"/>
          <w:spacing w:val="0"/>
          <w:w w:val="100"/>
          <w:position w:val="0"/>
        </w:rPr>
        <w:t>3</w:t>
      </w:r>
      <w:r>
        <w:rPr>
          <w:color w:val="000000"/>
          <w:spacing w:val="0"/>
          <w:w w:val="100"/>
          <w:position w:val="0"/>
        </w:rPr>
        <w:t>年，企业所得税税率为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13"/>
        <w:keepNext w:val="0"/>
        <w:keepLines w:val="0"/>
        <w:widowControl w:val="0"/>
        <w:shd w:val="clear" w:color="auto" w:fill="auto"/>
        <w:bidi w:val="0"/>
        <w:spacing w:before="0" w:after="0" w:line="466" w:lineRule="exact"/>
        <w:ind w:left="18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日，子公司深圳市斯诺实业发展有限公司取得深圳市科技创新委员会、深圳市 财政委员会、深圳市国家税务局、深圳市地方税务局联合颁发的高新技术企业证书，证书编号 </w:t>
      </w:r>
      <w:r>
        <w:rPr>
          <w:rFonts w:ascii="Times New Roman" w:eastAsia="Times New Roman" w:hAnsi="Times New Roman" w:cs="Times New Roman"/>
          <w:color w:val="000000"/>
          <w:spacing w:val="0"/>
          <w:w w:val="100"/>
          <w:position w:val="0"/>
        </w:rPr>
        <w:t>GR201944200893</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rPr>
        <w:t>3</w:t>
      </w:r>
      <w:r>
        <w:rPr>
          <w:color w:val="000000"/>
          <w:spacing w:val="0"/>
          <w:w w:val="100"/>
          <w:position w:val="0"/>
        </w:rPr>
        <w:t>年，企业所得税税率</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13"/>
        <w:keepNext w:val="0"/>
        <w:keepLines w:val="0"/>
        <w:widowControl w:val="0"/>
        <w:shd w:val="clear" w:color="auto" w:fill="auto"/>
        <w:bidi w:val="0"/>
        <w:spacing w:before="0" w:after="140" w:line="466" w:lineRule="exact"/>
        <w:ind w:left="180" w:right="0" w:firstLine="460"/>
        <w:jc w:val="both"/>
      </w:pPr>
      <w:r>
        <w:rPr>
          <w:color w:val="000000"/>
          <w:spacing w:val="0"/>
          <w:w w:val="100"/>
          <w:position w:val="0"/>
        </w:rPr>
        <w:t>根据《财政部税务总局国家发展改革委关于延续西部大开发企业所得税政策的公告》（财政 部公告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23</w:t>
      </w:r>
      <w:r>
        <w:rPr>
          <w:color w:val="000000"/>
          <w:spacing w:val="0"/>
          <w:w w:val="100"/>
          <w:position w:val="0"/>
        </w:rPr>
        <w:t>号）规定，自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2030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日，对设在西部地区的鼓励类产业 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的税率征收企业所得税。子公司内蒙古斯诺新材料科技有限公司享受上述优惠。</w:t>
      </w:r>
    </w:p>
    <w:p>
      <w:pPr>
        <w:pStyle w:val="Style13"/>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）房产税优惠</w:t>
      </w:r>
    </w:p>
    <w:p>
      <w:pPr>
        <w:pStyle w:val="Style13"/>
        <w:keepNext w:val="0"/>
        <w:keepLines w:val="0"/>
        <w:widowControl w:val="0"/>
        <w:shd w:val="clear" w:color="auto" w:fill="auto"/>
        <w:bidi w:val="0"/>
        <w:spacing w:before="0" w:after="220" w:line="466" w:lineRule="exact"/>
        <w:ind w:left="180" w:right="0" w:firstLine="460"/>
        <w:jc w:val="both"/>
      </w:pPr>
      <w:r>
        <w:rPr>
          <w:color w:val="000000"/>
          <w:spacing w:val="0"/>
          <w:w w:val="100"/>
          <w:position w:val="0"/>
        </w:rPr>
        <w:t>根据《深圳经济特区房产税实施办法》纳税单位新建或购置的新建房屋（不包括违章建造的 房屋），自建成或购置之月起免纳房产税三年。本公司于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日期间享受上述税收优惠。</w:t>
      </w:r>
    </w:p>
    <w:p>
      <w:pPr>
        <w:pStyle w:val="Style33"/>
        <w:keepNext/>
        <w:keepLines/>
        <w:widowControl w:val="0"/>
        <w:shd w:val="clear" w:color="auto" w:fill="auto"/>
        <w:bidi w:val="0"/>
        <w:spacing w:before="0" w:after="220" w:line="466" w:lineRule="exact"/>
        <w:ind w:left="0" w:right="0" w:firstLine="180"/>
        <w:jc w:val="left"/>
      </w:pPr>
      <w:bookmarkStart w:id="857" w:name="bookmark857"/>
      <w:bookmarkStart w:id="858" w:name="bookmark858"/>
      <w:bookmarkStart w:id="859" w:name="bookmark859"/>
      <w:bookmarkStart w:id="860" w:name="bookmark860"/>
      <w:r>
        <w:rPr>
          <w:color w:val="000000"/>
          <w:spacing w:val="0"/>
          <w:w w:val="100"/>
          <w:position w:val="0"/>
        </w:rPr>
        <w:t>五</w:t>
      </w:r>
      <w:bookmarkEnd w:id="859"/>
      <w:r>
        <w:rPr>
          <w:color w:val="000000"/>
          <w:spacing w:val="0"/>
          <w:w w:val="100"/>
          <w:position w:val="0"/>
        </w:rPr>
        <w:t>、合并财务报表项目注释</w:t>
      </w:r>
      <w:bookmarkEnd w:id="857"/>
      <w:bookmarkEnd w:id="858"/>
      <w:bookmarkEnd w:id="860"/>
    </w:p>
    <w:p>
      <w:pPr>
        <w:pStyle w:val="Style13"/>
        <w:keepNext w:val="0"/>
        <w:keepLines w:val="0"/>
        <w:widowControl w:val="0"/>
        <w:shd w:val="clear" w:color="auto" w:fill="auto"/>
        <w:bidi w:val="0"/>
        <w:spacing w:before="0" w:after="220" w:line="466" w:lineRule="exact"/>
        <w:ind w:left="180" w:right="0" w:firstLine="460"/>
        <w:jc w:val="both"/>
      </w:pPr>
      <w:r>
        <w:rPr>
          <w:color w:val="000000"/>
          <w:spacing w:val="0"/>
          <w:w w:val="100"/>
          <w:position w:val="0"/>
        </w:rPr>
        <w:t>以下注释项目除非特别指出，期初指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日，本期指</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年度，上期指</w:t>
      </w: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37"/>
        <w:keepNext/>
        <w:keepLines/>
        <w:widowControl w:val="0"/>
        <w:shd w:val="clear" w:color="auto" w:fill="auto"/>
        <w:bidi w:val="0"/>
        <w:spacing w:before="0" w:after="300" w:line="466" w:lineRule="exact"/>
        <w:ind w:left="0" w:right="0" w:firstLine="180"/>
        <w:jc w:val="both"/>
      </w:pPr>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61"/>
      <w:bookmarkEnd w:id="862"/>
      <w:bookmarkEnd w:id="863"/>
    </w:p>
    <w:tbl>
      <w:tblPr>
        <w:tblOverlap w:val="never"/>
        <w:jc w:val="center"/>
        <w:tblLayout w:type="fixed"/>
      </w:tblPr>
      <w:tblGrid>
        <w:gridCol w:w="3835"/>
        <w:gridCol w:w="2698"/>
        <w:gridCol w:w="286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227,590.86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491,717,917.71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278,569,114.20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41,929,344.80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16,991,574.42</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533,985,416.09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295,788,279.48</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8,925,979.21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9,215,103.95</w:t>
            </w:r>
          </w:p>
        </w:tc>
      </w:tr>
      <w:tr>
        <w:trPr>
          <w:trHeight w:val="485"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其中受限制的货币资金明细如下：</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tabs>
                <w:tab w:pos="2155" w:val="left"/>
              </w:tabs>
              <w:bidi w:val="0"/>
              <w:spacing w:before="0" w:after="0" w:line="240" w:lineRule="auto"/>
              <w:ind w:left="1680" w:right="0" w:firstLine="0"/>
              <w:jc w:val="left"/>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41,925,757.69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16,981,634.84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银行借款保证金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20,095,358.15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20,034,350.80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b/>
                <w:bCs/>
                <w:color w:val="000000"/>
                <w:spacing w:val="0"/>
                <w:w w:val="100"/>
                <w:position w:val="0"/>
                <w:sz w:val="20"/>
                <w:szCs w:val="20"/>
              </w:rPr>
              <w:t>62,021,115.84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b/>
                <w:bCs/>
                <w:color w:val="000000"/>
                <w:spacing w:val="0"/>
                <w:w w:val="100"/>
                <w:position w:val="0"/>
                <w:sz w:val="20"/>
                <w:szCs w:val="20"/>
              </w:rPr>
              <w:t>37,015,985.64</w:t>
            </w:r>
          </w:p>
        </w:tc>
      </w:tr>
    </w:tbl>
    <w:p>
      <w:pPr>
        <w:pStyle w:val="Style30"/>
        <w:keepNext w:val="0"/>
        <w:keepLines w:val="0"/>
        <w:widowControl w:val="0"/>
        <w:shd w:val="clear" w:color="auto" w:fill="auto"/>
        <w:bidi w:val="0"/>
        <w:spacing w:before="0" w:after="0" w:line="240" w:lineRule="auto"/>
        <w:ind w:left="163" w:right="0" w:firstLine="0"/>
        <w:jc w:val="left"/>
        <w:rPr>
          <w:sz w:val="22"/>
          <w:szCs w:val="22"/>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、交易性金融资产</w:t>
      </w:r>
    </w:p>
    <w:p>
      <w:pPr>
        <w:widowControl w:val="0"/>
        <w:spacing w:after="399" w:line="1" w:lineRule="exact"/>
      </w:pPr>
    </w:p>
    <w:p>
      <w:pPr>
        <w:pStyle w:val="Style13"/>
        <w:keepNext w:val="0"/>
        <w:keepLines w:val="0"/>
        <w:widowControl w:val="0"/>
        <w:shd w:val="clear" w:color="auto" w:fill="auto"/>
        <w:bidi w:val="0"/>
        <w:spacing w:before="0" w:after="220" w:line="240" w:lineRule="auto"/>
        <w:ind w:left="0" w:right="0" w:firstLine="64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rPr>
        <w:t>1</w:t>
      </w:r>
      <w:r>
        <w:rPr>
          <w:color w:val="000000"/>
          <w:spacing w:val="0"/>
          <w:w w:val="100"/>
          <w:position w:val="0"/>
        </w:rPr>
        <w:t>）交易性金融资产分类列示:</w:t>
      </w:r>
      <w:r>
        <w:br w:type="page"/>
      </w:r>
    </w:p>
    <w:tbl>
      <w:tblPr>
        <w:tblOverlap w:val="never"/>
        <w:jc w:val="center"/>
        <w:tblLayout w:type="fixed"/>
      </w:tblPr>
      <w:tblGrid>
        <w:gridCol w:w="4550"/>
        <w:gridCol w:w="2410"/>
        <w:gridCol w:w="2299"/>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5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8" w:lineRule="exact"/>
              <w:ind w:left="320" w:right="0" w:firstLine="0"/>
              <w:jc w:val="left"/>
              <w:rPr>
                <w:sz w:val="20"/>
                <w:szCs w:val="20"/>
              </w:rPr>
            </w:pPr>
            <w:r>
              <w:rPr>
                <w:color w:val="000000"/>
                <w:spacing w:val="0"/>
                <w:w w:val="100"/>
                <w:position w:val="0"/>
                <w:sz w:val="20"/>
                <w:szCs w:val="20"/>
              </w:rPr>
              <w:t>分类为以公允价值计量且其变动计入当期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 w:right="0" w:firstLine="0"/>
              <w:jc w:val="left"/>
              <w:rPr>
                <w:sz w:val="20"/>
                <w:szCs w:val="20"/>
              </w:rPr>
            </w:pPr>
            <w:r>
              <w:rPr>
                <w:color w:val="000000"/>
                <w:spacing w:val="0"/>
                <w:w w:val="100"/>
                <w:position w:val="0"/>
                <w:sz w:val="20"/>
                <w:szCs w:val="20"/>
              </w:rPr>
              <w:t>其中：权益工具投资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140,353,935.06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57,732,195.35</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b/>
                <w:bCs/>
                <w:color w:val="000000"/>
                <w:spacing w:val="0"/>
                <w:w w:val="100"/>
                <w:position w:val="0"/>
                <w:sz w:val="20"/>
                <w:szCs w:val="20"/>
              </w:rPr>
              <w:t>140,353,935.06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b/>
                <w:bCs/>
                <w:color w:val="000000"/>
                <w:spacing w:val="0"/>
                <w:w w:val="100"/>
                <w:position w:val="0"/>
                <w:sz w:val="20"/>
                <w:szCs w:val="20"/>
              </w:rPr>
              <w:t>57,732,195.35</w:t>
            </w:r>
          </w:p>
        </w:tc>
      </w:tr>
    </w:tbl>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）交易性金融明细列示:</w:t>
      </w:r>
    </w:p>
    <w:p>
      <w:pPr>
        <w:widowControl w:val="0"/>
        <w:spacing w:after="79" w:line="1" w:lineRule="exact"/>
      </w:pPr>
    </w:p>
    <w:p>
      <w:pPr>
        <w:widowControl w:val="0"/>
        <w:spacing w:line="1" w:lineRule="exact"/>
      </w:pPr>
    </w:p>
    <w:tbl>
      <w:tblPr>
        <w:tblOverlap w:val="never"/>
        <w:jc w:val="center"/>
        <w:tblLayout w:type="fixed"/>
      </w:tblPr>
      <w:tblGrid>
        <w:gridCol w:w="4550"/>
        <w:gridCol w:w="2410"/>
        <w:gridCol w:w="2299"/>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tabs>
                <w:tab w:pos="2515" w:val="left"/>
              </w:tabs>
              <w:bidi w:val="0"/>
              <w:spacing w:before="0" w:after="0" w:line="240" w:lineRule="auto"/>
              <w:ind w:left="2040" w:right="0" w:firstLine="0"/>
              <w:jc w:val="left"/>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5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8" w:lineRule="exact"/>
              <w:ind w:left="320" w:right="0" w:firstLine="0"/>
              <w:jc w:val="left"/>
              <w:rPr>
                <w:sz w:val="20"/>
                <w:szCs w:val="20"/>
              </w:rPr>
            </w:pPr>
            <w:r>
              <w:rPr>
                <w:color w:val="000000"/>
                <w:spacing w:val="0"/>
                <w:w w:val="100"/>
                <w:position w:val="0"/>
                <w:sz w:val="20"/>
                <w:szCs w:val="20"/>
              </w:rPr>
              <w:t>深圳思齐资本信息技术私募创业投资基金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100,626,463.72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17,075,047.47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 w:right="0" w:firstLine="0"/>
              <w:jc w:val="left"/>
            </w:pPr>
            <w:r>
              <w:rPr>
                <w:rFonts w:ascii="Times New Roman" w:eastAsia="Times New Roman" w:hAnsi="Times New Roman" w:cs="Times New Roman"/>
                <w:color w:val="000000"/>
                <w:spacing w:val="0"/>
                <w:w w:val="100"/>
                <w:position w:val="0"/>
              </w:rPr>
              <w:t>Ambiq MIcro,Inc.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39,727,471.34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40,657,147.88</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b/>
                <w:bCs/>
                <w:color w:val="000000"/>
                <w:spacing w:val="0"/>
                <w:w w:val="100"/>
                <w:position w:val="0"/>
                <w:sz w:val="20"/>
                <w:szCs w:val="20"/>
              </w:rPr>
              <w:t>140,353,935.06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b/>
                <w:bCs/>
                <w:color w:val="000000"/>
                <w:spacing w:val="0"/>
                <w:w w:val="100"/>
                <w:position w:val="0"/>
                <w:sz w:val="20"/>
                <w:szCs w:val="20"/>
              </w:rPr>
              <w:t>57,732,195.35</w:t>
            </w:r>
          </w:p>
        </w:tc>
      </w:tr>
    </w:tbl>
    <w:p>
      <w:pPr>
        <w:pStyle w:val="Style13"/>
        <w:keepNext w:val="0"/>
        <w:keepLines w:val="0"/>
        <w:widowControl w:val="0"/>
        <w:shd w:val="clear" w:color="auto" w:fill="auto"/>
        <w:bidi w:val="0"/>
        <w:spacing w:before="0" w:after="0" w:line="480" w:lineRule="exact"/>
        <w:ind w:left="14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）原中信资本（深圳）信息技术创业投资基金企业（有限合伙）于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日更 名为深圳思齐资本信息技术私募创业投资基金企业（有限合伙）（以下简称“思齐资本”）。</w:t>
      </w:r>
    </w:p>
    <w:p>
      <w:pPr>
        <w:pStyle w:val="Style13"/>
        <w:keepNext w:val="0"/>
        <w:keepLines w:val="0"/>
        <w:widowControl w:val="0"/>
        <w:shd w:val="clear" w:color="auto" w:fill="auto"/>
        <w:bidi w:val="0"/>
        <w:spacing w:before="0" w:after="420" w:line="485" w:lineRule="exact"/>
        <w:ind w:left="14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）思齐资本、</w:t>
      </w:r>
      <w:r>
        <w:rPr>
          <w:rFonts w:ascii="Times New Roman" w:eastAsia="Times New Roman" w:hAnsi="Times New Roman" w:cs="Times New Roman"/>
          <w:color w:val="000000"/>
          <w:spacing w:val="0"/>
          <w:w w:val="100"/>
          <w:position w:val="0"/>
        </w:rPr>
        <w:t xml:space="preserve">Ambiq Micro,Inc. </w:t>
      </w:r>
      <w:r>
        <w:rPr>
          <w:rFonts w:ascii="Times New Roman" w:eastAsia="Times New Roman" w:hAnsi="Times New Roman" w:cs="Times New Roman"/>
          <w:color w:val="000000"/>
          <w:spacing w:val="0"/>
          <w:w w:val="100"/>
          <w:position w:val="0"/>
        </w:rPr>
        <w:t>2021</w:t>
      </w:r>
      <w:r>
        <w:rPr>
          <w:color w:val="000000"/>
          <w:spacing w:val="0"/>
          <w:w w:val="100"/>
          <w:position w:val="0"/>
        </w:rPr>
        <w:t>年期末公允价值采用企业价值评估或近期交易对价等 方法确定。</w:t>
      </w:r>
    </w:p>
    <w:p>
      <w:pPr>
        <w:pStyle w:val="Style37"/>
        <w:keepNext/>
        <w:keepLines/>
        <w:widowControl w:val="0"/>
        <w:shd w:val="clear" w:color="auto" w:fill="auto"/>
        <w:bidi w:val="0"/>
        <w:spacing w:before="0" w:after="420" w:line="240" w:lineRule="auto"/>
        <w:ind w:left="0" w:right="0" w:firstLine="14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3</w:t>
      </w:r>
      <w:bookmarkEnd w:id="867"/>
      <w:r>
        <w:rPr>
          <w:color w:val="000000"/>
          <w:spacing w:val="0"/>
          <w:w w:val="100"/>
          <w:position w:val="0"/>
        </w:rPr>
        <w:t>、应收票据</w:t>
      </w:r>
      <w:bookmarkEnd w:id="865"/>
      <w:bookmarkEnd w:id="866"/>
      <w:bookmarkEnd w:id="868"/>
    </w:p>
    <w:p>
      <w:pPr>
        <w:pStyle w:val="Style1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p>
    <w:tbl>
      <w:tblPr>
        <w:tblOverlap w:val="never"/>
        <w:jc w:val="center"/>
        <w:tblLayout w:type="fixed"/>
      </w:tblPr>
      <w:tblGrid>
        <w:gridCol w:w="2486"/>
        <w:gridCol w:w="2270"/>
        <w:gridCol w:w="2266"/>
        <w:gridCol w:w="2160"/>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类别</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6,682,421.04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6,615,596.83</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b/>
                <w:bCs/>
                <w:color w:val="000000"/>
                <w:spacing w:val="0"/>
                <w:w w:val="100"/>
                <w:position w:val="0"/>
                <w:sz w:val="20"/>
                <w:szCs w:val="20"/>
              </w:rPr>
              <w:t>6,682,421.04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66,824.21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6,615,596.83</w:t>
            </w:r>
          </w:p>
        </w:tc>
      </w:tr>
    </w:tbl>
    <w:p>
      <w:pPr>
        <w:pStyle w:val="Style30"/>
        <w:keepNext w:val="0"/>
        <w:keepLines w:val="0"/>
        <w:widowControl w:val="0"/>
        <w:shd w:val="clear" w:color="auto" w:fill="auto"/>
        <w:bidi w:val="0"/>
        <w:spacing w:before="0" w:after="0" w:line="240" w:lineRule="auto"/>
        <w:ind w:left="538" w:right="0" w:firstLine="0"/>
        <w:jc w:val="left"/>
        <w:rPr>
          <w:sz w:val="22"/>
          <w:szCs w:val="22"/>
        </w:rPr>
      </w:pPr>
      <w:r>
        <w:rPr>
          <w:color w:val="000000"/>
          <w:spacing w:val="0"/>
          <w:w w:val="100"/>
          <w:position w:val="0"/>
          <w:sz w:val="22"/>
          <w:szCs w:val="22"/>
        </w:rPr>
        <w:t>（续）</w:t>
      </w:r>
    </w:p>
    <w:p>
      <w:pPr>
        <w:widowControl w:val="0"/>
        <w:spacing w:after="79" w:line="1" w:lineRule="exact"/>
      </w:pPr>
    </w:p>
    <w:p>
      <w:pPr>
        <w:widowControl w:val="0"/>
        <w:spacing w:line="1" w:lineRule="exact"/>
      </w:pPr>
    </w:p>
    <w:tbl>
      <w:tblPr>
        <w:tblOverlap w:val="never"/>
        <w:jc w:val="center"/>
        <w:tblLayout w:type="fixed"/>
      </w:tblPr>
      <w:tblGrid>
        <w:gridCol w:w="2486"/>
        <w:gridCol w:w="2270"/>
        <w:gridCol w:w="2266"/>
        <w:gridCol w:w="2179"/>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类别</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20,959,575.54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209,595.76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20,749,979.78</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b/>
                <w:bCs/>
                <w:color w:val="000000"/>
                <w:spacing w:val="0"/>
                <w:w w:val="100"/>
                <w:position w:val="0"/>
                <w:sz w:val="20"/>
                <w:szCs w:val="20"/>
              </w:rPr>
              <w:t>20,959,575.54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209,595.76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b/>
                <w:bCs/>
                <w:color w:val="000000"/>
                <w:spacing w:val="0"/>
                <w:w w:val="100"/>
                <w:position w:val="0"/>
                <w:sz w:val="20"/>
                <w:szCs w:val="20"/>
              </w:rPr>
              <w:t>20,749,979.78</w:t>
            </w:r>
          </w:p>
        </w:tc>
      </w:tr>
    </w:tbl>
    <w:p>
      <w:pPr>
        <w:pStyle w:val="Style30"/>
        <w:keepNext w:val="0"/>
        <w:keepLines w:val="0"/>
        <w:widowControl w:val="0"/>
        <w:shd w:val="clear" w:color="auto" w:fill="auto"/>
        <w:bidi w:val="0"/>
        <w:spacing w:before="0" w:after="0" w:line="240" w:lineRule="auto"/>
        <w:ind w:left="538"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）坏账准备</w:t>
      </w:r>
    </w:p>
    <w:p>
      <w:pPr>
        <w:widowControl w:val="0"/>
        <w:spacing w:after="179" w:line="1" w:lineRule="exact"/>
      </w:pPr>
    </w:p>
    <w:p>
      <w:pPr>
        <w:pStyle w:val="Style13"/>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本公司对应收票据，无论是否存在重大融资成分，均按照整个存续期的预期信用损失计量损</w:t>
      </w:r>
      <w:r>
        <w:br w:type="page"/>
      </w:r>
    </w:p>
    <w:p>
      <w:pPr>
        <w:pStyle w:val="Style30"/>
        <w:keepNext w:val="0"/>
        <w:keepLines w:val="0"/>
        <w:widowControl w:val="0"/>
        <w:shd w:val="clear" w:color="auto" w:fill="auto"/>
        <w:bidi w:val="0"/>
        <w:spacing w:before="0" w:after="0" w:line="240" w:lineRule="auto"/>
        <w:ind w:left="0" w:right="0" w:firstLine="0"/>
        <w:jc w:val="distribute"/>
        <w:rPr>
          <w:sz w:val="22"/>
          <w:szCs w:val="22"/>
        </w:rPr>
      </w:pPr>
      <w:r>
        <w:rPr>
          <w:color w:val="000000"/>
          <w:spacing w:val="0"/>
          <w:w w:val="100"/>
          <w:position w:val="0"/>
          <w:sz w:val="22"/>
          <w:szCs w:val="22"/>
        </w:rPr>
        <w:t>失准备。</w:t>
      </w:r>
    </w:p>
    <w:tbl>
      <w:tblPr>
        <w:tblOverlap w:val="never"/>
        <w:jc w:val="center"/>
        <w:tblLayout w:type="fixed"/>
      </w:tblPr>
      <w:tblGrid>
        <w:gridCol w:w="1594"/>
        <w:gridCol w:w="1550"/>
        <w:gridCol w:w="1546"/>
        <w:gridCol w:w="1546"/>
        <w:gridCol w:w="1546"/>
        <w:gridCol w:w="1579"/>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账面价值</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c>
          <w:tcPr>
            <w:vMerge/>
            <w:tcBorders>
              <w:left w:val="single" w:sz="4"/>
            </w:tcBorders>
            <w:shd w:val="clear" w:color="auto" w:fill="FFFFFF"/>
            <w:vAlign w:val="center"/>
          </w:tcPr>
          <w:p>
            <w:pPr/>
          </w:p>
        </w:tc>
      </w:tr>
      <w:tr>
        <w:trPr>
          <w:trHeight w:val="86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按单项计提</w:t>
            </w:r>
          </w:p>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坏账准备的</w:t>
            </w:r>
          </w:p>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78" w:lineRule="exact"/>
              <w:ind w:left="320" w:right="0" w:firstLine="0"/>
              <w:jc w:val="left"/>
              <w:rPr>
                <w:sz w:val="20"/>
                <w:szCs w:val="20"/>
              </w:rPr>
            </w:pPr>
            <w:r>
              <w:rPr>
                <w:color w:val="000000"/>
                <w:spacing w:val="0"/>
                <w:w w:val="100"/>
                <w:position w:val="0"/>
                <w:sz w:val="20"/>
                <w:szCs w:val="20"/>
              </w:rPr>
              <w:t>按组合计提 坏账准备的 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6,682,421.04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66,824.21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6,615,596.83</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6,682,421.04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0"/>
                <w:szCs w:val="20"/>
              </w:rPr>
              <w:t>66,824.21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6,615,596.83</w:t>
            </w:r>
          </w:p>
        </w:tc>
      </w:tr>
    </w:tbl>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（续）</w:t>
      </w:r>
    </w:p>
    <w:p>
      <w:pPr>
        <w:widowControl w:val="0"/>
        <w:spacing w:after="79" w:line="1" w:lineRule="exact"/>
      </w:pPr>
    </w:p>
    <w:p>
      <w:pPr>
        <w:widowControl w:val="0"/>
        <w:spacing w:line="1" w:lineRule="exact"/>
      </w:pPr>
    </w:p>
    <w:tbl>
      <w:tblPr>
        <w:tblOverlap w:val="never"/>
        <w:jc w:val="center"/>
        <w:tblLayout w:type="fixed"/>
      </w:tblPr>
      <w:tblGrid>
        <w:gridCol w:w="1594"/>
        <w:gridCol w:w="1656"/>
        <w:gridCol w:w="1546"/>
        <w:gridCol w:w="1546"/>
        <w:gridCol w:w="1546"/>
        <w:gridCol w:w="1690"/>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账面价值</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c>
          <w:tcPr>
            <w:vMerge/>
            <w:tcBorders>
              <w:left w:val="single" w:sz="4"/>
            </w:tcBorders>
            <w:shd w:val="clear" w:color="auto" w:fill="FFFFFF"/>
            <w:vAlign w:val="center"/>
          </w:tcPr>
          <w:p>
            <w:pPr/>
          </w:p>
        </w:tc>
      </w:tr>
      <w:tr>
        <w:trPr>
          <w:trHeight w:val="86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按单项计提</w:t>
            </w:r>
          </w:p>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坏账准备的</w:t>
            </w:r>
          </w:p>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按组合计提</w:t>
            </w:r>
          </w:p>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坏账准备的</w:t>
            </w:r>
          </w:p>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20,959,575.54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209,595.76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20,749,979.78</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20,959,575.54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b/>
                <w:bCs/>
                <w:color w:val="000000"/>
                <w:spacing w:val="0"/>
                <w:w w:val="100"/>
                <w:position w:val="0"/>
                <w:sz w:val="20"/>
                <w:szCs w:val="20"/>
              </w:rPr>
              <w:t>209,595.76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20,749,979.78</w:t>
            </w:r>
          </w:p>
        </w:tc>
      </w:tr>
    </w:tbl>
    <w:p>
      <w:pPr>
        <w:pStyle w:val="Style30"/>
        <w:keepNext w:val="0"/>
        <w:keepLines w:val="0"/>
        <w:widowControl w:val="0"/>
        <w:shd w:val="clear" w:color="auto" w:fill="auto"/>
        <w:bidi w:val="0"/>
        <w:spacing w:before="0" w:after="0" w:line="240" w:lineRule="auto"/>
        <w:ind w:left="595" w:right="0" w:firstLine="0"/>
        <w:jc w:val="left"/>
        <w:rPr>
          <w:sz w:val="22"/>
          <w:szCs w:val="22"/>
        </w:rPr>
      </w:pPr>
      <w:r>
        <w:rPr>
          <w:color w:val="000000"/>
          <w:spacing w:val="0"/>
          <w:w w:val="100"/>
          <w:position w:val="0"/>
          <w:sz w:val="22"/>
          <w:szCs w:val="22"/>
        </w:rPr>
        <w:t>①银行承兑汇票</w:t>
      </w:r>
    </w:p>
    <w:p>
      <w:pPr>
        <w:pStyle w:val="Style13"/>
        <w:keepNext w:val="0"/>
        <w:keepLines w:val="0"/>
        <w:widowControl w:val="0"/>
        <w:shd w:val="clear" w:color="auto" w:fill="auto"/>
        <w:bidi w:val="0"/>
        <w:spacing w:before="0" w:after="0" w:line="485" w:lineRule="exact"/>
        <w:ind w:left="0" w:right="0" w:firstLine="6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日，本公司按照整个存续期预期信用损失计量银行承兑汇票坏账准备，本公司 所持有的银行承兑汇票不存在重大信用风险，不会因银行或其他出票人违约而产生重大损失。</w:t>
      </w:r>
    </w:p>
    <w:p>
      <w:pPr>
        <w:pStyle w:val="Style13"/>
        <w:keepNext w:val="0"/>
        <w:keepLines w:val="0"/>
        <w:widowControl w:val="0"/>
        <w:shd w:val="clear" w:color="auto" w:fill="auto"/>
        <w:bidi w:val="0"/>
        <w:spacing w:before="0" w:after="200" w:line="485" w:lineRule="exact"/>
        <w:ind w:left="0" w:right="0" w:firstLine="600"/>
        <w:jc w:val="left"/>
      </w:pPr>
      <w:r>
        <w:rPr>
          <w:color w:val="000000"/>
          <w:spacing w:val="0"/>
          <w:w w:val="100"/>
          <w:position w:val="0"/>
        </w:rPr>
        <w:t>②商业承兑汇票</w:t>
      </w:r>
    </w:p>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日，组合计提坏账准备:</w:t>
      </w:r>
    </w:p>
    <w:tbl>
      <w:tblPr>
        <w:tblOverlap w:val="never"/>
        <w:jc w:val="left"/>
        <w:tblLayout w:type="fixed"/>
      </w:tblPr>
      <w:tblGrid>
        <w:gridCol w:w="2314"/>
        <w:gridCol w:w="2126"/>
        <w:gridCol w:w="2410"/>
        <w:gridCol w:w="2299"/>
      </w:tblGrid>
      <w:tr>
        <w:trPr>
          <w:trHeight w:val="59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整个存续期预期信用 损失率</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坏账准备</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6,682,421.04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66,824.21</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6,682,421.04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66,824.21</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30" w:right="0" w:firstLine="0"/>
        <w:jc w:val="left"/>
        <w:rPr>
          <w:sz w:val="22"/>
          <w:szCs w:val="22"/>
        </w:rPr>
      </w:pPr>
      <w:r>
        <w:rPr>
          <w:color w:val="000000"/>
          <w:spacing w:val="0"/>
          <w:w w:val="100"/>
          <w:position w:val="0"/>
          <w:sz w:val="22"/>
          <w:szCs w:val="22"/>
        </w:rPr>
        <w:t>③坏账准备的变动</w:t>
      </w:r>
    </w:p>
    <w:tbl>
      <w:tblPr>
        <w:tblOverlap w:val="never"/>
        <w:jc w:val="center"/>
        <w:tblLayout w:type="fixed"/>
      </w:tblPr>
      <w:tblGrid>
        <w:gridCol w:w="1560"/>
        <w:gridCol w:w="1944"/>
        <w:gridCol w:w="1723"/>
        <w:gridCol w:w="1464"/>
        <w:gridCol w:w="1421"/>
        <w:gridCol w:w="1574"/>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b/>
                <w:bCs/>
                <w:color w:val="000000"/>
                <w:spacing w:val="0"/>
                <w:w w:val="100"/>
                <w:position w:val="0"/>
                <w:sz w:val="20"/>
                <w:szCs w:val="20"/>
              </w:rPr>
              <w:t>2021.01.01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转销或核销</w:t>
            </w:r>
          </w:p>
        </w:tc>
        <w:tc>
          <w:tcPr>
            <w:vMerge/>
            <w:tcBorders>
              <w:left w:val="single" w:sz="4"/>
            </w:tcBorders>
            <w:shd w:val="clear" w:color="auto" w:fill="FFFFFF"/>
            <w:vAlign w:val="center"/>
          </w:tcPr>
          <w:p>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应收票据坏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209,595.76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142,771.55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66,824.21</w:t>
            </w:r>
          </w:p>
        </w:tc>
      </w:tr>
    </w:tbl>
    <w:p>
      <w:pPr>
        <w:widowControl w:val="0"/>
        <w:spacing w:line="1" w:lineRule="exact"/>
      </w:pPr>
      <w:r>
        <w:br w:type="page"/>
      </w:r>
    </w:p>
    <w:tbl>
      <w:tblPr>
        <w:tblOverlap w:val="never"/>
        <w:jc w:val="center"/>
        <w:tblLayout w:type="fixed"/>
      </w:tblPr>
      <w:tblGrid>
        <w:gridCol w:w="9763"/>
      </w:tblGrid>
      <w:tr>
        <w:trPr>
          <w:trHeight w:val="341" w:hRule="exact"/>
        </w:trPr>
        <w:tc>
          <w:tcPr>
            <w:tcBorders>
              <w:top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账准备</w:t>
            </w:r>
          </w:p>
        </w:tc>
      </w:tr>
    </w:tbl>
    <w:p>
      <w:pPr>
        <w:pStyle w:val="Style30"/>
        <w:keepNext w:val="0"/>
        <w:keepLines w:val="0"/>
        <w:widowControl w:val="0"/>
        <w:shd w:val="clear" w:color="auto" w:fill="auto"/>
        <w:bidi w:val="0"/>
        <w:spacing w:before="0" w:after="0" w:line="240" w:lineRule="auto"/>
        <w:ind w:left="504" w:right="0" w:firstLine="0"/>
        <w:jc w:val="left"/>
        <w:rPr>
          <w:sz w:val="22"/>
          <w:szCs w:val="22"/>
        </w:rPr>
      </w:pPr>
      <w:r>
        <w:rPr>
          <w:color w:val="000000"/>
          <w:spacing w:val="0"/>
          <w:w w:val="100"/>
          <w:position w:val="0"/>
          <w:sz w:val="22"/>
          <w:szCs w:val="22"/>
        </w:rPr>
        <w:t>其中本期坏账准备收回或转回金额重要的:</w:t>
      </w:r>
    </w:p>
    <w:p>
      <w:pPr>
        <w:widowControl w:val="0"/>
        <w:spacing w:after="199" w:line="1" w:lineRule="exact"/>
      </w:pPr>
    </w:p>
    <w:p>
      <w:pPr>
        <w:pStyle w:val="Style13"/>
        <w:keepNext w:val="0"/>
        <w:keepLines w:val="0"/>
        <w:widowControl w:val="0"/>
        <w:shd w:val="clear" w:color="auto" w:fill="auto"/>
        <w:bidi w:val="0"/>
        <w:spacing w:before="0" w:after="400" w:line="240" w:lineRule="auto"/>
        <w:ind w:left="0" w:right="0" w:firstLine="6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after="40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4</w:t>
      </w:r>
      <w:bookmarkEnd w:id="871"/>
      <w:r>
        <w:rPr>
          <w:color w:val="000000"/>
          <w:spacing w:val="0"/>
          <w:w w:val="100"/>
          <w:position w:val="0"/>
        </w:rPr>
        <w:t>、应收账款</w:t>
      </w:r>
      <w:bookmarkEnd w:id="869"/>
      <w:bookmarkEnd w:id="870"/>
      <w:bookmarkEnd w:id="872"/>
    </w:p>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）以摊余成本计量的应收账款</w:t>
      </w:r>
    </w:p>
    <w:tbl>
      <w:tblPr>
        <w:tblOverlap w:val="never"/>
        <w:jc w:val="center"/>
        <w:tblLayout w:type="fixed"/>
      </w:tblPr>
      <w:tblGrid>
        <w:gridCol w:w="2136"/>
        <w:gridCol w:w="2352"/>
        <w:gridCol w:w="2328"/>
        <w:gridCol w:w="2448"/>
      </w:tblGrid>
      <w:tr>
        <w:trPr>
          <w:trHeight w:val="475" w:hRule="exact"/>
        </w:trPr>
        <w:tc>
          <w:tcPr>
            <w:vMerge w:val="restart"/>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账面价值</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271,107,859.56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63,536,771.83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207,571,087.73</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b/>
                <w:bCs/>
                <w:color w:val="000000"/>
                <w:spacing w:val="0"/>
                <w:w w:val="100"/>
                <w:position w:val="0"/>
                <w:sz w:val="20"/>
                <w:szCs w:val="20"/>
              </w:rPr>
              <w:t>271,107,859.56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63,536,771.83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207,571,087.73</w:t>
            </w:r>
          </w:p>
        </w:tc>
      </w:tr>
    </w:tbl>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（续）</w:t>
      </w:r>
    </w:p>
    <w:tbl>
      <w:tblPr>
        <w:tblOverlap w:val="never"/>
        <w:jc w:val="center"/>
        <w:tblLayout w:type="fixed"/>
      </w:tblPr>
      <w:tblGrid>
        <w:gridCol w:w="2136"/>
        <w:gridCol w:w="2352"/>
        <w:gridCol w:w="2328"/>
        <w:gridCol w:w="2448"/>
      </w:tblGrid>
      <w:tr>
        <w:trPr>
          <w:trHeight w:val="470" w:hRule="exact"/>
        </w:trPr>
        <w:tc>
          <w:tcPr>
            <w:vMerge w:val="restart"/>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907,437,317.42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704,519,443.45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202,917,873.97</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b/>
                <w:bCs/>
                <w:color w:val="000000"/>
                <w:spacing w:val="0"/>
                <w:w w:val="100"/>
                <w:position w:val="0"/>
                <w:sz w:val="20"/>
                <w:szCs w:val="20"/>
              </w:rPr>
              <w:t>907,437,317.42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704,519,443.45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202,917,873.97</w:t>
            </w:r>
          </w:p>
        </w:tc>
      </w:tr>
    </w:tbl>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）坏账准备</w:t>
      </w:r>
    </w:p>
    <w:p>
      <w:pPr>
        <w:widowControl w:val="0"/>
        <w:spacing w:after="199" w:line="1" w:lineRule="exact"/>
      </w:pPr>
    </w:p>
    <w:p>
      <w:pPr>
        <w:pStyle w:val="Style13"/>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本公司对应收账款，无论是否存在重大融资成分，均按照整个存续期的预期信用损失计量损</w:t>
      </w:r>
    </w:p>
    <w:p>
      <w:pPr>
        <w:pStyle w:val="Style30"/>
        <w:keepNext w:val="0"/>
        <w:keepLines w:val="0"/>
        <w:widowControl w:val="0"/>
        <w:shd w:val="clear" w:color="auto" w:fill="auto"/>
        <w:bidi w:val="0"/>
        <w:spacing w:before="0" w:after="0" w:line="240" w:lineRule="auto"/>
        <w:ind w:left="139" w:right="0" w:firstLine="0"/>
        <w:jc w:val="left"/>
        <w:rPr>
          <w:sz w:val="22"/>
          <w:szCs w:val="22"/>
        </w:rPr>
      </w:pPr>
      <w:r>
        <w:rPr>
          <w:color w:val="000000"/>
          <w:spacing w:val="0"/>
          <w:w w:val="100"/>
          <w:position w:val="0"/>
          <w:sz w:val="22"/>
          <w:szCs w:val="22"/>
        </w:rPr>
        <w:t>失准备。</w:t>
      </w:r>
    </w:p>
    <w:tbl>
      <w:tblPr>
        <w:tblOverlap w:val="never"/>
        <w:jc w:val="center"/>
        <w:tblLayout w:type="fixed"/>
      </w:tblPr>
      <w:tblGrid>
        <w:gridCol w:w="1555"/>
        <w:gridCol w:w="1594"/>
        <w:gridCol w:w="1507"/>
        <w:gridCol w:w="1584"/>
        <w:gridCol w:w="1507"/>
        <w:gridCol w:w="1627"/>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账面价值</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c>
          <w:tcPr>
            <w:vMerge/>
            <w:tcBorders>
              <w:left w:val="single" w:sz="4"/>
            </w:tcBorders>
            <w:shd w:val="clear" w:color="auto" w:fill="FFFFFF"/>
            <w:vAlign w:val="center"/>
          </w:tcPr>
          <w:p>
            <w:pPr/>
          </w:p>
        </w:tc>
      </w:tr>
      <w:tr>
        <w:trPr>
          <w:trHeight w:val="86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按单项计提</w:t>
            </w:r>
          </w:p>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坏账准备的</w:t>
            </w:r>
          </w:p>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79,990,136.25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52,080,047.25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27,910,089.00</w:t>
            </w:r>
          </w:p>
        </w:tc>
      </w:tr>
      <w:tr>
        <w:trPr>
          <w:trHeight w:val="86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按组合计提</w:t>
            </w:r>
          </w:p>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坏账准备的</w:t>
            </w:r>
          </w:p>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191,117,723.31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11,456,724.58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179,660,998.73</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271,107,859.56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63,536,771.83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b/>
                <w:bCs/>
                <w:color w:val="000000"/>
                <w:spacing w:val="0"/>
                <w:w w:val="100"/>
                <w:position w:val="0"/>
                <w:sz w:val="20"/>
                <w:szCs w:val="20"/>
              </w:rPr>
              <w:t>23.44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207,571,087.73</w:t>
            </w:r>
          </w:p>
        </w:tc>
      </w:tr>
    </w:tbl>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（续）</w:t>
      </w:r>
    </w:p>
    <w:p>
      <w:pPr>
        <w:widowControl w:val="0"/>
        <w:spacing w:after="199" w:line="1" w:lineRule="exact"/>
      </w:pPr>
    </w:p>
    <w:p>
      <w:pPr>
        <w:pStyle w:val="Style74"/>
        <w:keepNext w:val="0"/>
        <w:keepLines w:val="0"/>
        <w:widowControl w:val="0"/>
        <w:shd w:val="clear" w:color="auto" w:fill="auto"/>
        <w:bidi w:val="0"/>
        <w:spacing w:before="0" w:after="200" w:line="240" w:lineRule="auto"/>
        <w:ind w:left="5300" w:right="0" w:firstLine="0"/>
        <w:jc w:val="left"/>
        <w:rPr>
          <w:sz w:val="20"/>
          <w:szCs w:val="20"/>
        </w:rPr>
      </w:pPr>
      <w:r>
        <w:rPr>
          <w:b/>
          <w:bCs/>
          <w:color w:val="000000"/>
          <w:spacing w:val="0"/>
          <w:w w:val="100"/>
          <w:position w:val="0"/>
          <w:sz w:val="20"/>
          <w:szCs w:val="20"/>
        </w:rPr>
        <w:t>2020.12.31</w:t>
      </w:r>
    </w:p>
    <w:p>
      <w:pPr>
        <w:widowControl w:val="0"/>
        <w:spacing w:line="1" w:lineRule="exact"/>
      </w:pPr>
      <w:r>
        <mc:AlternateContent>
          <mc:Choice Requires="wps">
            <w:drawing>
              <wp:anchor distT="64135" distB="353695" distL="0" distR="0" simplePos="0" relativeHeight="125829408" behindDoc="0" locked="0" layoutInCell="1" allowOverlap="1">
                <wp:simplePos x="0" y="0"/>
                <wp:positionH relativeFrom="page">
                  <wp:posOffset>1031875</wp:posOffset>
                </wp:positionH>
                <wp:positionV relativeFrom="paragraph">
                  <wp:posOffset>64135</wp:posOffset>
                </wp:positionV>
                <wp:extent cx="307975" cy="179705"/>
                <wp:wrapTopAndBottom/>
                <wp:docPr id="41" name="Shape 41"/>
                <a:graphic xmlns:a="http://schemas.openxmlformats.org/drawingml/2006/main">
                  <a:graphicData uri="http://schemas.microsoft.com/office/word/2010/wordprocessingShape">
                    <wps:wsp>
                      <wps:cNvSpPr txBox="1"/>
                      <wps:spPr>
                        <a:xfrm>
                          <a:ext cx="307975" cy="1797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类别</w:t>
                            </w:r>
                          </w:p>
                        </w:txbxContent>
                      </wps:txbx>
                      <wps:bodyPr wrap="none" lIns="0" tIns="0" rIns="0" bIns="0">
                        <a:noAutoFit/>
                      </wps:bodyPr>
                    </wps:wsp>
                  </a:graphicData>
                </a:graphic>
              </wp:anchor>
            </w:drawing>
          </mc:Choice>
          <mc:Fallback>
            <w:pict>
              <v:shape id="_x0000_s1067" type="#_x0000_t202" style="position:absolute;margin-left:81.25pt;margin-top:5.0499999999999998pt;width:24.25pt;height:14.15pt;z-index:-125829345;mso-wrap-distance-left:0;mso-wrap-distance-top:5.0499999999999998pt;mso-wrap-distance-right:0;mso-wrap-distance-bottom:27.850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类别</w:t>
                      </w:r>
                    </w:p>
                  </w:txbxContent>
                </v:textbox>
                <w10:wrap type="topAndBottom" anchorx="page"/>
              </v:shape>
            </w:pict>
          </mc:Fallback>
        </mc:AlternateContent>
      </w:r>
      <w:r>
        <mc:AlternateContent>
          <mc:Choice Requires="wps">
            <w:drawing>
              <wp:anchor distT="0" distB="0" distL="0" distR="0" simplePos="0" relativeHeight="125829410" behindDoc="0" locked="0" layoutInCell="1" allowOverlap="1">
                <wp:simplePos x="0" y="0"/>
                <wp:positionH relativeFrom="page">
                  <wp:posOffset>1607820</wp:posOffset>
                </wp:positionH>
                <wp:positionV relativeFrom="paragraph">
                  <wp:posOffset>0</wp:posOffset>
                </wp:positionV>
                <wp:extent cx="4166870" cy="597535"/>
                <wp:wrapTopAndBottom/>
                <wp:docPr id="43" name="Shape 43"/>
                <a:graphic xmlns:a="http://schemas.openxmlformats.org/drawingml/2006/main">
                  <a:graphicData uri="http://schemas.microsoft.com/office/word/2010/wordprocessingShape">
                    <wps:wsp>
                      <wps:cNvSpPr txBox="1"/>
                      <wps:spPr>
                        <a:xfrm>
                          <a:ext cx="4166870" cy="597535"/>
                        </a:xfrm>
                        <a:prstGeom prst="rect"/>
                        <a:noFill/>
                      </wps:spPr>
                      <wps:txbx>
                        <w:txbxContent>
                          <w:tbl>
                            <w:tblPr>
                              <w:tblOverlap w:val="never"/>
                              <w:jc w:val="left"/>
                              <w:tblLayout w:type="fixed"/>
                            </w:tblPr>
                            <w:tblGrid>
                              <w:gridCol w:w="1771"/>
                              <w:gridCol w:w="1507"/>
                              <w:gridCol w:w="1766"/>
                              <w:gridCol w:w="1517"/>
                            </w:tblGrid>
                            <w:tr>
                              <w:trPr>
                                <w:tblHeader/>
                                <w:trHeight w:val="47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4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r>
                          </w:tbl>
                          <w:p>
                            <w:pPr>
                              <w:widowControl w:val="0"/>
                              <w:spacing w:line="1" w:lineRule="exact"/>
                            </w:pPr>
                          </w:p>
                        </w:txbxContent>
                      </wps:txbx>
                      <wps:bodyPr lIns="0" tIns="0" rIns="0" bIns="0">
                        <a:noAutoFit/>
                      </wps:bodyPr>
                    </wps:wsp>
                  </a:graphicData>
                </a:graphic>
              </wp:anchor>
            </w:drawing>
          </mc:Choice>
          <mc:Fallback>
            <w:pict>
              <v:shape id="_x0000_s1069" type="#_x0000_t202" style="position:absolute;margin-left:126.60000000000001pt;margin-top:0;width:328.10000000000002pt;height:47.050000000000004pt;z-index:-125829343;mso-wrap-distance-left:0;mso-wrap-distance-right:0;mso-position-horizontal-relative:page" filled="f" stroked="f">
                <v:textbox inset="0,0,0,0">
                  <w:txbxContent>
                    <w:tbl>
                      <w:tblPr>
                        <w:tblOverlap w:val="never"/>
                        <w:jc w:val="left"/>
                        <w:tblLayout w:type="fixed"/>
                      </w:tblPr>
                      <w:tblGrid>
                        <w:gridCol w:w="1771"/>
                        <w:gridCol w:w="1507"/>
                        <w:gridCol w:w="1766"/>
                        <w:gridCol w:w="1517"/>
                      </w:tblGrid>
                      <w:tr>
                        <w:trPr>
                          <w:tblHeader/>
                          <w:trHeight w:val="47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4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r>
                    </w:tbl>
                    <w:p>
                      <w:pPr>
                        <w:widowControl w:val="0"/>
                        <w:spacing w:line="1" w:lineRule="exact"/>
                      </w:pPr>
                    </w:p>
                  </w:txbxContent>
                </v:textbox>
                <w10:wrap type="topAndBottom" anchorx="page"/>
              </v:shape>
            </w:pict>
          </mc:Fallback>
        </mc:AlternateContent>
      </w:r>
      <w:r>
        <mc:AlternateContent>
          <mc:Choice Requires="wps">
            <w:drawing>
              <wp:anchor distT="213360" distB="207645" distL="0" distR="0" simplePos="0" relativeHeight="125829412" behindDoc="0" locked="0" layoutInCell="1" allowOverlap="1">
                <wp:simplePos x="0" y="0"/>
                <wp:positionH relativeFrom="page">
                  <wp:posOffset>6094730</wp:posOffset>
                </wp:positionH>
                <wp:positionV relativeFrom="paragraph">
                  <wp:posOffset>213360</wp:posOffset>
                </wp:positionV>
                <wp:extent cx="588010" cy="176530"/>
                <wp:wrapTopAndBottom/>
                <wp:docPr id="45" name="Shape 45"/>
                <a:graphic xmlns:a="http://schemas.openxmlformats.org/drawingml/2006/main">
                  <a:graphicData uri="http://schemas.microsoft.com/office/word/2010/wordprocessingShape">
                    <wps:wsp>
                      <wps:cNvSpPr txBox="1"/>
                      <wps:spPr>
                        <a:xfrm>
                          <a:ext cx="588010" cy="1765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账面价值</w:t>
                            </w:r>
                          </w:p>
                        </w:txbxContent>
                      </wps:txbx>
                      <wps:bodyPr wrap="none" lIns="0" tIns="0" rIns="0" bIns="0">
                        <a:noAutoFit/>
                      </wps:bodyPr>
                    </wps:wsp>
                  </a:graphicData>
                </a:graphic>
              </wp:anchor>
            </w:drawing>
          </mc:Choice>
          <mc:Fallback>
            <w:pict>
              <v:shape id="_x0000_s1071" type="#_x0000_t202" style="position:absolute;margin-left:479.90000000000003pt;margin-top:16.800000000000001pt;width:46.300000000000004pt;height:13.9pt;z-index:-125829341;mso-wrap-distance-left:0;mso-wrap-distance-top:16.800000000000001pt;mso-wrap-distance-right:0;mso-wrap-distance-bottom:16.350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账面价值</w:t>
                      </w:r>
                    </w:p>
                  </w:txbxContent>
                </v:textbox>
                <w10:wrap type="topAndBottom" anchorx="page"/>
              </v:shape>
            </w:pict>
          </mc:Fallback>
        </mc:AlternateContent>
      </w:r>
      <w:r>
        <w:br w:type="page"/>
      </w:r>
    </w:p>
    <w:tbl>
      <w:tblPr>
        <w:tblOverlap w:val="never"/>
        <w:jc w:val="center"/>
        <w:tblLayout w:type="fixed"/>
      </w:tblPr>
      <w:tblGrid>
        <w:gridCol w:w="1555"/>
        <w:gridCol w:w="1766"/>
        <w:gridCol w:w="1507"/>
        <w:gridCol w:w="1766"/>
        <w:gridCol w:w="1512"/>
        <w:gridCol w:w="1795"/>
      </w:tblGrid>
      <w:tr>
        <w:trPr>
          <w:trHeight w:val="87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按单项计提</w:t>
            </w:r>
          </w:p>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坏账准备的</w:t>
            </w:r>
          </w:p>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698,115,353.26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686,897,444.76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11,217,908.50</w:t>
            </w:r>
          </w:p>
        </w:tc>
      </w:tr>
      <w:tr>
        <w:trPr>
          <w:trHeight w:val="86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8" w:lineRule="exact"/>
              <w:ind w:left="320" w:right="0" w:firstLine="0"/>
              <w:jc w:val="left"/>
              <w:rPr>
                <w:sz w:val="20"/>
                <w:szCs w:val="20"/>
              </w:rPr>
            </w:pPr>
            <w:r>
              <w:rPr>
                <w:color w:val="000000"/>
                <w:spacing w:val="0"/>
                <w:w w:val="100"/>
                <w:position w:val="0"/>
                <w:sz w:val="20"/>
                <w:szCs w:val="20"/>
              </w:rPr>
              <w:t>按组合计提 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209,321,964.16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17,621,998.69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191,699,965.47</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907,437,317.42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704,519,443.45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77.64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202,917,873.97</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①</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日，单项计提坏账准备:</w:t>
      </w:r>
    </w:p>
    <w:tbl>
      <w:tblPr>
        <w:tblOverlap w:val="never"/>
        <w:jc w:val="center"/>
        <w:tblLayout w:type="fixed"/>
      </w:tblPr>
      <w:tblGrid>
        <w:gridCol w:w="2458"/>
        <w:gridCol w:w="1560"/>
        <w:gridCol w:w="1843"/>
        <w:gridCol w:w="1872"/>
        <w:gridCol w:w="1594"/>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整个存续期预期 信用损失率</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理由</w:t>
            </w:r>
          </w:p>
        </w:tc>
      </w:tr>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25,324,989.00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期后已全额收 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12,476,593.74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12,476,593.74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9,039,868.13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6,454,768.13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预计部分无法 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8,500,007.26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8,500,007.26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3,050,931.95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3,050,931.95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2,791,671.97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2,791,671.97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1,984,789.99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1,984,789.99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1,537,524.16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1,537,524.16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1,455,221.24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1,455,221.24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1,402,001.20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1,402,001.20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1,078,689.03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1,078,689.03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882,966.50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882,966.50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749,200.00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723,450.00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723,450.00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704,082.00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704,082.00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639,497.35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639,497.35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379,350.00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379,350.00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354,125.00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354,125.00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329,215.73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329,215.73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bl>
    <w:p>
      <w:pPr>
        <w:sectPr>
          <w:footnotePr>
            <w:pos w:val="pageBottom"/>
            <w:numFmt w:val="decimal"/>
            <w:numRestart w:val="continuous"/>
          </w:footnotePr>
          <w:pgSz w:w="11900" w:h="16840"/>
          <w:pgMar w:top="1119" w:right="1040" w:bottom="1441" w:left="958" w:header="0" w:footer="3" w:gutter="0"/>
          <w:cols w:space="720"/>
          <w:noEndnote/>
          <w:rtlGutter w:val="0"/>
          <w:docGrid w:linePitch="360"/>
        </w:sectPr>
      </w:pPr>
    </w:p>
    <w:tbl>
      <w:tblPr>
        <w:tblOverlap w:val="never"/>
        <w:jc w:val="center"/>
        <w:tblLayout w:type="fixed"/>
      </w:tblPr>
      <w:tblGrid>
        <w:gridCol w:w="2458"/>
        <w:gridCol w:w="1560"/>
        <w:gridCol w:w="1843"/>
        <w:gridCol w:w="1872"/>
        <w:gridCol w:w="2122"/>
      </w:tblGrid>
      <w:tr>
        <w:trPr>
          <w:trHeight w:val="79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40"/>
                <w:szCs w:val="40"/>
              </w:rPr>
            </w:pPr>
            <w:r>
              <w:rPr>
                <w:rFonts w:ascii="MS Reference Sans Serif" w:eastAsia="MS Reference Sans Serif" w:hAnsi="MS Reference Sans Serif" w:cs="MS Reference Sans Serif"/>
                <w:b/>
                <w:bCs/>
                <w:color w:val="01418A"/>
                <w:spacing w:val="0"/>
                <w:w w:val="100"/>
                <w:position w:val="0"/>
                <w:sz w:val="40"/>
                <w:szCs w:val="40"/>
              </w:rPr>
              <w:t xml:space="preserve">Nation </w:t>
            </w:r>
            <w:r>
              <w:rPr>
                <w:rFonts w:ascii="MS Reference Sans Serif" w:eastAsia="MS Reference Sans Serif" w:hAnsi="MS Reference Sans Serif" w:cs="MS Reference Sans Serif"/>
                <w:b/>
                <w:bCs/>
                <w:color w:val="01418A"/>
                <w:spacing w:val="0"/>
                <w:w w:val="100"/>
                <w:position w:val="0"/>
                <w:sz w:val="40"/>
                <w:szCs w:val="40"/>
              </w:rPr>
              <w:t>0</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国民技术</w:t>
            </w:r>
            <w:r>
              <w:rPr>
                <w:rFonts w:ascii="SimHei" w:eastAsia="SimHei" w:hAnsi="SimHei" w:cs="SimHei"/>
                <w:color w:val="01418A"/>
                <w:spacing w:val="0"/>
                <w:w w:val="100"/>
                <w:position w:val="0"/>
                <w:sz w:val="19"/>
                <w:szCs w:val="19"/>
              </w:rPr>
              <w:t>▼</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国民技术股份有限公司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年年度报告全文</w:t>
            </w:r>
          </w:p>
        </w:tc>
      </w:tr>
      <w:tr>
        <w:trPr>
          <w:trHeight w:val="336"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116,960.00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116,960.00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30,002.00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4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79,990,136.25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65.11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52,080,047.25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3"/>
        <w:keepNext w:val="0"/>
        <w:keepLines w:val="0"/>
        <w:widowControl w:val="0"/>
        <w:shd w:val="clear" w:color="auto" w:fill="auto"/>
        <w:bidi w:val="0"/>
        <w:spacing w:before="0" w:after="200" w:line="240" w:lineRule="auto"/>
        <w:ind w:left="0" w:right="0" w:firstLine="780"/>
        <w:jc w:val="left"/>
      </w:pPr>
      <w:r>
        <w:rPr>
          <w:color w:val="000000"/>
          <w:spacing w:val="0"/>
          <w:w w:val="100"/>
          <w:position w:val="0"/>
        </w:rPr>
        <w:t>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日，组合计提坏账准备:</w:t>
      </w:r>
    </w:p>
    <w:p>
      <w:pPr>
        <w:pStyle w:val="Style13"/>
        <w:keepNext w:val="0"/>
        <w:keepLines w:val="0"/>
        <w:widowControl w:val="0"/>
        <w:shd w:val="clear" w:color="auto" w:fill="auto"/>
        <w:bidi w:val="0"/>
        <w:spacing w:before="0" w:after="200" w:line="240" w:lineRule="auto"/>
        <w:ind w:left="0" w:right="0" w:firstLine="780"/>
        <w:jc w:val="left"/>
      </w:pPr>
      <w:r>
        <w:rPr>
          <w:color w:val="000000"/>
          <w:spacing w:val="0"/>
          <w:w w:val="100"/>
          <w:position w:val="0"/>
        </w:rPr>
        <w:t>组合一组合</w:t>
      </w:r>
      <w:r>
        <w:rPr>
          <w:rFonts w:ascii="Times New Roman" w:eastAsia="Times New Roman" w:hAnsi="Times New Roman" w:cs="Times New Roman"/>
          <w:color w:val="000000"/>
          <w:spacing w:val="0"/>
          <w:w w:val="100"/>
          <w:position w:val="0"/>
        </w:rPr>
        <w:t>2</w:t>
      </w:r>
    </w:p>
    <w:tbl>
      <w:tblPr>
        <w:tblOverlap w:val="never"/>
        <w:jc w:val="left"/>
        <w:tblLayout w:type="fixed"/>
      </w:tblPr>
      <w:tblGrid>
        <w:gridCol w:w="1891"/>
        <w:gridCol w:w="2693"/>
        <w:gridCol w:w="2126"/>
        <w:gridCol w:w="2438"/>
      </w:tblGrid>
      <w:tr>
        <w:trPr>
          <w:trHeight w:val="370"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芯片行业：</w:t>
            </w:r>
          </w:p>
        </w:tc>
      </w:tr>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整个存续期预期 信用损失率</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坏账准备</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56,943,505.13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569,435.06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5,315,733.85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265,786.70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1,222,881.10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366,864.33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322,452.59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306,329.96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b/>
                <w:bCs/>
                <w:color w:val="000000"/>
                <w:spacing w:val="0"/>
                <w:w w:val="100"/>
                <w:position w:val="0"/>
                <w:sz w:val="20"/>
                <w:szCs w:val="20"/>
              </w:rPr>
              <w:t>63,804,572.67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b/>
                <w:bCs/>
                <w:color w:val="000000"/>
                <w:spacing w:val="0"/>
                <w:w w:val="100"/>
                <w:position w:val="0"/>
                <w:sz w:val="20"/>
                <w:szCs w:val="20"/>
              </w:rPr>
              <w:t>1,508,416.05</w:t>
            </w:r>
          </w:p>
        </w:tc>
      </w:tr>
      <w:tr>
        <w:trPr>
          <w:trHeight w:val="475"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负极材料：</w:t>
            </w:r>
          </w:p>
        </w:tc>
      </w:tr>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整个存续期预期 信用损失率</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坏账准备</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112,868,263.87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3,950,389.24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7,081,560.89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1,062,234.13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4,855,281.45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2,427,640.73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720,000.00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1,010,500.00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1,010,500.00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777,544.43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777,544.43</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b/>
                <w:bCs/>
                <w:color w:val="000000"/>
                <w:spacing w:val="0"/>
                <w:w w:val="100"/>
                <w:position w:val="0"/>
                <w:sz w:val="20"/>
                <w:szCs w:val="20"/>
              </w:rPr>
              <w:t>127,313,150.64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b/>
                <w:bCs/>
                <w:color w:val="000000"/>
                <w:spacing w:val="0"/>
                <w:w w:val="100"/>
                <w:position w:val="0"/>
                <w:sz w:val="20"/>
                <w:szCs w:val="20"/>
              </w:rPr>
              <w:t>9,948,308.53</w:t>
            </w:r>
          </w:p>
        </w:tc>
      </w:tr>
    </w:tbl>
    <w:p>
      <w:pPr>
        <w:widowControl w:val="0"/>
        <w:spacing w:after="79" w:line="1" w:lineRule="exact"/>
      </w:pPr>
    </w:p>
    <w:p>
      <w:pPr>
        <w:pStyle w:val="Style13"/>
        <w:keepNext w:val="0"/>
        <w:keepLines w:val="0"/>
        <w:widowControl w:val="0"/>
        <w:numPr>
          <w:ilvl w:val="0"/>
          <w:numId w:val="41"/>
        </w:numPr>
        <w:shd w:val="clear" w:color="auto" w:fill="auto"/>
        <w:bidi w:val="0"/>
        <w:spacing w:before="0" w:after="560" w:line="240" w:lineRule="auto"/>
        <w:ind w:left="0" w:right="0" w:firstLine="780"/>
        <w:jc w:val="left"/>
      </w:pPr>
      <w:bookmarkStart w:id="873" w:name="bookmark873"/>
      <w:bookmarkEnd w:id="873"/>
      <w:r>
        <w:rPr>
          <w:color w:val="000000"/>
          <w:spacing w:val="0"/>
          <w:w w:val="100"/>
          <w:position w:val="0"/>
        </w:rPr>
        <w:t>坏账准备的变动</w:t>
      </w:r>
    </w:p>
    <w:tbl>
      <w:tblPr>
        <w:tblOverlap w:val="never"/>
        <w:jc w:val="center"/>
        <w:tblLayout w:type="fixed"/>
      </w:tblPr>
      <w:tblGrid>
        <w:gridCol w:w="1642"/>
        <w:gridCol w:w="1704"/>
        <w:gridCol w:w="1555"/>
        <w:gridCol w:w="1560"/>
        <w:gridCol w:w="1704"/>
        <w:gridCol w:w="1622"/>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b/>
                <w:bCs/>
                <w:color w:val="000000"/>
                <w:spacing w:val="0"/>
                <w:w w:val="100"/>
                <w:position w:val="0"/>
                <w:sz w:val="20"/>
                <w:szCs w:val="20"/>
              </w:rPr>
              <w:t>2021.01.01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转销或核销</w:t>
            </w:r>
          </w:p>
        </w:tc>
        <w:tc>
          <w:tcPr>
            <w:vMerge/>
            <w:tcBorders>
              <w:left w:val="single" w:sz="4"/>
            </w:tcBorders>
            <w:shd w:val="clear" w:color="auto" w:fill="FFFFFF"/>
            <w:vAlign w:val="center"/>
          </w:tcPr>
          <w:p>
            <w:pPr/>
          </w:p>
        </w:tc>
      </w:tr>
      <w:tr>
        <w:trPr>
          <w:trHeight w:val="60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93" w:lineRule="exact"/>
              <w:ind w:left="240" w:right="0" w:firstLine="0"/>
              <w:jc w:val="left"/>
              <w:rPr>
                <w:sz w:val="20"/>
                <w:szCs w:val="20"/>
              </w:rPr>
            </w:pPr>
            <w:r>
              <w:rPr>
                <w:color w:val="000000"/>
                <w:spacing w:val="0"/>
                <w:w w:val="100"/>
                <w:position w:val="0"/>
                <w:sz w:val="20"/>
                <w:szCs w:val="20"/>
              </w:rPr>
              <w:t>应收账款坏账 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704,519,443.45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20,998,764.87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51,079,774.22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610,901,662.27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63,536,771.83</w:t>
            </w:r>
          </w:p>
        </w:tc>
      </w:tr>
    </w:tbl>
    <w:p>
      <w:pPr>
        <w:sectPr>
          <w:footnotePr>
            <w:pos w:val="pageBottom"/>
            <w:numFmt w:val="decimal"/>
            <w:numRestart w:val="continuous"/>
          </w:footnotePr>
          <w:pgSz w:w="11900" w:h="16840"/>
          <w:pgMar w:top="313" w:right="821" w:bottom="1308" w:left="802" w:header="0" w:footer="3" w:gutter="0"/>
          <w:cols w:space="720"/>
          <w:noEndnote/>
          <w:rtlGutter w:val="0"/>
          <w:docGrid w:linePitch="360"/>
        </w:sectPr>
      </w:pPr>
    </w:p>
    <w:p>
      <w:pPr>
        <w:widowControl w:val="0"/>
        <w:spacing w:after="99" w:line="1" w:lineRule="exact"/>
      </w:pPr>
    </w:p>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）报告期坏账准备转回或转销金额重要的</w:t>
      </w:r>
    </w:p>
    <w:tbl>
      <w:tblPr>
        <w:tblOverlap w:val="never"/>
        <w:jc w:val="center"/>
        <w:tblLayout w:type="fixed"/>
      </w:tblPr>
      <w:tblGrid>
        <w:gridCol w:w="3840"/>
        <w:gridCol w:w="2726"/>
        <w:gridCol w:w="2794"/>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转回或转销金额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方式</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22,678,028.87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货币资金（注）</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1580" w:right="0" w:firstLine="0"/>
              <w:jc w:val="both"/>
              <w:rPr>
                <w:sz w:val="20"/>
                <w:szCs w:val="20"/>
              </w:rPr>
            </w:pPr>
            <w:r>
              <w:rPr>
                <w:color w:val="000000"/>
                <w:spacing w:val="0"/>
                <w:w w:val="100"/>
                <w:position w:val="0"/>
                <w:sz w:val="20"/>
                <w:szCs w:val="2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20,057,306.52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280"/>
              <w:jc w:val="both"/>
              <w:rPr>
                <w:sz w:val="20"/>
                <w:szCs w:val="20"/>
              </w:rPr>
            </w:pPr>
            <w:r>
              <w:rPr>
                <w:color w:val="000000"/>
                <w:spacing w:val="0"/>
                <w:w w:val="100"/>
                <w:position w:val="0"/>
                <w:sz w:val="20"/>
                <w:szCs w:val="20"/>
              </w:rPr>
              <w:t>货币资金（见附注十四、</w:t>
            </w:r>
          </w:p>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（二））</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1580" w:right="0" w:firstLine="0"/>
              <w:jc w:val="both"/>
              <w:rPr>
                <w:sz w:val="20"/>
                <w:szCs w:val="20"/>
              </w:rPr>
            </w:pPr>
            <w:r>
              <w:rPr>
                <w:color w:val="000000"/>
                <w:spacing w:val="0"/>
                <w:w w:val="100"/>
                <w:position w:val="0"/>
                <w:sz w:val="20"/>
                <w:szCs w:val="2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3,736,040.00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280"/>
              <w:jc w:val="both"/>
              <w:rPr>
                <w:sz w:val="20"/>
                <w:szCs w:val="20"/>
              </w:rPr>
            </w:pPr>
            <w:r>
              <w:rPr>
                <w:color w:val="000000"/>
                <w:spacing w:val="0"/>
                <w:w w:val="100"/>
                <w:position w:val="0"/>
                <w:sz w:val="20"/>
                <w:szCs w:val="20"/>
              </w:rPr>
              <w:t>货币资金（见附注十四、</w:t>
            </w:r>
          </w:p>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（二））</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三方抵债</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49,831,375.39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注：公司通过法律诉讼手段，在资产负债表日后以货币资金形式全额收回客户一款项。</w:t>
      </w:r>
    </w:p>
    <w:p>
      <w:pPr>
        <w:pStyle w:val="Style13"/>
        <w:keepNext w:val="0"/>
        <w:keepLines w:val="0"/>
        <w:widowControl w:val="0"/>
        <w:shd w:val="clear" w:color="auto" w:fill="auto"/>
        <w:bidi w:val="0"/>
        <w:spacing w:before="0" w:after="100" w:line="240" w:lineRule="auto"/>
        <w:ind w:left="0" w:right="0" w:firstLine="780"/>
        <w:jc w:val="left"/>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5</w:t>
      </w:r>
      <w:r>
        <w:rPr>
          <w:color w:val="000000"/>
          <w:spacing w:val="0"/>
          <w:w w:val="100"/>
          <w:position w:val="0"/>
        </w:rPr>
        <w:t>）报告期实际核销的应收账款情况</w:t>
      </w:r>
    </w:p>
    <w:tbl>
      <w:tblPr>
        <w:tblOverlap w:val="never"/>
        <w:jc w:val="center"/>
        <w:tblLayout w:type="fixed"/>
      </w:tblPr>
      <w:tblGrid>
        <w:gridCol w:w="2496"/>
        <w:gridCol w:w="1027"/>
        <w:gridCol w:w="1483"/>
        <w:gridCol w:w="322"/>
        <w:gridCol w:w="2006"/>
        <w:gridCol w:w="1493"/>
        <w:gridCol w:w="1450"/>
      </w:tblGrid>
      <w:tr>
        <w:trPr>
          <w:trHeight w:val="48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20"/>
                <w:szCs w:val="20"/>
              </w:rPr>
            </w:pPr>
            <w:r>
              <w:rPr>
                <w:b/>
                <w:bCs/>
                <w:color w:val="000000"/>
                <w:spacing w:val="0"/>
                <w:w w:val="100"/>
                <w:position w:val="0"/>
                <w:sz w:val="20"/>
                <w:szCs w:val="20"/>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核销金额</w:t>
            </w:r>
          </w:p>
        </w:tc>
      </w:tr>
      <w:tr>
        <w:trPr>
          <w:trHeight w:val="47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实际核销的应收账款</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40" w:right="0" w:firstLine="0"/>
              <w:jc w:val="left"/>
            </w:pPr>
            <w:r>
              <w:rPr>
                <w:rFonts w:ascii="Times New Roman" w:eastAsia="Times New Roman" w:hAnsi="Times New Roman" w:cs="Times New Roman"/>
                <w:color w:val="000000"/>
                <w:spacing w:val="0"/>
                <w:w w:val="100"/>
                <w:position w:val="0"/>
              </w:rPr>
              <w:t>610,901,662.27</w:t>
            </w:r>
          </w:p>
        </w:tc>
      </w:tr>
      <w:tr>
        <w:trPr>
          <w:trHeight w:val="485"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其中重要的应收账款核销情况：</w:t>
            </w:r>
          </w:p>
        </w:tc>
      </w:tr>
      <w:tr>
        <w:trPr>
          <w:trHeight w:val="8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80"/>
              <w:jc w:val="left"/>
              <w:rPr>
                <w:sz w:val="20"/>
                <w:szCs w:val="20"/>
              </w:rPr>
            </w:pPr>
            <w:r>
              <w:rPr>
                <w:b/>
                <w:bCs/>
                <w:color w:val="000000"/>
                <w:spacing w:val="0"/>
                <w:w w:val="100"/>
                <w:position w:val="0"/>
                <w:sz w:val="20"/>
                <w:szCs w:val="20"/>
              </w:rPr>
              <w:t>应收账</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款性质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核销金额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740"/>
              <w:jc w:val="left"/>
              <w:rPr>
                <w:sz w:val="20"/>
                <w:szCs w:val="20"/>
              </w:rPr>
            </w:pPr>
            <w:r>
              <w:rPr>
                <w:b/>
                <w:bCs/>
                <w:color w:val="000000"/>
                <w:spacing w:val="0"/>
                <w:w w:val="100"/>
                <w:position w:val="0"/>
                <w:sz w:val="20"/>
                <w:szCs w:val="20"/>
              </w:rPr>
              <w:t>核销</w:t>
            </w:r>
          </w:p>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履行的 核销程序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款项是否因 关联交易产 生</w:t>
            </w:r>
          </w:p>
        </w:tc>
      </w:tr>
      <w:tr>
        <w:trPr>
          <w:trHeight w:val="9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货款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510,061,443.75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客户破产，已无法 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140" w:right="0" w:firstLine="0"/>
              <w:jc w:val="both"/>
              <w:rPr>
                <w:sz w:val="20"/>
                <w:szCs w:val="20"/>
              </w:rPr>
            </w:pPr>
            <w:r>
              <w:rPr>
                <w:color w:val="000000"/>
                <w:spacing w:val="0"/>
                <w:w w:val="100"/>
                <w:position w:val="0"/>
                <w:sz w:val="20"/>
                <w:szCs w:val="20"/>
              </w:rPr>
              <w:t>总经理审批</w:t>
            </w:r>
          </w:p>
          <w:p>
            <w:pPr>
              <w:pStyle w:val="Style2"/>
              <w:keepNext w:val="0"/>
              <w:keepLines w:val="0"/>
              <w:widowControl w:val="0"/>
              <w:shd w:val="clear" w:color="auto" w:fill="auto"/>
              <w:bidi w:val="0"/>
              <w:spacing w:before="0" w:after="80" w:line="240" w:lineRule="auto"/>
              <w:ind w:left="140" w:right="0" w:firstLine="0"/>
              <w:jc w:val="both"/>
              <w:rPr>
                <w:sz w:val="20"/>
                <w:szCs w:val="20"/>
              </w:rPr>
            </w:pPr>
            <w:r>
              <w:rPr>
                <w:color w:val="000000"/>
                <w:spacing w:val="0"/>
                <w:w w:val="100"/>
                <w:position w:val="0"/>
                <w:sz w:val="20"/>
                <w:szCs w:val="20"/>
              </w:rPr>
              <w:t>子公司董事</w:t>
            </w:r>
          </w:p>
          <w:p>
            <w:pPr>
              <w:pStyle w:val="Style2"/>
              <w:keepNext w:val="0"/>
              <w:keepLines w:val="0"/>
              <w:widowControl w:val="0"/>
              <w:shd w:val="clear" w:color="auto" w:fill="auto"/>
              <w:bidi w:val="0"/>
              <w:spacing w:before="0" w:after="80" w:line="240" w:lineRule="auto"/>
              <w:ind w:left="140" w:right="0" w:firstLine="0"/>
              <w:jc w:val="both"/>
              <w:rPr>
                <w:sz w:val="20"/>
                <w:szCs w:val="20"/>
              </w:rPr>
            </w:pPr>
            <w:r>
              <w:rPr>
                <w:color w:val="000000"/>
                <w:spacing w:val="0"/>
                <w:w w:val="100"/>
                <w:position w:val="0"/>
                <w:sz w:val="20"/>
                <w:szCs w:val="20"/>
              </w:rPr>
              <w:t>会决议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63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货款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63,007,928.00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子公司董事 会决议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货款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12,199,208.85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采取法律手段后经 确认已无可执行财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rPr>
                <w:sz w:val="20"/>
                <w:szCs w:val="20"/>
              </w:rPr>
            </w:pPr>
            <w:r>
              <w:rPr>
                <w:color w:val="000000"/>
                <w:spacing w:val="0"/>
                <w:w w:val="100"/>
                <w:position w:val="0"/>
                <w:sz w:val="20"/>
                <w:szCs w:val="20"/>
              </w:rPr>
              <w:t>总经理审批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63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货款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7,569,440.00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已无可执行财产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子公司董事 会决议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638"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货款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4,936,752.29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已无可执行财产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子公司董事 会决议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63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货款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3,306,472.15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已无可执行财产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子公司董事 会决议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63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货款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1,873,884.42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已无可执行财产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子公司董事 会决议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63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货款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子公司董事 会决议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63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货款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1,068,800.00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已无可执行财产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子公司董事 会决议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65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J</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货款</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1,039,500.45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已无法收回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子公司董事 会决议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2496"/>
        <w:gridCol w:w="1027"/>
        <w:gridCol w:w="1805"/>
        <w:gridCol w:w="2006"/>
        <w:gridCol w:w="1493"/>
        <w:gridCol w:w="1450"/>
      </w:tblGrid>
      <w:tr>
        <w:trPr>
          <w:trHeight w:val="653"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1,018,800.00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已无可执行财产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子公司董事 会决议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63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该公司于</w:t>
            </w:r>
            <w:r>
              <w:rPr>
                <w:rFonts w:ascii="Times New Roman" w:eastAsia="Times New Roman" w:hAnsi="Times New Roman" w:cs="Times New Roman"/>
                <w:color w:val="000000"/>
                <w:spacing w:val="0"/>
                <w:w w:val="100"/>
                <w:position w:val="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0"/>
                <w:szCs w:val="20"/>
              </w:rPr>
              <w:t>日被吊销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子公司董事 会决议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608,173,229.91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b/>
                <w:bCs/>
                <w:color w:val="000000"/>
                <w:spacing w:val="0"/>
                <w:w w:val="100"/>
                <w:position w:val="0"/>
                <w:sz w:val="20"/>
                <w:szCs w:val="20"/>
              </w:rPr>
              <w:t>—</w:t>
            </w:r>
          </w:p>
        </w:tc>
      </w:tr>
    </w:tbl>
    <w:p>
      <w:pPr>
        <w:pStyle w:val="Style30"/>
        <w:keepNext w:val="0"/>
        <w:keepLines w:val="0"/>
        <w:widowControl w:val="0"/>
        <w:shd w:val="clear" w:color="auto" w:fill="auto"/>
        <w:bidi w:val="0"/>
        <w:spacing w:before="0" w:after="0" w:line="240" w:lineRule="auto"/>
        <w:ind w:left="787"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）应收账款按账龄披露:</w:t>
      </w:r>
    </w:p>
    <w:p>
      <w:pPr>
        <w:widowControl w:val="0"/>
        <w:spacing w:after="59" w:line="1" w:lineRule="exact"/>
      </w:pPr>
    </w:p>
    <w:tbl>
      <w:tblPr>
        <w:tblOverlap w:val="never"/>
        <w:jc w:val="left"/>
        <w:tblLayout w:type="fixed"/>
      </w:tblPr>
      <w:tblGrid>
        <w:gridCol w:w="3168"/>
        <w:gridCol w:w="2976"/>
        <w:gridCol w:w="2866"/>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176,181,842.41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179,437,636.28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30,244,031.38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41,233,441.89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19,108,823.78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137,582,474.81</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18,819,517.43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512,147,732.97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12,630,105.45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25,210,644.56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24,405,926.02</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271,107,859.56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907,437,317.42</w:t>
            </w:r>
          </w:p>
        </w:tc>
      </w:tr>
    </w:tbl>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）按欠款方归集的期末余额前五名的应收账款情况:</w:t>
      </w:r>
    </w:p>
    <w:p>
      <w:pPr>
        <w:widowControl w:val="0"/>
        <w:spacing w:after="59" w:line="1" w:lineRule="exact"/>
      </w:pPr>
    </w:p>
    <w:tbl>
      <w:tblPr>
        <w:tblOverlap w:val="never"/>
        <w:jc w:val="center"/>
        <w:tblLayout w:type="fixed"/>
      </w:tblPr>
      <w:tblGrid>
        <w:gridCol w:w="2597"/>
        <w:gridCol w:w="1704"/>
        <w:gridCol w:w="1560"/>
        <w:gridCol w:w="1699"/>
        <w:gridCol w:w="1733"/>
      </w:tblGrid>
      <w:tr>
        <w:trPr>
          <w:trHeight w:val="65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right"/>
              <w:rPr>
                <w:sz w:val="20"/>
                <w:szCs w:val="20"/>
              </w:rPr>
            </w:pPr>
            <w:r>
              <w:rPr>
                <w:b/>
                <w:bCs/>
                <w:color w:val="000000"/>
                <w:spacing w:val="0"/>
                <w:w w:val="100"/>
                <w:position w:val="0"/>
                <w:sz w:val="20"/>
                <w:szCs w:val="20"/>
              </w:rPr>
              <w:t>占应收账款总 额的比例（</w:t>
            </w:r>
            <w:r>
              <w:rPr>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b/>
                <w:bCs/>
                <w:color w:val="000000"/>
                <w:spacing w:val="0"/>
                <w:w w:val="100"/>
                <w:position w:val="0"/>
                <w:sz w:val="20"/>
                <w:szCs w:val="20"/>
              </w:rPr>
              <w:t>坏账准备期末 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25,623,200.00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896,812.00</w:t>
            </w: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25,324,989.00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9.34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14,392,568.62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143,925.69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12,476,593.74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12,476,593.74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11,919,009.32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119,190.09</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89,736,360.68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13,636,521.52</w:t>
            </w:r>
          </w:p>
        </w:tc>
      </w:tr>
    </w:tbl>
    <w:p>
      <w:pPr>
        <w:pStyle w:val="Style30"/>
        <w:keepNext w:val="0"/>
        <w:keepLines w:val="0"/>
        <w:widowControl w:val="0"/>
        <w:shd w:val="clear" w:color="auto" w:fill="auto"/>
        <w:bidi w:val="0"/>
        <w:spacing w:before="0" w:after="0" w:line="240" w:lineRule="auto"/>
        <w:ind w:left="130" w:right="0" w:firstLine="0"/>
        <w:jc w:val="left"/>
        <w:rPr>
          <w:sz w:val="22"/>
          <w:szCs w:val="22"/>
        </w:rPr>
      </w:pPr>
      <w:r>
        <w:rPr>
          <w:rFonts w:ascii="Times New Roman" w:eastAsia="Times New Roman" w:hAnsi="Times New Roman" w:cs="Times New Roman"/>
          <w:b/>
          <w:bCs/>
          <w:color w:val="000000"/>
          <w:spacing w:val="0"/>
          <w:w w:val="100"/>
          <w:position w:val="0"/>
          <w:sz w:val="22"/>
          <w:szCs w:val="22"/>
        </w:rPr>
        <w:t>5</w:t>
      </w:r>
      <w:r>
        <w:rPr>
          <w:b/>
          <w:bCs/>
          <w:color w:val="000000"/>
          <w:spacing w:val="0"/>
          <w:w w:val="100"/>
          <w:position w:val="0"/>
          <w:sz w:val="22"/>
          <w:szCs w:val="22"/>
        </w:rPr>
        <w:t>、应收款项融资</w:t>
      </w:r>
    </w:p>
    <w:p>
      <w:pPr>
        <w:widowControl w:val="0"/>
        <w:spacing w:after="379" w:line="1" w:lineRule="exact"/>
      </w:pPr>
    </w:p>
    <w:p>
      <w:pPr>
        <w:pStyle w:val="Style30"/>
        <w:keepNext w:val="0"/>
        <w:keepLines w:val="0"/>
        <w:widowControl w:val="0"/>
        <w:shd w:val="clear" w:color="auto" w:fill="auto"/>
        <w:bidi w:val="0"/>
        <w:spacing w:before="0" w:after="0" w:line="240" w:lineRule="auto"/>
        <w:ind w:left="538"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）应收款项融资分类列示</w:t>
      </w:r>
    </w:p>
    <w:tbl>
      <w:tblPr>
        <w:tblOverlap w:val="never"/>
        <w:jc w:val="center"/>
        <w:tblLayout w:type="fixed"/>
      </w:tblPr>
      <w:tblGrid>
        <w:gridCol w:w="4018"/>
        <w:gridCol w:w="2410"/>
        <w:gridCol w:w="2726"/>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left"/>
              <w:rPr>
                <w:sz w:val="20"/>
                <w:szCs w:val="20"/>
              </w:rPr>
            </w:pPr>
            <w:r>
              <w:rPr>
                <w:color w:val="000000"/>
                <w:spacing w:val="0"/>
                <w:w w:val="100"/>
                <w:position w:val="0"/>
                <w:sz w:val="20"/>
                <w:szCs w:val="20"/>
              </w:rPr>
              <w:t>以公允价值计量且其变动计入其他综 合收益的应收票据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131,690,674.07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20,780,180.07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 w:right="0" w:firstLine="0"/>
              <w:jc w:val="left"/>
              <w:rPr>
                <w:sz w:val="24"/>
                <w:szCs w:val="24"/>
              </w:rPr>
            </w:pPr>
            <w:r>
              <w:rPr>
                <w:color w:val="000000"/>
                <w:spacing w:val="0"/>
                <w:w w:val="100"/>
                <w:position w:val="0"/>
                <w:sz w:val="24"/>
                <w:szCs w:val="24"/>
              </w:rPr>
              <w:t>其中：银行承兑汇票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131,690,674.07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20,780,180.07</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131,690,674.07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b/>
                <w:bCs/>
                <w:color w:val="000000"/>
                <w:spacing w:val="0"/>
                <w:w w:val="100"/>
                <w:position w:val="0"/>
                <w:sz w:val="20"/>
                <w:szCs w:val="20"/>
              </w:rPr>
              <w:t>20,780,180.07</w:t>
            </w:r>
          </w:p>
        </w:tc>
      </w:tr>
    </w:tbl>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注：本公司在日常资金管理中将部分银行承兑汇票贴现或背书，管理的业务模式既以收取合</w:t>
      </w:r>
      <w:r>
        <w:br w:type="page"/>
      </w:r>
    </w:p>
    <w:p>
      <w:pPr>
        <w:pStyle w:val="Style13"/>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同现金流量为目标又以出售为目标，分类为以公允价值计量且其变动计入其他综合收益的金融资</w:t>
      </w:r>
    </w:p>
    <w:p>
      <w:pPr>
        <w:pStyle w:val="Style13"/>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产，列报为应收款项融资。</w:t>
      </w:r>
    </w:p>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）期末公司已背书或贴现且在资产负债表日尚未到期的应收票据:</w:t>
      </w:r>
    </w:p>
    <w:tbl>
      <w:tblPr>
        <w:tblOverlap w:val="never"/>
        <w:jc w:val="center"/>
        <w:tblLayout w:type="fixed"/>
      </w:tblPr>
      <w:tblGrid>
        <w:gridCol w:w="3115"/>
        <w:gridCol w:w="3110"/>
        <w:gridCol w:w="3134"/>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期末终止确认金额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期末未终止确认金额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204,896,362.12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b/>
                <w:bCs/>
                <w:color w:val="000000"/>
                <w:spacing w:val="0"/>
                <w:w w:val="100"/>
                <w:position w:val="0"/>
                <w:sz w:val="20"/>
                <w:szCs w:val="20"/>
              </w:rPr>
              <w:t>204,896,362.12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）期末公司已质押的应收票据:</w:t>
      </w:r>
    </w:p>
    <w:p>
      <w:pPr>
        <w:widowControl w:val="0"/>
        <w:spacing w:after="79" w:line="1" w:lineRule="exact"/>
      </w:pPr>
    </w:p>
    <w:tbl>
      <w:tblPr>
        <w:tblOverlap w:val="never"/>
        <w:jc w:val="center"/>
        <w:tblLayout w:type="fixed"/>
      </w:tblPr>
      <w:tblGrid>
        <w:gridCol w:w="5117"/>
        <w:gridCol w:w="4282"/>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期末已质押金额</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80" w:right="0" w:firstLine="0"/>
              <w:jc w:val="left"/>
            </w:pPr>
            <w:r>
              <w:rPr>
                <w:rFonts w:ascii="Times New Roman" w:eastAsia="Times New Roman" w:hAnsi="Times New Roman" w:cs="Times New Roman"/>
                <w:color w:val="000000"/>
                <w:spacing w:val="0"/>
                <w:w w:val="100"/>
                <w:position w:val="0"/>
              </w:rPr>
              <w:t>78,077,924.58</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80" w:right="0" w:firstLine="0"/>
              <w:jc w:val="left"/>
              <w:rPr>
                <w:sz w:val="20"/>
                <w:szCs w:val="20"/>
              </w:rPr>
            </w:pPr>
            <w:r>
              <w:rPr>
                <w:rFonts w:ascii="Times New Roman" w:eastAsia="Times New Roman" w:hAnsi="Times New Roman" w:cs="Times New Roman"/>
                <w:b/>
                <w:bCs/>
                <w:color w:val="000000"/>
                <w:spacing w:val="0"/>
                <w:w w:val="100"/>
                <w:position w:val="0"/>
                <w:sz w:val="20"/>
                <w:szCs w:val="20"/>
              </w:rPr>
              <w:t>78,077,924.58</w:t>
            </w:r>
          </w:p>
        </w:tc>
      </w:tr>
      <w:tr>
        <w:trPr>
          <w:trHeight w:val="845"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应收款项融资本期增减变动及公允价值变动情况</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tc>
      </w:tr>
    </w:tbl>
    <w:p>
      <w:pPr>
        <w:pStyle w:val="Style30"/>
        <w:keepNext w:val="0"/>
        <w:keepLines w:val="0"/>
        <w:widowControl w:val="0"/>
        <w:shd w:val="clear" w:color="auto" w:fill="auto"/>
        <w:bidi w:val="0"/>
        <w:spacing w:before="0" w:after="0" w:line="240" w:lineRule="auto"/>
        <w:ind w:left="134" w:right="0" w:firstLine="0"/>
        <w:jc w:val="left"/>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日应收款项融资所有权受限制情况见本附注五、</w:t>
      </w:r>
      <w:r>
        <w:rPr>
          <w:rFonts w:ascii="Times New Roman" w:eastAsia="Times New Roman" w:hAnsi="Times New Roman" w:cs="Times New Roman"/>
          <w:color w:val="000000"/>
          <w:spacing w:val="0"/>
          <w:w w:val="100"/>
          <w:position w:val="0"/>
          <w:sz w:val="22"/>
          <w:szCs w:val="22"/>
        </w:rPr>
        <w:t>58</w:t>
      </w:r>
      <w:r>
        <w:rPr>
          <w:color w:val="000000"/>
          <w:spacing w:val="0"/>
          <w:w w:val="100"/>
          <w:position w:val="0"/>
          <w:sz w:val="22"/>
          <w:szCs w:val="22"/>
        </w:rPr>
        <w:t>之说明</w:t>
      </w:r>
    </w:p>
    <w:p>
      <w:pPr>
        <w:widowControl w:val="0"/>
        <w:spacing w:after="399" w:line="1" w:lineRule="exact"/>
      </w:pPr>
    </w:p>
    <w:p>
      <w:pPr>
        <w:pStyle w:val="Style37"/>
        <w:keepNext/>
        <w:keepLines/>
        <w:widowControl w:val="0"/>
        <w:shd w:val="clear" w:color="auto" w:fill="auto"/>
        <w:bidi w:val="0"/>
        <w:spacing w:before="0" w:after="400" w:line="240" w:lineRule="auto"/>
        <w:ind w:left="0" w:right="0" w:firstLine="14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6</w:t>
      </w:r>
      <w:bookmarkEnd w:id="877"/>
      <w:r>
        <w:rPr>
          <w:color w:val="000000"/>
          <w:spacing w:val="0"/>
          <w:w w:val="100"/>
          <w:position w:val="0"/>
        </w:rPr>
        <w:t>、预付款项</w:t>
      </w:r>
      <w:bookmarkEnd w:id="875"/>
      <w:bookmarkEnd w:id="876"/>
      <w:bookmarkEnd w:id="878"/>
    </w:p>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）账龄分析及百分比</w:t>
      </w:r>
    </w:p>
    <w:tbl>
      <w:tblPr>
        <w:tblOverlap w:val="never"/>
        <w:jc w:val="center"/>
        <w:tblLayout w:type="fixed"/>
      </w:tblPr>
      <w:tblGrid>
        <w:gridCol w:w="1637"/>
        <w:gridCol w:w="1968"/>
        <w:gridCol w:w="1939"/>
        <w:gridCol w:w="1968"/>
        <w:gridCol w:w="1891"/>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账龄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比例</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比例</w:t>
            </w:r>
            <w:r>
              <w:rPr>
                <w:b/>
                <w:bCs/>
                <w:color w:val="000000"/>
                <w:spacing w:val="0"/>
                <w:w w:val="100"/>
                <w:position w:val="0"/>
                <w:sz w:val="20"/>
                <w:szCs w:val="2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7,070,930.14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6,559,950.36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56.13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248,498.37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1,901,666.71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16.27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606,900.56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3,224,610.93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27.60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b/>
                <w:bCs/>
                <w:color w:val="000000"/>
                <w:spacing w:val="0"/>
                <w:w w:val="100"/>
                <w:position w:val="0"/>
                <w:sz w:val="20"/>
                <w:szCs w:val="20"/>
              </w:rPr>
              <w:t>7,946,259.07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0"/>
                <w:szCs w:val="20"/>
              </w:rPr>
              <w:t>11,686,228.00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r>
    </w:tbl>
    <w:p>
      <w:pPr>
        <w:widowControl w:val="0"/>
        <w:spacing w:after="79" w:line="1" w:lineRule="exact"/>
      </w:pPr>
    </w:p>
    <w:p>
      <w:pPr>
        <w:pStyle w:val="Style13"/>
        <w:keepNext w:val="0"/>
        <w:keepLines w:val="0"/>
        <w:widowControl w:val="0"/>
        <w:shd w:val="clear" w:color="auto" w:fill="auto"/>
        <w:tabs>
          <w:tab w:pos="1112" w:val="left"/>
        </w:tabs>
        <w:bidi w:val="0"/>
        <w:spacing w:before="0" w:after="200" w:line="240" w:lineRule="auto"/>
        <w:ind w:left="0" w:right="0" w:firstLine="60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w:t>
        <w:tab/>
        <w:t>无账龄超过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年且金额重大的预付账款</w:t>
      </w:r>
    </w:p>
    <w:p>
      <w:pPr>
        <w:pStyle w:val="Style13"/>
        <w:keepNext w:val="0"/>
        <w:keepLines w:val="0"/>
        <w:widowControl w:val="0"/>
        <w:shd w:val="clear" w:color="auto" w:fill="auto"/>
        <w:tabs>
          <w:tab w:pos="1112" w:val="left"/>
        </w:tabs>
        <w:bidi w:val="0"/>
        <w:spacing w:before="0" w:after="80" w:line="240" w:lineRule="auto"/>
        <w:ind w:left="0" w:right="0" w:firstLine="60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3</w:t>
      </w:r>
      <w:r>
        <w:rPr>
          <w:color w:val="000000"/>
          <w:spacing w:val="0"/>
          <w:w w:val="100"/>
          <w:position w:val="0"/>
        </w:rPr>
        <w:t>）</w:t>
        <w:tab/>
        <w:t>按预付对象归集的年末余额前五名的预付款情况:</w:t>
      </w:r>
    </w:p>
    <w:tbl>
      <w:tblPr>
        <w:tblOverlap w:val="never"/>
        <w:jc w:val="center"/>
        <w:tblLayout w:type="fixed"/>
      </w:tblPr>
      <w:tblGrid>
        <w:gridCol w:w="2563"/>
        <w:gridCol w:w="2126"/>
        <w:gridCol w:w="1704"/>
        <w:gridCol w:w="1416"/>
        <w:gridCol w:w="1733"/>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占预付账款总 额的比例</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未结算原因</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2,615,538.50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货物尚未交付</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1,404,587.59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货物尚未交付</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1,045,582.63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货物尚未交付</w:t>
            </w:r>
          </w:p>
        </w:tc>
      </w:tr>
    </w:tbl>
    <w:p>
      <w:pPr>
        <w:spacing w:lineRule="exact" w:line="1"/>
        <w:rPr>
          <w:sz w:val="2"/>
          <w:szCs w:val="2"/>
        </w:rPr>
      </w:pPr>
      <w:r>
        <w:br w:type="page"/>
      </w:r>
    </w:p>
    <w:tbl>
      <w:tblPr>
        <w:tblOverlap w:val="never"/>
        <w:jc w:val="center"/>
        <w:tblLayout w:type="fixed"/>
      </w:tblPr>
      <w:tblGrid>
        <w:gridCol w:w="2563"/>
        <w:gridCol w:w="2126"/>
        <w:gridCol w:w="1704"/>
        <w:gridCol w:w="1416"/>
        <w:gridCol w:w="1733"/>
      </w:tblGrid>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424,384.43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货物尚未交付</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服务尚未完成</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5,707,283.15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71.82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r>
    </w:tbl>
    <w:p>
      <w:pPr>
        <w:pStyle w:val="Style30"/>
        <w:keepNext w:val="0"/>
        <w:keepLines w:val="0"/>
        <w:widowControl w:val="0"/>
        <w:shd w:val="clear" w:color="auto" w:fill="auto"/>
        <w:bidi w:val="0"/>
        <w:spacing w:before="0" w:after="0" w:line="240" w:lineRule="auto"/>
        <w:ind w:left="134" w:right="0" w:firstLine="0"/>
        <w:jc w:val="left"/>
        <w:rPr>
          <w:sz w:val="22"/>
          <w:szCs w:val="22"/>
        </w:rPr>
      </w:pPr>
      <w:r>
        <w:rPr>
          <w:rFonts w:ascii="Times New Roman" w:eastAsia="Times New Roman" w:hAnsi="Times New Roman" w:cs="Times New Roman"/>
          <w:b/>
          <w:bCs/>
          <w:color w:val="000000"/>
          <w:spacing w:val="0"/>
          <w:w w:val="100"/>
          <w:position w:val="0"/>
          <w:sz w:val="22"/>
          <w:szCs w:val="22"/>
        </w:rPr>
        <w:t>7</w:t>
      </w:r>
      <w:r>
        <w:rPr>
          <w:b/>
          <w:bCs/>
          <w:color w:val="000000"/>
          <w:spacing w:val="0"/>
          <w:w w:val="100"/>
          <w:position w:val="0"/>
          <w:sz w:val="22"/>
          <w:szCs w:val="22"/>
        </w:rPr>
        <w:t>、其他应收款</w:t>
      </w:r>
    </w:p>
    <w:p>
      <w:pPr>
        <w:widowControl w:val="0"/>
        <w:spacing w:after="279" w:line="1" w:lineRule="exact"/>
      </w:pPr>
    </w:p>
    <w:tbl>
      <w:tblPr>
        <w:tblOverlap w:val="never"/>
        <w:jc w:val="center"/>
        <w:tblLayout w:type="fixed"/>
      </w:tblPr>
      <w:tblGrid>
        <w:gridCol w:w="2174"/>
        <w:gridCol w:w="389"/>
        <w:gridCol w:w="1656"/>
        <w:gridCol w:w="221"/>
        <w:gridCol w:w="1526"/>
        <w:gridCol w:w="744"/>
        <w:gridCol w:w="341"/>
        <w:gridCol w:w="360"/>
        <w:gridCol w:w="1891"/>
      </w:tblGrid>
      <w:tr>
        <w:trPr>
          <w:trHeight w:val="480"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7,928,477.71</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22,612,729.55</w:t>
            </w: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b/>
                <w:bCs/>
                <w:color w:val="000000"/>
                <w:spacing w:val="0"/>
                <w:w w:val="100"/>
                <w:position w:val="0"/>
                <w:sz w:val="20"/>
                <w:szCs w:val="20"/>
              </w:rPr>
              <w:t>合计</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7,928,477.71</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b/>
                <w:bCs/>
                <w:color w:val="000000"/>
                <w:spacing w:val="0"/>
                <w:w w:val="100"/>
                <w:position w:val="0"/>
                <w:sz w:val="20"/>
                <w:szCs w:val="20"/>
              </w:rPr>
              <w:t>22,612,729.55</w:t>
            </w:r>
          </w:p>
        </w:tc>
      </w:tr>
      <w:tr>
        <w:trPr>
          <w:trHeight w:val="480"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其他应收款情况</w:t>
            </w:r>
          </w:p>
        </w:tc>
      </w:tr>
      <w:tr>
        <w:trPr>
          <w:trHeight w:val="475" w:hRule="exact"/>
        </w:trPr>
        <w:tc>
          <w:tcPr>
            <w:tcBorders>
              <w:top w:val="single" w:sz="4"/>
              <w:left w:val="single" w:sz="4"/>
            </w:tcBorders>
            <w:shd w:val="clear" w:color="auto" w:fill="FFFFFF"/>
            <w:vAlign w:val="top"/>
          </w:tcPr>
          <w:p>
            <w:pPr>
              <w:widowControl w:val="0"/>
              <w:rPr>
                <w:sz w:val="10"/>
                <w:szCs w:val="10"/>
              </w:rPr>
            </w:pP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1"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账面余额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b/>
                <w:bCs/>
                <w:color w:val="000000"/>
                <w:spacing w:val="0"/>
                <w:w w:val="100"/>
                <w:position w:val="0"/>
                <w:sz w:val="20"/>
                <w:szCs w:val="20"/>
              </w:rPr>
              <w:t>坏账准备</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账面价值</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9,767,998.88</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1,839,521.17</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7,928,477.71</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合 计</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b/>
                <w:bCs/>
                <w:color w:val="000000"/>
                <w:spacing w:val="0"/>
                <w:w w:val="100"/>
                <w:position w:val="0"/>
                <w:sz w:val="20"/>
                <w:szCs w:val="20"/>
              </w:rPr>
              <w:t>9,767,998.88</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1,839,521.17</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b/>
                <w:bCs/>
                <w:color w:val="000000"/>
                <w:spacing w:val="0"/>
                <w:w w:val="100"/>
                <w:position w:val="0"/>
                <w:sz w:val="20"/>
                <w:szCs w:val="20"/>
              </w:rPr>
              <w:t>7,928,477.71</w:t>
            </w:r>
          </w:p>
        </w:tc>
      </w:tr>
      <w:tr>
        <w:trPr>
          <w:trHeight w:val="490"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（续）</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1"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账面余额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b/>
                <w:bCs/>
                <w:color w:val="000000"/>
                <w:spacing w:val="0"/>
                <w:w w:val="100"/>
                <w:position w:val="0"/>
                <w:sz w:val="20"/>
                <w:szCs w:val="20"/>
              </w:rPr>
              <w:t>坏账准备</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账面价值</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156,097,161.74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133,484,432.19</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22,612,729.55</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合 计</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b/>
                <w:bCs/>
                <w:color w:val="000000"/>
                <w:spacing w:val="0"/>
                <w:w w:val="100"/>
                <w:position w:val="0"/>
                <w:sz w:val="20"/>
                <w:szCs w:val="20"/>
              </w:rPr>
              <w:t>156,097,161.74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133,484,432.19</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22,612,729.55</w:t>
            </w:r>
          </w:p>
        </w:tc>
      </w:tr>
      <w:tr>
        <w:trPr>
          <w:trHeight w:val="950"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①坏账准备</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 xml:space="preserve">A.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日，处于第一阶段的其他应收款坏账准备如下：</w:t>
            </w:r>
          </w:p>
        </w:tc>
      </w:tr>
      <w:tr>
        <w:trPr>
          <w:trHeight w:val="581"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b/>
                <w:bCs/>
                <w:color w:val="000000"/>
                <w:spacing w:val="0"/>
                <w:w w:val="100"/>
                <w:position w:val="0"/>
                <w:sz w:val="20"/>
                <w:szCs w:val="20"/>
              </w:rPr>
              <w:t>未来</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月内预期 信用损失率</w:t>
            </w:r>
            <w:r>
              <w:rPr>
                <w:b/>
                <w:bCs/>
                <w:color w:val="000000"/>
                <w:spacing w:val="0"/>
                <w:w w:val="100"/>
                <w:position w:val="0"/>
                <w:sz w:val="20"/>
                <w:szCs w:val="2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理由</w:t>
            </w:r>
          </w:p>
        </w:tc>
      </w:tr>
      <w:tr>
        <w:trPr>
          <w:trHeight w:val="4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组合计提：</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2,108,297.13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298,763.65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p>
        </w:tc>
      </w:tr>
      <w:tr>
        <w:trPr>
          <w:trHeight w:val="4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6,180,751.75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61,807.52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p>
        </w:tc>
      </w:tr>
      <w:tr>
        <w:trPr>
          <w:trHeight w:val="46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8,289,048.88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4.35</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360,571.17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p>
        </w:tc>
      </w:tr>
      <w:tr>
        <w:trPr>
          <w:trHeight w:val="480"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984" w:val="left"/>
              </w:tabs>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B</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日，处于第三阶段的其他应收款坏账准备如下：</w:t>
            </w:r>
          </w:p>
        </w:tc>
      </w:tr>
      <w:tr>
        <w:trPr>
          <w:trHeight w:val="643" w:hRule="exact"/>
        </w:trPr>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账面余额</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整个存续期预期 信用损失率</w:t>
            </w:r>
            <w:r>
              <w:rPr>
                <w:b/>
                <w:bCs/>
                <w:color w:val="000000"/>
                <w:spacing w:val="0"/>
                <w:w w:val="100"/>
                <w:position w:val="0"/>
                <w:sz w:val="20"/>
                <w:szCs w:val="20"/>
              </w:rPr>
              <w:t>％</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理由</w:t>
            </w:r>
          </w:p>
        </w:tc>
      </w:tr>
    </w:tbl>
    <w:p>
      <w:pPr>
        <w:spacing w:lineRule="exact" w:line="1"/>
        <w:rPr>
          <w:sz w:val="2"/>
          <w:szCs w:val="2"/>
        </w:rPr>
      </w:pPr>
      <w:r>
        <w:br w:type="page"/>
      </w:r>
    </w:p>
    <w:tbl>
      <w:tblPr>
        <w:tblOverlap w:val="never"/>
        <w:jc w:val="center"/>
        <w:tblLayout w:type="fixed"/>
      </w:tblPr>
      <w:tblGrid>
        <w:gridCol w:w="2453"/>
        <w:gridCol w:w="1704"/>
        <w:gridCol w:w="1699"/>
        <w:gridCol w:w="1560"/>
        <w:gridCol w:w="1733"/>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预计无法收回</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478,950.00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预计无法收回</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rPr>
              <w:t>1,478,950.00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1,478,950.00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485" w:right="0" w:firstLine="0"/>
        <w:jc w:val="left"/>
        <w:rPr>
          <w:sz w:val="22"/>
          <w:szCs w:val="22"/>
        </w:rPr>
      </w:pPr>
      <w:r>
        <w:rPr>
          <w:color w:val="000000"/>
          <w:spacing w:val="0"/>
          <w:w w:val="100"/>
          <w:position w:val="0"/>
          <w:sz w:val="22"/>
          <w:szCs w:val="22"/>
        </w:rPr>
        <w:t>②坏账准备的变动</w:t>
      </w:r>
    </w:p>
    <w:p>
      <w:pPr>
        <w:widowControl w:val="0"/>
        <w:spacing w:after="79" w:line="1" w:lineRule="exact"/>
      </w:pPr>
    </w:p>
    <w:tbl>
      <w:tblPr>
        <w:tblOverlap w:val="never"/>
        <w:jc w:val="center"/>
        <w:tblLayout w:type="fixed"/>
      </w:tblPr>
      <w:tblGrid>
        <w:gridCol w:w="1742"/>
        <w:gridCol w:w="1478"/>
        <w:gridCol w:w="451"/>
        <w:gridCol w:w="1382"/>
        <w:gridCol w:w="1512"/>
        <w:gridCol w:w="989"/>
        <w:gridCol w:w="1882"/>
      </w:tblGrid>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第一阶段</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rPr>
              <w:t>第二阶段</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第三阶段</w:t>
            </w: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4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5" w:lineRule="exact"/>
              <w:ind w:left="0" w:right="0" w:firstLine="0"/>
              <w:jc w:val="center"/>
              <w:rPr>
                <w:sz w:val="20"/>
                <w:szCs w:val="20"/>
              </w:rPr>
            </w:pPr>
            <w:r>
              <w:rPr>
                <w:b/>
                <w:bCs/>
                <w:color w:val="000000"/>
                <w:spacing w:val="0"/>
                <w:w w:val="100"/>
                <w:position w:val="0"/>
                <w:sz w:val="20"/>
                <w:szCs w:val="20"/>
              </w:rPr>
              <w:t>未来</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个月 内预期信用 损失</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6" w:lineRule="exact"/>
              <w:ind w:left="0" w:right="0" w:firstLine="0"/>
              <w:jc w:val="center"/>
              <w:rPr>
                <w:sz w:val="20"/>
                <w:szCs w:val="20"/>
              </w:rPr>
            </w:pPr>
            <w:r>
              <w:rPr>
                <w:b/>
                <w:bCs/>
                <w:color w:val="000000"/>
                <w:spacing w:val="0"/>
                <w:w w:val="100"/>
                <w:position w:val="0"/>
                <w:sz w:val="20"/>
                <w:szCs w:val="20"/>
              </w:rPr>
              <w:t>整个存续期预期 信用损失</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未发生 信用减值</w:t>
            </w:r>
            <w:r>
              <w:rPr>
                <w:b/>
                <w:bCs/>
                <w:color w:val="000000"/>
                <w:spacing w:val="0"/>
                <w:w w:val="100"/>
                <w:position w:val="0"/>
                <w:sz w:val="20"/>
                <w:szCs w:val="20"/>
              </w:rPr>
              <w:t>）</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整个存续期预期信用 损失</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已发生信用减 值</w:t>
            </w:r>
            <w:r>
              <w:rPr>
                <w:b/>
                <w:bCs/>
                <w:color w:val="000000"/>
                <w:spacing w:val="0"/>
                <w:w w:val="100"/>
                <w:position w:val="0"/>
                <w:sz w:val="20"/>
                <w:szCs w:val="2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80"/>
              <w:jc w:val="left"/>
              <w:rPr>
                <w:sz w:val="20"/>
                <w:szCs w:val="20"/>
              </w:rPr>
            </w:pPr>
            <w:r>
              <w:rPr>
                <w:b/>
                <w:bCs/>
                <w:color w:val="000000"/>
                <w:spacing w:val="0"/>
                <w:w w:val="100"/>
                <w:position w:val="0"/>
                <w:sz w:val="20"/>
                <w:szCs w:val="20"/>
              </w:rPr>
              <w:t>合计</w:t>
            </w:r>
          </w:p>
        </w:tc>
      </w:tr>
      <w:tr>
        <w:trPr>
          <w:trHeight w:val="5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1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356,597.38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133,127,834.81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133,484,432.19</w:t>
            </w:r>
          </w:p>
        </w:tc>
      </w:tr>
      <w:tr>
        <w:trPr>
          <w:trHeight w:val="5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期初余额在本 期</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302" w:lineRule="exact"/>
              <w:ind w:left="140" w:right="0" w:firstLine="120"/>
              <w:jc w:val="left"/>
              <w:rPr>
                <w:sz w:val="20"/>
                <w:szCs w:val="20"/>
              </w:rPr>
            </w:pPr>
            <w:r>
              <w:rPr>
                <w:color w:val="000000"/>
                <w:spacing w:val="0"/>
                <w:w w:val="100"/>
                <w:position w:val="0"/>
                <w:sz w:val="22"/>
                <w:szCs w:val="22"/>
              </w:rPr>
              <w:t>一</w:t>
            </w:r>
            <w:r>
              <w:rPr>
                <w:color w:val="000000"/>
                <w:spacing w:val="0"/>
                <w:w w:val="100"/>
                <w:position w:val="0"/>
                <w:sz w:val="20"/>
                <w:szCs w:val="20"/>
              </w:rPr>
              <w:t>转入第一阶 段</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8" w:lineRule="exact"/>
              <w:ind w:left="140" w:right="0" w:firstLine="120"/>
              <w:jc w:val="left"/>
              <w:rPr>
                <w:sz w:val="20"/>
                <w:szCs w:val="20"/>
              </w:rPr>
            </w:pPr>
            <w:r>
              <w:rPr>
                <w:color w:val="000000"/>
                <w:spacing w:val="0"/>
                <w:w w:val="100"/>
                <w:position w:val="0"/>
                <w:sz w:val="22"/>
                <w:szCs w:val="22"/>
              </w:rPr>
              <w:t>一</w:t>
            </w:r>
            <w:r>
              <w:rPr>
                <w:color w:val="000000"/>
                <w:spacing w:val="0"/>
                <w:w w:val="100"/>
                <w:position w:val="0"/>
                <w:sz w:val="20"/>
                <w:szCs w:val="20"/>
              </w:rPr>
              <w:t>转入第二阶 段</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8" w:lineRule="exact"/>
              <w:ind w:left="140" w:right="0" w:firstLine="120"/>
              <w:jc w:val="left"/>
              <w:rPr>
                <w:sz w:val="20"/>
                <w:szCs w:val="20"/>
              </w:rPr>
            </w:pPr>
            <w:r>
              <w:rPr>
                <w:color w:val="000000"/>
                <w:spacing w:val="0"/>
                <w:w w:val="100"/>
                <w:position w:val="0"/>
                <w:sz w:val="22"/>
                <w:szCs w:val="22"/>
              </w:rPr>
              <w:t>一</w:t>
            </w:r>
            <w:r>
              <w:rPr>
                <w:color w:val="000000"/>
                <w:spacing w:val="0"/>
                <w:w w:val="100"/>
                <w:position w:val="0"/>
                <w:sz w:val="20"/>
                <w:szCs w:val="20"/>
              </w:rPr>
              <w:t>转入第三阶 段</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3,973.79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3,973.79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102,136,275.96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102,136,275.96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29,512,608.85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29,512,608.85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360,571.17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1,839,521.17</w:t>
            </w:r>
          </w:p>
        </w:tc>
      </w:tr>
      <w:tr>
        <w:trPr>
          <w:trHeight w:val="485"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③报告期坏账准备转回或转销金额重要的</w:t>
            </w:r>
          </w:p>
        </w:tc>
      </w:tr>
      <w:tr>
        <w:trPr>
          <w:trHeight w:val="47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转回或转销金额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方式</w:t>
            </w:r>
          </w:p>
        </w:tc>
      </w:tr>
      <w:tr>
        <w:trPr>
          <w:trHeight w:val="461"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A</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102,136,275.96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货币资金</w:t>
            </w:r>
          </w:p>
        </w:tc>
      </w:tr>
      <w:tr>
        <w:trPr>
          <w:trHeight w:val="485" w:hRule="exact"/>
        </w:trPr>
        <w:tc>
          <w:tcPr>
            <w:gridSpan w:val="3"/>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b/>
                <w:bCs/>
                <w:color w:val="000000"/>
                <w:spacing w:val="0"/>
                <w:w w:val="100"/>
                <w:position w:val="0"/>
                <w:sz w:val="20"/>
                <w:szCs w:val="20"/>
              </w:rPr>
              <w:t>102,136,275.96</w:t>
            </w:r>
          </w:p>
        </w:tc>
        <w:tc>
          <w:tcPr>
            <w:gridSpan w:val="2"/>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3"/>
        <w:keepNext w:val="0"/>
        <w:keepLines w:val="0"/>
        <w:widowControl w:val="0"/>
        <w:shd w:val="clear" w:color="auto" w:fill="auto"/>
        <w:bidi w:val="0"/>
        <w:spacing w:before="0" w:after="200" w:line="240" w:lineRule="auto"/>
        <w:ind w:left="0" w:right="0" w:firstLine="780"/>
        <w:jc w:val="left"/>
      </w:pPr>
      <w:r>
        <w:rPr>
          <w:color w:val="000000"/>
          <w:spacing w:val="0"/>
          <w:w w:val="100"/>
          <w:position w:val="0"/>
        </w:rPr>
        <w:t>注：客户</w:t>
      </w:r>
      <w:r>
        <w:rPr>
          <w:rFonts w:ascii="Times New Roman" w:eastAsia="Times New Roman" w:hAnsi="Times New Roman" w:cs="Times New Roman"/>
          <w:color w:val="000000"/>
          <w:spacing w:val="0"/>
          <w:w w:val="100"/>
          <w:position w:val="0"/>
        </w:rPr>
        <w:t>A</w:t>
      </w:r>
      <w:r>
        <w:rPr>
          <w:color w:val="000000"/>
          <w:spacing w:val="0"/>
          <w:w w:val="100"/>
          <w:position w:val="0"/>
        </w:rPr>
        <w:t>坏账准备转回情况情况见本附注十四、（二）之说明。</w:t>
      </w:r>
    </w:p>
    <w:p>
      <w:pPr>
        <w:pStyle w:val="Style13"/>
        <w:keepNext w:val="0"/>
        <w:keepLines w:val="0"/>
        <w:widowControl w:val="0"/>
        <w:numPr>
          <w:ilvl w:val="0"/>
          <w:numId w:val="43"/>
        </w:numPr>
        <w:shd w:val="clear" w:color="auto" w:fill="auto"/>
        <w:bidi w:val="0"/>
        <w:spacing w:before="0" w:after="80" w:line="240" w:lineRule="auto"/>
        <w:ind w:left="0" w:right="0" w:firstLine="780"/>
        <w:jc w:val="left"/>
      </w:pPr>
      <w:bookmarkStart w:id="881" w:name="bookmark881"/>
      <w:bookmarkEnd w:id="881"/>
      <w:r>
        <w:rPr>
          <w:color w:val="000000"/>
          <w:spacing w:val="0"/>
          <w:w w:val="100"/>
          <w:position w:val="0"/>
        </w:rPr>
        <w:t>报告期实际核销的其他应收款情况</w:t>
      </w:r>
    </w:p>
    <w:tbl>
      <w:tblPr>
        <w:tblOverlap w:val="never"/>
        <w:jc w:val="center"/>
        <w:tblLayout w:type="fixed"/>
      </w:tblPr>
      <w:tblGrid>
        <w:gridCol w:w="5966"/>
        <w:gridCol w:w="3432"/>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核销金额</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实际核销的其他应收款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29,512,608.85</w:t>
            </w:r>
          </w:p>
        </w:tc>
      </w:tr>
    </w:tbl>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其中重要的其他应收款核销情况:</w:t>
      </w:r>
      <w:r>
        <w:br w:type="page"/>
      </w:r>
    </w:p>
    <w:tbl>
      <w:tblPr>
        <w:tblOverlap w:val="never"/>
        <w:jc w:val="center"/>
        <w:tblLayout w:type="fixed"/>
      </w:tblPr>
      <w:tblGrid>
        <w:gridCol w:w="2496"/>
        <w:gridCol w:w="1027"/>
        <w:gridCol w:w="1805"/>
        <w:gridCol w:w="2006"/>
        <w:gridCol w:w="1493"/>
        <w:gridCol w:w="1450"/>
      </w:tblGrid>
      <w:tr>
        <w:trPr>
          <w:trHeight w:val="11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6" w:lineRule="exact"/>
              <w:ind w:left="280" w:right="0" w:firstLine="0"/>
              <w:jc w:val="left"/>
              <w:rPr>
                <w:sz w:val="20"/>
                <w:szCs w:val="20"/>
              </w:rPr>
            </w:pPr>
            <w:r>
              <w:rPr>
                <w:b/>
                <w:bCs/>
                <w:color w:val="000000"/>
                <w:spacing w:val="0"/>
                <w:w w:val="100"/>
                <w:position w:val="0"/>
                <w:sz w:val="20"/>
                <w:szCs w:val="20"/>
              </w:rPr>
              <w:t>其他 应收 款性 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核销金额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核销 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履行的 核销程序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6" w:lineRule="exact"/>
              <w:ind w:left="0" w:right="0" w:firstLine="0"/>
              <w:jc w:val="center"/>
              <w:rPr>
                <w:sz w:val="20"/>
                <w:szCs w:val="20"/>
              </w:rPr>
            </w:pPr>
            <w:r>
              <w:rPr>
                <w:b/>
                <w:bCs/>
                <w:color w:val="000000"/>
                <w:spacing w:val="0"/>
                <w:w w:val="100"/>
                <w:position w:val="0"/>
                <w:sz w:val="20"/>
                <w:szCs w:val="20"/>
              </w:rPr>
              <w:t>款项是否 因关联交 易产生</w:t>
            </w:r>
          </w:p>
        </w:tc>
      </w:tr>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29,327,638.85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已无法收回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380"/>
              <w:jc w:val="left"/>
              <w:rPr>
                <w:sz w:val="20"/>
                <w:szCs w:val="20"/>
              </w:rPr>
            </w:pPr>
            <w:r>
              <w:rPr>
                <w:color w:val="000000"/>
                <w:spacing w:val="0"/>
                <w:w w:val="100"/>
                <w:position w:val="0"/>
                <w:sz w:val="20"/>
                <w:szCs w:val="20"/>
              </w:rPr>
              <w:t>子公司董</w:t>
            </w:r>
          </w:p>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事会决议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否</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29,327,638.85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r>
    </w:tbl>
    <w:p>
      <w:pPr>
        <w:pStyle w:val="Style30"/>
        <w:keepNext w:val="0"/>
        <w:keepLines w:val="0"/>
        <w:widowControl w:val="0"/>
        <w:shd w:val="clear" w:color="auto" w:fill="auto"/>
        <w:bidi w:val="0"/>
        <w:spacing w:before="0" w:after="0" w:line="240" w:lineRule="auto"/>
        <w:ind w:left="768" w:right="0" w:firstLine="0"/>
        <w:jc w:val="left"/>
        <w:rPr>
          <w:sz w:val="22"/>
          <w:szCs w:val="22"/>
        </w:rPr>
      </w:pPr>
      <w:r>
        <w:rPr>
          <w:color w:val="000000"/>
          <w:spacing w:val="0"/>
          <w:w w:val="100"/>
          <w:position w:val="0"/>
          <w:sz w:val="22"/>
          <w:szCs w:val="22"/>
        </w:rPr>
        <w:t>⑤其他应收款按账龄披露</w:t>
      </w:r>
    </w:p>
    <w:p>
      <w:pPr>
        <w:widowControl w:val="0"/>
        <w:spacing w:after="79" w:line="1" w:lineRule="exact"/>
      </w:pPr>
    </w:p>
    <w:tbl>
      <w:tblPr>
        <w:tblOverlap w:val="never"/>
        <w:jc w:val="left"/>
        <w:tblLayout w:type="fixed"/>
      </w:tblPr>
      <w:tblGrid>
        <w:gridCol w:w="3168"/>
        <w:gridCol w:w="2976"/>
        <w:gridCol w:w="3005"/>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4,397,671.31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14,501,475.22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1,949,775.45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4,331,512.17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1,671,433.68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33,427,461.69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320,996.02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103,400,316.24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1,080,666.00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122,785.50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347,456.42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313,610.92</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b/>
                <w:bCs/>
                <w:color w:val="000000"/>
                <w:spacing w:val="0"/>
                <w:w w:val="100"/>
                <w:position w:val="0"/>
                <w:sz w:val="20"/>
                <w:szCs w:val="20"/>
              </w:rPr>
              <w:t>9,767,998.88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b/>
                <w:bCs/>
                <w:color w:val="000000"/>
                <w:spacing w:val="0"/>
                <w:w w:val="100"/>
                <w:position w:val="0"/>
                <w:sz w:val="20"/>
                <w:szCs w:val="20"/>
              </w:rPr>
              <w:t>156,097,161.74</w:t>
            </w:r>
          </w:p>
        </w:tc>
      </w:tr>
    </w:tbl>
    <w:p>
      <w:pPr>
        <w:pStyle w:val="Style30"/>
        <w:keepNext w:val="0"/>
        <w:keepLines w:val="0"/>
        <w:widowControl w:val="0"/>
        <w:shd w:val="clear" w:color="auto" w:fill="auto"/>
        <w:bidi w:val="0"/>
        <w:spacing w:before="0" w:after="0" w:line="240" w:lineRule="auto"/>
        <w:ind w:left="595" w:right="0" w:firstLine="0"/>
        <w:jc w:val="left"/>
        <w:rPr>
          <w:sz w:val="22"/>
          <w:szCs w:val="22"/>
        </w:rPr>
      </w:pPr>
      <w:r>
        <w:rPr>
          <w:color w:val="000000"/>
          <w:spacing w:val="0"/>
          <w:w w:val="100"/>
          <w:position w:val="0"/>
          <w:sz w:val="22"/>
          <w:szCs w:val="22"/>
        </w:rPr>
        <w:t>⑥其他应收款按款项性质分类情况</w:t>
      </w:r>
    </w:p>
    <w:p>
      <w:pPr>
        <w:widowControl w:val="0"/>
        <w:spacing w:after="79" w:line="1" w:lineRule="exact"/>
      </w:pPr>
    </w:p>
    <w:tbl>
      <w:tblPr>
        <w:tblOverlap w:val="never"/>
        <w:jc w:val="center"/>
        <w:tblLayout w:type="fixed"/>
      </w:tblPr>
      <w:tblGrid>
        <w:gridCol w:w="3624"/>
        <w:gridCol w:w="2693"/>
        <w:gridCol w:w="2866"/>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131,587,293.63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7,303,160.50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6,155,475.98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待退回投资款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15,781,832.00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代垫款项及其他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2,087,821.33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1,804,367.29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应收补助款及出口退税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507,197.79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260,995.05</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b/>
                <w:bCs/>
                <w:color w:val="000000"/>
                <w:spacing w:val="0"/>
                <w:w w:val="100"/>
                <w:position w:val="0"/>
                <w:sz w:val="20"/>
                <w:szCs w:val="20"/>
              </w:rPr>
              <w:t>9,767,998.88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156,097,161.74</w:t>
            </w:r>
          </w:p>
        </w:tc>
      </w:tr>
    </w:tbl>
    <w:p>
      <w:pPr>
        <w:pStyle w:val="Style30"/>
        <w:keepNext w:val="0"/>
        <w:keepLines w:val="0"/>
        <w:widowControl w:val="0"/>
        <w:shd w:val="clear" w:color="auto" w:fill="auto"/>
        <w:bidi w:val="0"/>
        <w:spacing w:before="0" w:after="0" w:line="240" w:lineRule="auto"/>
        <w:ind w:left="518" w:right="0" w:firstLine="0"/>
        <w:jc w:val="left"/>
        <w:rPr>
          <w:sz w:val="22"/>
          <w:szCs w:val="22"/>
        </w:rPr>
      </w:pPr>
      <w:r>
        <w:rPr>
          <w:color w:val="000000"/>
          <w:spacing w:val="0"/>
          <w:w w:val="100"/>
          <w:position w:val="0"/>
          <w:sz w:val="22"/>
          <w:szCs w:val="22"/>
        </w:rPr>
        <w:t>⑦其他应收款期末余额前五名单位情况</w:t>
      </w:r>
    </w:p>
    <w:p>
      <w:pPr>
        <w:widowControl w:val="0"/>
        <w:spacing w:after="79" w:line="1" w:lineRule="exact"/>
      </w:pPr>
    </w:p>
    <w:tbl>
      <w:tblPr>
        <w:tblOverlap w:val="never"/>
        <w:jc w:val="center"/>
        <w:tblLayout w:type="fixed"/>
      </w:tblPr>
      <w:tblGrid>
        <w:gridCol w:w="2616"/>
        <w:gridCol w:w="710"/>
        <w:gridCol w:w="1416"/>
        <w:gridCol w:w="1416"/>
        <w:gridCol w:w="1138"/>
        <w:gridCol w:w="1272"/>
        <w:gridCol w:w="1315"/>
      </w:tblGrid>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是否</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为关</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rPr>
                <w:sz w:val="20"/>
                <w:szCs w:val="20"/>
              </w:rPr>
            </w:pPr>
            <w:r>
              <w:rPr>
                <w:b/>
                <w:bCs/>
                <w:color w:val="000000"/>
                <w:spacing w:val="0"/>
                <w:w w:val="100"/>
                <w:position w:val="0"/>
                <w:sz w:val="20"/>
                <w:szCs w:val="20"/>
              </w:rPr>
              <w:t>占其他应收 款期末余额 合计数的比 例（</w:t>
            </w:r>
            <w:r>
              <w:rPr>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坏账准备 期末余额</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678,095.64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6,969.96</w:t>
            </w:r>
          </w:p>
        </w:tc>
      </w:tr>
    </w:tbl>
    <w:p>
      <w:pPr>
        <w:spacing w:lineRule="exact" w:line="1"/>
        <w:rPr>
          <w:sz w:val="2"/>
          <w:szCs w:val="2"/>
        </w:rPr>
      </w:pPr>
      <w:r>
        <w:br w:type="page"/>
      </w:r>
    </w:p>
    <w:tbl>
      <w:tblPr>
        <w:tblOverlap w:val="never"/>
        <w:jc w:val="center"/>
        <w:tblLayout w:type="fixed"/>
      </w:tblPr>
      <w:tblGrid>
        <w:gridCol w:w="2630"/>
        <w:gridCol w:w="710"/>
        <w:gridCol w:w="1416"/>
        <w:gridCol w:w="1416"/>
        <w:gridCol w:w="1138"/>
        <w:gridCol w:w="1272"/>
        <w:gridCol w:w="1315"/>
      </w:tblGrid>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是否 为关 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占其他应收 款期末余额 合计数的比 例（</w:t>
            </w:r>
            <w:r>
              <w:rPr>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坏账准备 期末余额</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代垫款项及其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18,900.00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630,532.86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6,305.33</w:t>
            </w:r>
          </w:p>
        </w:tc>
      </w:tr>
      <w:tr>
        <w:trPr>
          <w:trHeight w:val="63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代垫款项及其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448,333.53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4,483.34</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4,575,862.03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1,035,758.63</w:t>
            </w:r>
          </w:p>
        </w:tc>
      </w:tr>
    </w:tbl>
    <w:p>
      <w:pPr>
        <w:widowControl w:val="0"/>
        <w:spacing w:after="319" w:line="1" w:lineRule="exact"/>
      </w:pPr>
    </w:p>
    <w:p>
      <w:pPr>
        <w:pStyle w:val="Style37"/>
        <w:keepNext/>
        <w:keepLines/>
        <w:widowControl w:val="0"/>
        <w:shd w:val="clear" w:color="auto" w:fill="auto"/>
        <w:bidi w:val="0"/>
        <w:spacing w:before="0" w:after="42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8</w:t>
      </w:r>
      <w:bookmarkEnd w:id="884"/>
      <w:r>
        <w:rPr>
          <w:color w:val="000000"/>
          <w:spacing w:val="0"/>
          <w:w w:val="100"/>
          <w:position w:val="0"/>
        </w:rPr>
        <w:t>、存货</w:t>
      </w:r>
      <w:bookmarkEnd w:id="882"/>
      <w:bookmarkEnd w:id="883"/>
      <w:bookmarkEnd w:id="885"/>
    </w:p>
    <w:p>
      <w:pPr>
        <w:pStyle w:val="Style13"/>
        <w:keepNext w:val="0"/>
        <w:keepLines w:val="0"/>
        <w:widowControl w:val="0"/>
        <w:shd w:val="clear" w:color="auto" w:fill="auto"/>
        <w:bidi w:val="0"/>
        <w:spacing w:before="0" w:after="8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p>
    <w:tbl>
      <w:tblPr>
        <w:tblOverlap w:val="never"/>
        <w:jc w:val="center"/>
        <w:tblLayout w:type="fixed"/>
      </w:tblPr>
      <w:tblGrid>
        <w:gridCol w:w="3725"/>
        <w:gridCol w:w="1944"/>
        <w:gridCol w:w="1872"/>
        <w:gridCol w:w="2002"/>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39,674,647.24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10,631,104.11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29,043,543.13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152,407,680.54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19,780,796.76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132,626,883.78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168,944,909.44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30,371,895.07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138,573,014.37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18,020,086.23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3,280,772.25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14,739,313.98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1,873,059.70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959,425.33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913,634.37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147,611.45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123,542.87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18,396,172.49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14,112,758.73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4,283,413.76</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b/>
                <w:bCs/>
                <w:color w:val="000000"/>
                <w:spacing w:val="0"/>
                <w:w w:val="100"/>
                <w:position w:val="0"/>
                <w:sz w:val="20"/>
                <w:szCs w:val="20"/>
              </w:rPr>
              <w:t>合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b/>
                <w:bCs/>
                <w:color w:val="000000"/>
                <w:spacing w:val="0"/>
                <w:w w:val="100"/>
                <w:position w:val="0"/>
                <w:sz w:val="20"/>
                <w:szCs w:val="20"/>
              </w:rPr>
              <w:t>399,464,167.09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79,160,820.83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320,303,346.26</w:t>
            </w:r>
          </w:p>
        </w:tc>
      </w:tr>
      <w:tr>
        <w:trPr>
          <w:trHeight w:val="49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（续）</w:t>
            </w:r>
          </w:p>
        </w:tc>
      </w:tr>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26,595,150.83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13,085,645.52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13,509,505.31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82,961,204.05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22,054,773.86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60,906,430.19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149,295,264.11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49,709,975.88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99,585,288.23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3,830,993.75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3,280,772.25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550,221.50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11,070,219.84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4,102,422.16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6,967,797.68</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周转材料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716,124.82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216,349.85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499,774.97</w:t>
            </w:r>
          </w:p>
        </w:tc>
      </w:tr>
    </w:tbl>
    <w:p>
      <w:pPr>
        <w:sectPr>
          <w:footnotePr>
            <w:pos w:val="pageBottom"/>
            <w:numFmt w:val="decimal"/>
            <w:numRestart w:val="continuous"/>
          </w:footnotePr>
          <w:pgSz w:w="11900" w:h="16840"/>
          <w:pgMar w:top="1436" w:right="848" w:bottom="1518" w:left="774" w:header="0" w:footer="3" w:gutter="0"/>
          <w:cols w:space="720"/>
          <w:noEndnote/>
          <w:rtlGutter w:val="0"/>
          <w:docGrid w:linePitch="360"/>
        </w:sectPr>
      </w:pPr>
    </w:p>
    <w:tbl>
      <w:tblPr>
        <w:tblOverlap w:val="never"/>
        <w:jc w:val="center"/>
        <w:tblLayout w:type="fixed"/>
      </w:tblPr>
      <w:tblGrid>
        <w:gridCol w:w="3821"/>
        <w:gridCol w:w="1982"/>
        <w:gridCol w:w="1843"/>
        <w:gridCol w:w="2117"/>
      </w:tblGrid>
      <w:tr>
        <w:trPr>
          <w:trHeight w:val="1133" w:hRule="exact"/>
        </w:trPr>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0"/>
                <w:szCs w:val="240"/>
              </w:rPr>
            </w:pPr>
            <w:r>
              <w:rPr>
                <w:rFonts w:ascii="MS Reference Sans Serif" w:eastAsia="MS Reference Sans Serif" w:hAnsi="MS Reference Sans Serif" w:cs="MS Reference Sans Serif"/>
                <w:b/>
                <w:bCs/>
                <w:color w:val="01418A"/>
                <w:spacing w:val="0"/>
                <w:w w:val="100"/>
                <w:position w:val="0"/>
                <w:sz w:val="40"/>
                <w:szCs w:val="40"/>
              </w:rPr>
              <w:t>Nation</w:t>
            </w:r>
            <w:r>
              <w:rPr>
                <w:color w:val="01418A"/>
                <w:spacing w:val="0"/>
                <w:w w:val="100"/>
                <w:position w:val="0"/>
                <w:sz w:val="240"/>
                <w:szCs w:val="240"/>
              </w:rPr>
              <w:t>。</w:t>
            </w:r>
          </w:p>
          <w:p>
            <w:pPr>
              <w:pStyle w:val="Style2"/>
              <w:keepNext w:val="0"/>
              <w:keepLines w:val="0"/>
              <w:widowControl w:val="0"/>
              <w:shd w:val="clear" w:color="auto" w:fill="auto"/>
              <w:tabs>
                <w:tab w:pos="6120" w:val="left"/>
              </w:tabs>
              <w:bidi w:val="0"/>
              <w:spacing w:before="0" w:after="0" w:line="240" w:lineRule="auto"/>
              <w:ind w:left="0" w:right="0" w:firstLine="720"/>
              <w:jc w:val="left"/>
              <w:rPr>
                <w:sz w:val="17"/>
                <w:szCs w:val="17"/>
              </w:rPr>
            </w:pPr>
            <w:r>
              <w:rPr>
                <w:rFonts w:ascii="SimHei" w:eastAsia="SimHei" w:hAnsi="SimHei" w:cs="SimHei"/>
                <w:color w:val="000000"/>
                <w:spacing w:val="0"/>
                <w:w w:val="100"/>
                <w:position w:val="0"/>
                <w:sz w:val="19"/>
                <w:szCs w:val="19"/>
              </w:rPr>
              <w:t>国民技术</w:t>
              <w:tab/>
            </w:r>
            <w:r>
              <w:rPr>
                <w:color w:val="000000"/>
                <w:spacing w:val="0"/>
                <w:w w:val="100"/>
                <w:position w:val="0"/>
                <w:sz w:val="17"/>
                <w:szCs w:val="17"/>
              </w:rPr>
              <w:t>国民技术股份有限公司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年年度报告全文</w:t>
            </w:r>
          </w:p>
        </w:tc>
      </w:tr>
      <w:tr>
        <w:trPr>
          <w:trHeight w:val="47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b/>
                <w:bCs/>
                <w:color w:val="000000"/>
                <w:spacing w:val="0"/>
                <w:w w:val="100"/>
                <w:position w:val="0"/>
                <w:sz w:val="20"/>
                <w:szCs w:val="2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跌价准备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14,112,758.73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14,112,758.73</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288,581,716.13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106,562,698.25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182,019,017.88</w:t>
            </w:r>
          </w:p>
        </w:tc>
      </w:tr>
    </w:tbl>
    <w:p>
      <w:pPr>
        <w:pStyle w:val="Style30"/>
        <w:keepNext w:val="0"/>
        <w:keepLines w:val="0"/>
        <w:widowControl w:val="0"/>
        <w:shd w:val="clear" w:color="auto" w:fill="auto"/>
        <w:bidi w:val="0"/>
        <w:spacing w:before="0" w:after="0" w:line="240" w:lineRule="auto"/>
        <w:ind w:left="523"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）存货跌价准备</w:t>
      </w:r>
    </w:p>
    <w:p>
      <w:pPr>
        <w:widowControl w:val="0"/>
        <w:spacing w:after="79" w:line="1" w:lineRule="exact"/>
      </w:pPr>
    </w:p>
    <w:tbl>
      <w:tblPr>
        <w:tblOverlap w:val="never"/>
        <w:jc w:val="center"/>
        <w:tblLayout w:type="fixed"/>
      </w:tblPr>
      <w:tblGrid>
        <w:gridCol w:w="1747"/>
        <w:gridCol w:w="1699"/>
        <w:gridCol w:w="1522"/>
        <w:gridCol w:w="749"/>
        <w:gridCol w:w="1517"/>
        <w:gridCol w:w="893"/>
        <w:gridCol w:w="1589"/>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b/>
                <w:bCs/>
                <w:color w:val="000000"/>
                <w:spacing w:val="0"/>
                <w:w w:val="100"/>
                <w:position w:val="0"/>
                <w:sz w:val="20"/>
                <w:szCs w:val="20"/>
              </w:rPr>
              <w:t>2021.01.01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本年减少金额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转回或转销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其他</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13,085,645.52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1,280,456.65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3,734,998.06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10,631,104.11</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22,054,773.86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10,050,672.09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12,324,649.19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19,780,796.76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49,709,975.88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14,060,189.98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33,398,270.79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30,371,895.07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3,280,772.25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3,280,772.25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4,102,422.16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3,142,996.83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959,425.33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216,349.85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195,830.43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24,068.58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14,112,758.73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14,112,758.73</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b/>
                <w:bCs/>
                <w:color w:val="000000"/>
                <w:spacing w:val="0"/>
                <w:w w:val="100"/>
                <w:position w:val="0"/>
                <w:sz w:val="20"/>
                <w:szCs w:val="20"/>
              </w:rPr>
              <w:t>106,562,698.25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25,394,867.88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52,796,745.30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b/>
                <w:bCs/>
                <w:color w:val="000000"/>
                <w:spacing w:val="0"/>
                <w:w w:val="100"/>
                <w:position w:val="0"/>
                <w:sz w:val="20"/>
                <w:szCs w:val="20"/>
              </w:rPr>
              <w:t>79,160,820.83</w:t>
            </w:r>
          </w:p>
        </w:tc>
      </w:tr>
    </w:tbl>
    <w:p>
      <w:pPr>
        <w:pStyle w:val="Style30"/>
        <w:keepNext w:val="0"/>
        <w:keepLines w:val="0"/>
        <w:widowControl w:val="0"/>
        <w:shd w:val="clear" w:color="auto" w:fill="auto"/>
        <w:bidi w:val="0"/>
        <w:spacing w:before="0" w:after="0" w:line="240" w:lineRule="auto"/>
        <w:ind w:left="50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）存货跌价准备计提依据及本年转回或转销原因</w:t>
      </w:r>
    </w:p>
    <w:p>
      <w:pPr>
        <w:widowControl w:val="0"/>
        <w:spacing w:after="79" w:line="1" w:lineRule="exact"/>
      </w:pPr>
    </w:p>
    <w:tbl>
      <w:tblPr>
        <w:tblOverlap w:val="never"/>
        <w:jc w:val="center"/>
        <w:tblLayout w:type="fixed"/>
      </w:tblPr>
      <w:tblGrid>
        <w:gridCol w:w="1906"/>
        <w:gridCol w:w="2832"/>
        <w:gridCol w:w="2554"/>
        <w:gridCol w:w="2160"/>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计提存货跌价准备的具体 依据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本年转回存货跌价准 备的原因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本年转销存货跌 价准备的原因</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可变现净值低于成本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本期已售出</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可变现净值低于成本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本期已售出</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可变现净值低于成本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可变现净值高于成本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本期已售出</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可变现净值高于成本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本期已售出</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周转材料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可变现净值低于成本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本期已售出</w:t>
            </w:r>
          </w:p>
        </w:tc>
      </w:tr>
    </w:tbl>
    <w:p>
      <w:pPr>
        <w:pStyle w:val="Style30"/>
        <w:keepNext w:val="0"/>
        <w:keepLines w:val="0"/>
        <w:widowControl w:val="0"/>
        <w:shd w:val="clear" w:color="auto" w:fill="auto"/>
        <w:bidi w:val="0"/>
        <w:spacing w:before="0" w:after="0" w:line="240" w:lineRule="auto"/>
        <w:ind w:left="130" w:right="0" w:firstLine="0"/>
        <w:jc w:val="left"/>
        <w:rPr>
          <w:sz w:val="22"/>
          <w:szCs w:val="22"/>
        </w:rPr>
      </w:pPr>
      <w:r>
        <w:rPr>
          <w:rFonts w:ascii="Times New Roman" w:eastAsia="Times New Roman" w:hAnsi="Times New Roman" w:cs="Times New Roman"/>
          <w:b/>
          <w:bCs/>
          <w:color w:val="000000"/>
          <w:spacing w:val="0"/>
          <w:w w:val="100"/>
          <w:position w:val="0"/>
          <w:sz w:val="22"/>
          <w:szCs w:val="22"/>
        </w:rPr>
        <w:t>9</w:t>
      </w:r>
      <w:r>
        <w:rPr>
          <w:b/>
          <w:bCs/>
          <w:color w:val="000000"/>
          <w:spacing w:val="0"/>
          <w:w w:val="100"/>
          <w:position w:val="0"/>
          <w:sz w:val="22"/>
          <w:szCs w:val="22"/>
        </w:rPr>
        <w:t>、合同资产</w:t>
      </w:r>
    </w:p>
    <w:p>
      <w:pPr>
        <w:widowControl w:val="0"/>
        <w:spacing w:after="279" w:line="1" w:lineRule="exact"/>
      </w:pPr>
    </w:p>
    <w:tbl>
      <w:tblPr>
        <w:tblOverlap w:val="never"/>
        <w:jc w:val="center"/>
        <w:tblLayout w:type="fixed"/>
      </w:tblPr>
      <w:tblGrid>
        <w:gridCol w:w="2995"/>
        <w:gridCol w:w="2765"/>
        <w:gridCol w:w="3322"/>
      </w:tblGrid>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65,230.20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20"/>
                <w:szCs w:val="20"/>
              </w:rPr>
            </w:pPr>
            <w:r>
              <w:rPr>
                <w:color w:val="000000"/>
                <w:spacing w:val="0"/>
                <w:w w:val="100"/>
                <w:position w:val="0"/>
                <w:sz w:val="20"/>
                <w:szCs w:val="20"/>
              </w:rPr>
              <w:t>—</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减：合同资产减值准备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20"/>
                <w:szCs w:val="20"/>
              </w:rPr>
            </w:pPr>
            <w:r>
              <w:rPr>
                <w:color w:val="000000"/>
                <w:spacing w:val="0"/>
                <w:w w:val="100"/>
                <w:position w:val="0"/>
                <w:sz w:val="20"/>
                <w:szCs w:val="20"/>
              </w:rPr>
              <w:t>—</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b/>
                <w:bCs/>
                <w:color w:val="000000"/>
                <w:spacing w:val="0"/>
                <w:w w:val="100"/>
                <w:position w:val="0"/>
                <w:sz w:val="20"/>
                <w:szCs w:val="20"/>
              </w:rPr>
              <w:t>64,577.90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168" w:right="0" w:firstLine="0"/>
        <w:jc w:val="left"/>
        <w:rPr>
          <w:sz w:val="22"/>
          <w:szCs w:val="22"/>
        </w:rPr>
        <w:sectPr>
          <w:footnotePr>
            <w:pos w:val="pageBottom"/>
            <w:numFmt w:val="decimal"/>
            <w:numRestart w:val="continuous"/>
          </w:footnotePr>
          <w:pgSz w:w="11900" w:h="16840"/>
          <w:pgMar w:top="313" w:right="1071" w:bottom="1369" w:left="975" w:header="0" w:footer="3" w:gutter="0"/>
          <w:cols w:space="720"/>
          <w:noEndnote/>
          <w:rtlGutter w:val="0"/>
          <w:docGrid w:linePitch="360"/>
        </w:sectPr>
      </w:pPr>
      <w:r>
        <w:rPr>
          <w:color w:val="000000"/>
          <w:spacing w:val="0"/>
          <w:w w:val="100"/>
          <w:position w:val="0"/>
          <w:sz w:val="22"/>
          <w:szCs w:val="22"/>
        </w:rPr>
        <w:t>合同资产无论是否存在重大融资成分，本公司均按照整个存续期的预期信用损失计量损失准</w:t>
      </w:r>
    </w:p>
    <w:p>
      <w:pPr>
        <w:pStyle w:val="Style13"/>
        <w:keepNext w:val="0"/>
        <w:keepLines w:val="0"/>
        <w:widowControl w:val="0"/>
        <w:shd w:val="clear" w:color="auto" w:fill="auto"/>
        <w:bidi w:val="0"/>
        <w:spacing w:before="100" w:after="200" w:line="240" w:lineRule="auto"/>
        <w:ind w:left="0" w:right="0" w:firstLine="660"/>
        <w:jc w:val="left"/>
      </w:pPr>
      <w:r>
        <w:rPr>
          <w:color w:val="000000"/>
          <w:spacing w:val="0"/>
          <w:w w:val="100"/>
          <w:position w:val="0"/>
        </w:rPr>
        <w:t>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日，计提减值准备的合同资产如下:</w:t>
      </w:r>
    </w:p>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组合计提减值准备的合同资产:</w:t>
      </w:r>
    </w:p>
    <w:tbl>
      <w:tblPr>
        <w:tblOverlap w:val="never"/>
        <w:jc w:val="center"/>
        <w:tblLayout w:type="fixed"/>
      </w:tblPr>
      <w:tblGrid>
        <w:gridCol w:w="2314"/>
        <w:gridCol w:w="1704"/>
        <w:gridCol w:w="1699"/>
        <w:gridCol w:w="1560"/>
        <w:gridCol w:w="1733"/>
      </w:tblGrid>
      <w:tr>
        <w:trPr>
          <w:trHeight w:val="87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380"/>
              <w:jc w:val="left"/>
              <w:rPr>
                <w:sz w:val="20"/>
                <w:szCs w:val="20"/>
              </w:rPr>
            </w:pPr>
            <w:r>
              <w:rPr>
                <w:b/>
                <w:bCs/>
                <w:color w:val="000000"/>
                <w:spacing w:val="0"/>
                <w:w w:val="100"/>
                <w:position w:val="0"/>
                <w:sz w:val="20"/>
                <w:szCs w:val="20"/>
              </w:rPr>
              <w:t>整个存续期</w:t>
            </w:r>
          </w:p>
          <w:p>
            <w:pPr>
              <w:pStyle w:val="Style2"/>
              <w:keepNext w:val="0"/>
              <w:keepLines w:val="0"/>
              <w:widowControl w:val="0"/>
              <w:shd w:val="clear" w:color="auto" w:fill="auto"/>
              <w:bidi w:val="0"/>
              <w:spacing w:before="0" w:after="40" w:line="240" w:lineRule="auto"/>
              <w:ind w:left="0" w:right="0" w:firstLine="380"/>
              <w:jc w:val="left"/>
              <w:rPr>
                <w:sz w:val="20"/>
                <w:szCs w:val="20"/>
              </w:rPr>
            </w:pPr>
            <w:r>
              <w:rPr>
                <w:b/>
                <w:bCs/>
                <w:color w:val="000000"/>
                <w:spacing w:val="0"/>
                <w:w w:val="100"/>
                <w:position w:val="0"/>
                <w:sz w:val="20"/>
                <w:szCs w:val="20"/>
              </w:rPr>
              <w:t>预期信用损</w:t>
            </w:r>
          </w:p>
          <w:p>
            <w:pPr>
              <w:pStyle w:val="Style2"/>
              <w:keepNext w:val="0"/>
              <w:keepLines w:val="0"/>
              <w:widowControl w:val="0"/>
              <w:shd w:val="clear" w:color="auto" w:fill="auto"/>
              <w:bidi w:val="0"/>
              <w:spacing w:before="0" w:after="40" w:line="240" w:lineRule="auto"/>
              <w:ind w:left="0" w:right="0" w:firstLine="600"/>
              <w:jc w:val="left"/>
              <w:rPr>
                <w:sz w:val="20"/>
                <w:szCs w:val="20"/>
              </w:rPr>
            </w:pPr>
            <w:r>
              <w:rPr>
                <w:b/>
                <w:bCs/>
                <w:color w:val="000000"/>
                <w:spacing w:val="0"/>
                <w:w w:val="100"/>
                <w:position w:val="0"/>
                <w:sz w:val="20"/>
                <w:szCs w:val="20"/>
              </w:rPr>
              <w:t>失率</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理由</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65,230.20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b/>
                <w:bCs/>
                <w:color w:val="000000"/>
                <w:spacing w:val="0"/>
                <w:w w:val="100"/>
                <w:position w:val="0"/>
                <w:sz w:val="20"/>
                <w:szCs w:val="20"/>
              </w:rPr>
              <w:t>65,230.20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b/>
                <w:bCs/>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b/>
                <w:bCs/>
                <w:color w:val="000000"/>
                <w:spacing w:val="0"/>
                <w:w w:val="100"/>
                <w:position w:val="0"/>
                <w:sz w:val="20"/>
                <w:szCs w:val="20"/>
              </w:rPr>
              <w:t>652.30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144" w:right="0" w:firstLine="0"/>
        <w:jc w:val="left"/>
        <w:rPr>
          <w:sz w:val="22"/>
          <w:szCs w:val="22"/>
        </w:rPr>
      </w:pPr>
      <w:r>
        <w:rPr>
          <w:rFonts w:ascii="Times New Roman" w:eastAsia="Times New Roman" w:hAnsi="Times New Roman" w:cs="Times New Roman"/>
          <w:b/>
          <w:bCs/>
          <w:color w:val="000000"/>
          <w:spacing w:val="0"/>
          <w:w w:val="100"/>
          <w:position w:val="0"/>
          <w:sz w:val="22"/>
          <w:szCs w:val="22"/>
        </w:rPr>
        <w:t>10</w:t>
      </w:r>
      <w:r>
        <w:rPr>
          <w:b/>
          <w:bCs/>
          <w:color w:val="000000"/>
          <w:spacing w:val="0"/>
          <w:w w:val="100"/>
          <w:position w:val="0"/>
          <w:sz w:val="22"/>
          <w:szCs w:val="22"/>
        </w:rPr>
        <w:t>、其他流动资产</w:t>
      </w:r>
    </w:p>
    <w:p>
      <w:pPr>
        <w:widowControl w:val="0"/>
        <w:spacing w:after="279" w:line="1" w:lineRule="exact"/>
      </w:pPr>
    </w:p>
    <w:tbl>
      <w:tblPr>
        <w:tblOverlap w:val="never"/>
        <w:jc w:val="center"/>
        <w:tblLayout w:type="fixed"/>
      </w:tblPr>
      <w:tblGrid>
        <w:gridCol w:w="3058"/>
        <w:gridCol w:w="3062"/>
        <w:gridCol w:w="3101"/>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待认证、抵扣增值税额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24,185,282.58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24,423,239.37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780,524.06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99,166.66</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b/>
                <w:bCs/>
                <w:color w:val="000000"/>
                <w:spacing w:val="0"/>
                <w:w w:val="100"/>
                <w:position w:val="0"/>
                <w:sz w:val="20"/>
                <w:szCs w:val="20"/>
              </w:rPr>
              <w:t>24,965,806.64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24,522,406.03</w:t>
            </w:r>
          </w:p>
        </w:tc>
      </w:tr>
    </w:tbl>
    <w:p>
      <w:pPr>
        <w:pStyle w:val="Style30"/>
        <w:keepNext w:val="0"/>
        <w:keepLines w:val="0"/>
        <w:widowControl w:val="0"/>
        <w:shd w:val="clear" w:color="auto" w:fill="auto"/>
        <w:bidi w:val="0"/>
        <w:spacing w:before="0" w:after="0" w:line="240" w:lineRule="auto"/>
        <w:ind w:left="38" w:right="0" w:firstLine="0"/>
        <w:jc w:val="left"/>
        <w:rPr>
          <w:sz w:val="22"/>
          <w:szCs w:val="22"/>
        </w:rPr>
      </w:pPr>
      <w:r>
        <w:rPr>
          <w:rFonts w:ascii="Times New Roman" w:eastAsia="Times New Roman" w:hAnsi="Times New Roman" w:cs="Times New Roman"/>
          <w:b/>
          <w:bCs/>
          <w:color w:val="000000"/>
          <w:spacing w:val="0"/>
          <w:w w:val="100"/>
          <w:position w:val="0"/>
          <w:sz w:val="22"/>
          <w:szCs w:val="22"/>
        </w:rPr>
        <w:t>11</w:t>
      </w:r>
      <w:r>
        <w:rPr>
          <w:b/>
          <w:bCs/>
          <w:color w:val="000000"/>
          <w:spacing w:val="0"/>
          <w:w w:val="100"/>
          <w:position w:val="0"/>
          <w:sz w:val="22"/>
          <w:szCs w:val="22"/>
        </w:rPr>
        <w:t>、其他权益工具投资</w:t>
      </w:r>
    </w:p>
    <w:p>
      <w:pPr>
        <w:widowControl w:val="0"/>
        <w:spacing w:after="279" w:line="1" w:lineRule="exact"/>
      </w:pPr>
    </w:p>
    <w:tbl>
      <w:tblPr>
        <w:tblOverlap w:val="never"/>
        <w:jc w:val="center"/>
        <w:tblLayout w:type="fixed"/>
      </w:tblPr>
      <w:tblGrid>
        <w:gridCol w:w="1608"/>
        <w:gridCol w:w="1704"/>
        <w:gridCol w:w="1699"/>
        <w:gridCol w:w="1699"/>
        <w:gridCol w:w="854"/>
        <w:gridCol w:w="706"/>
        <w:gridCol w:w="1536"/>
      </w:tblGrid>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成本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6" w:lineRule="exact"/>
              <w:ind w:left="0" w:right="0" w:firstLine="0"/>
              <w:jc w:val="left"/>
              <w:rPr>
                <w:sz w:val="20"/>
                <w:szCs w:val="20"/>
              </w:rPr>
            </w:pPr>
            <w:r>
              <w:rPr>
                <w:b/>
                <w:bCs/>
                <w:color w:val="000000"/>
                <w:spacing w:val="0"/>
                <w:w w:val="100"/>
                <w:position w:val="0"/>
                <w:sz w:val="20"/>
                <w:szCs w:val="20"/>
              </w:rPr>
              <w:t>累计计入其他 综合收益的公 允价值变动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公允价值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本期股利收入</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2" w:lineRule="exact"/>
              <w:ind w:left="0" w:right="0" w:firstLine="0"/>
              <w:jc w:val="left"/>
              <w:rPr>
                <w:sz w:val="20"/>
                <w:szCs w:val="20"/>
              </w:rPr>
            </w:pPr>
            <w:r>
              <w:rPr>
                <w:b/>
                <w:bCs/>
                <w:color w:val="000000"/>
                <w:spacing w:val="0"/>
                <w:w w:val="100"/>
                <w:position w:val="0"/>
                <w:sz w:val="20"/>
                <w:szCs w:val="20"/>
              </w:rPr>
              <w:t>指定为以公 允价值计量 且其变动计 入其他综合 收益的原因</w:t>
            </w:r>
          </w:p>
        </w:tc>
      </w:tr>
      <w:tr>
        <w:trPr>
          <w:trHeight w:val="97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1" w:lineRule="exact"/>
              <w:ind w:left="0" w:right="0" w:firstLine="0"/>
              <w:jc w:val="left"/>
              <w:rPr>
                <w:sz w:val="20"/>
                <w:szCs w:val="20"/>
              </w:rPr>
            </w:pPr>
            <w:r>
              <w:rPr>
                <w:b/>
                <w:bCs/>
                <w:color w:val="000000"/>
                <w:spacing w:val="0"/>
                <w:w w:val="100"/>
                <w:position w:val="0"/>
                <w:sz w:val="20"/>
                <w:szCs w:val="20"/>
              </w:rPr>
              <w:t>本期 终止 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6" w:lineRule="exact"/>
              <w:ind w:left="0" w:right="0" w:firstLine="0"/>
              <w:jc w:val="left"/>
              <w:rPr>
                <w:sz w:val="20"/>
                <w:szCs w:val="20"/>
              </w:rPr>
            </w:pPr>
            <w:r>
              <w:rPr>
                <w:b/>
                <w:bCs/>
                <w:color w:val="000000"/>
                <w:spacing w:val="0"/>
                <w:w w:val="100"/>
                <w:position w:val="0"/>
                <w:sz w:val="20"/>
                <w:szCs w:val="20"/>
              </w:rPr>
              <w:t>期末 仍持 有</w:t>
            </w:r>
          </w:p>
        </w:tc>
        <w:tc>
          <w:tcPr>
            <w:vMerge/>
            <w:tcBorders>
              <w:left w:val="single" w:sz="4"/>
            </w:tcBorders>
            <w:shd w:val="clear" w:color="auto" w:fill="FFFFFF"/>
            <w:vAlign w:val="bottom"/>
          </w:tcPr>
          <w:p>
            <w:pPr/>
          </w:p>
        </w:tc>
      </w:tr>
      <w:tr>
        <w:trPr>
          <w:trHeight w:val="5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绵阳市绵州通</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3,117,917.73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565,044.09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3,682,961.82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战略性持有</w:t>
            </w:r>
          </w:p>
        </w:tc>
      </w:tr>
      <w:tr>
        <w:trPr>
          <w:trHeight w:val="115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南京瀚谟新能</w:t>
            </w:r>
          </w:p>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源产业投资合</w:t>
            </w:r>
          </w:p>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伙企业（有限</w:t>
            </w:r>
          </w:p>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战略性持有</w:t>
            </w:r>
          </w:p>
        </w:tc>
      </w:tr>
      <w:tr>
        <w:trPr>
          <w:trHeight w:val="86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8" w:lineRule="exact"/>
              <w:ind w:left="140" w:right="0" w:firstLine="0"/>
              <w:jc w:val="both"/>
              <w:rPr>
                <w:sz w:val="20"/>
                <w:szCs w:val="20"/>
              </w:rPr>
            </w:pPr>
            <w:r>
              <w:rPr>
                <w:color w:val="000000"/>
                <w:spacing w:val="0"/>
                <w:w w:val="100"/>
                <w:position w:val="0"/>
                <w:sz w:val="20"/>
                <w:szCs w:val="20"/>
              </w:rPr>
              <w:t>东莞市沃泰通 新能源有限公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65,855,140.00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65,877,407.23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战略性持有</w:t>
            </w:r>
          </w:p>
        </w:tc>
      </w:tr>
      <w:tr>
        <w:trPr>
          <w:trHeight w:val="115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5" w:lineRule="exact"/>
              <w:ind w:left="140" w:right="0" w:firstLine="0"/>
              <w:jc w:val="both"/>
              <w:rPr>
                <w:sz w:val="20"/>
                <w:szCs w:val="20"/>
              </w:rPr>
            </w:pPr>
            <w:r>
              <w:rPr>
                <w:color w:val="000000"/>
                <w:spacing w:val="0"/>
                <w:w w:val="100"/>
                <w:position w:val="0"/>
                <w:sz w:val="20"/>
                <w:szCs w:val="20"/>
              </w:rPr>
              <w:t>深圳国泰旗兴 产业投资基金 管理中心（有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战略性持有</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73,973,057.73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-4,412,688.68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69,560,369.05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pStyle w:val="Style30"/>
        <w:keepNext w:val="0"/>
        <w:keepLines w:val="0"/>
        <w:widowControl w:val="0"/>
        <w:shd w:val="clear" w:color="auto" w:fill="auto"/>
        <w:bidi w:val="0"/>
        <w:spacing w:before="0" w:after="0" w:line="240" w:lineRule="auto"/>
        <w:ind w:left="82" w:right="0" w:firstLine="0"/>
        <w:jc w:val="left"/>
        <w:rPr>
          <w:sz w:val="22"/>
          <w:szCs w:val="22"/>
        </w:rPr>
      </w:pP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2"/>
          <w:szCs w:val="22"/>
        </w:rPr>
        <w:t>、投资性房地产</w:t>
      </w:r>
    </w:p>
    <w:p>
      <w:pPr>
        <w:widowControl w:val="0"/>
        <w:spacing w:after="399" w:line="1" w:lineRule="exact"/>
      </w:pPr>
    </w:p>
    <w:p>
      <w:pPr>
        <w:pStyle w:val="Style13"/>
        <w:keepNext w:val="0"/>
        <w:keepLines w:val="0"/>
        <w:widowControl w:val="0"/>
        <w:shd w:val="clear" w:color="auto" w:fill="auto"/>
        <w:bidi w:val="0"/>
        <w:spacing w:before="0" w:after="280" w:line="240" w:lineRule="auto"/>
        <w:ind w:left="12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）采用公允价值计量模式的投资性房地产</w:t>
      </w:r>
      <w:r>
        <w:br w:type="page"/>
      </w:r>
    </w:p>
    <w:tbl>
      <w:tblPr>
        <w:tblOverlap w:val="never"/>
        <w:jc w:val="center"/>
        <w:tblLayout w:type="fixed"/>
      </w:tblPr>
      <w:tblGrid>
        <w:gridCol w:w="4162"/>
        <w:gridCol w:w="2554"/>
        <w:gridCol w:w="2467"/>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合计</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379,019,310.00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379,019,310.00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其中：成本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188,905,299.75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188,905,299.75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190,114,010.25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190,114,010.25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二、本年变动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-6,070,349.00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-6,070,349.00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-6,070,349.00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-6,070,349.00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三、年末余额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372,948,961.00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372,948,961.00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其中：成本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188,905,299.75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188,905,299.75</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公允价值变动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184,043,661.25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184,043,661.25</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1200" w:right="0" w:firstLine="0"/>
        <w:jc w:val="left"/>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）投资性房地产主要项目情况</w:t>
      </w:r>
    </w:p>
    <w:tbl>
      <w:tblPr>
        <w:tblOverlap w:val="never"/>
        <w:jc w:val="center"/>
        <w:tblLayout w:type="fixed"/>
      </w:tblPr>
      <w:tblGrid>
        <w:gridCol w:w="1181"/>
        <w:gridCol w:w="1416"/>
        <w:gridCol w:w="1310"/>
        <w:gridCol w:w="1666"/>
        <w:gridCol w:w="1843"/>
        <w:gridCol w:w="1843"/>
        <w:gridCol w:w="994"/>
        <w:gridCol w:w="859"/>
      </w:tblGrid>
      <w:tr>
        <w:trPr>
          <w:trHeight w:val="11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项目名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地理位置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right"/>
              <w:rPr>
                <w:sz w:val="20"/>
                <w:szCs w:val="20"/>
              </w:rPr>
            </w:pPr>
            <w:r>
              <w:rPr>
                <w:b/>
                <w:bCs/>
                <w:color w:val="000000"/>
                <w:spacing w:val="0"/>
                <w:w w:val="100"/>
                <w:position w:val="0"/>
                <w:sz w:val="20"/>
                <w:szCs w:val="20"/>
              </w:rPr>
              <w:t>建筑面积 （平方米）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报告期租金收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期末公允价值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期初公允价值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0" w:lineRule="exact"/>
              <w:ind w:left="0" w:right="0" w:firstLine="0"/>
              <w:jc w:val="center"/>
              <w:rPr>
                <w:sz w:val="20"/>
                <w:szCs w:val="20"/>
              </w:rPr>
            </w:pPr>
            <w:r>
              <w:rPr>
                <w:b/>
                <w:bCs/>
                <w:color w:val="000000"/>
                <w:spacing w:val="0"/>
                <w:w w:val="100"/>
                <w:position w:val="0"/>
                <w:sz w:val="20"/>
                <w:szCs w:val="20"/>
              </w:rPr>
              <w:t>公允价 值变动 幅度 （</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5" w:lineRule="exact"/>
              <w:ind w:left="0" w:right="0" w:firstLine="0"/>
              <w:jc w:val="right"/>
              <w:rPr>
                <w:sz w:val="20"/>
                <w:szCs w:val="20"/>
              </w:rPr>
            </w:pPr>
            <w:r>
              <w:rPr>
                <w:b/>
                <w:bCs/>
                <w:color w:val="000000"/>
                <w:spacing w:val="0"/>
                <w:w w:val="100"/>
                <w:position w:val="0"/>
                <w:sz w:val="20"/>
                <w:szCs w:val="20"/>
              </w:rPr>
              <w:t>公允 价值 变动 原因</w:t>
            </w:r>
          </w:p>
        </w:tc>
      </w:tr>
      <w:tr>
        <w:trPr>
          <w:trHeight w:val="11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140" w:right="0" w:firstLine="0"/>
              <w:jc w:val="left"/>
            </w:pPr>
            <w:r>
              <w:rPr>
                <w:color w:val="000000"/>
                <w:spacing w:val="0"/>
                <w:w w:val="100"/>
                <w:position w:val="0"/>
                <w:sz w:val="20"/>
                <w:szCs w:val="20"/>
              </w:rPr>
              <w:t>深圳软件 园</w:t>
            </w:r>
            <w:r>
              <w:rPr>
                <w:rFonts w:ascii="Times New Roman" w:eastAsia="Times New Roman" w:hAnsi="Times New Roman" w:cs="Times New Roman"/>
                <w:color w:val="000000"/>
                <w:spacing w:val="0"/>
                <w:w w:val="100"/>
                <w:position w:val="0"/>
              </w:rPr>
              <w:t>3</w:t>
            </w:r>
            <w:r>
              <w:rPr>
                <w:color w:val="000000"/>
                <w:spacing w:val="0"/>
                <w:w w:val="100"/>
                <w:position w:val="0"/>
                <w:sz w:val="20"/>
                <w:szCs w:val="20"/>
              </w:rPr>
              <w:t xml:space="preserve">栋 </w:t>
            </w:r>
            <w:r>
              <w:rPr>
                <w:rFonts w:ascii="Times New Roman" w:eastAsia="Times New Roman" w:hAnsi="Times New Roman" w:cs="Times New Roman"/>
                <w:color w:val="000000"/>
                <w:spacing w:val="0"/>
                <w:w w:val="100"/>
                <w:position w:val="0"/>
              </w:rPr>
              <w:t>301</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5" w:lineRule="exact"/>
              <w:ind w:left="0" w:right="0" w:firstLine="0"/>
              <w:jc w:val="both"/>
              <w:rPr>
                <w:sz w:val="20"/>
                <w:szCs w:val="20"/>
              </w:rPr>
            </w:pPr>
            <w:r>
              <w:rPr>
                <w:color w:val="000000"/>
                <w:spacing w:val="0"/>
                <w:w w:val="100"/>
                <w:position w:val="0"/>
                <w:sz w:val="20"/>
                <w:szCs w:val="20"/>
              </w:rPr>
              <w:t>深圳市南 山区高新 科技产业 园区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1,584.55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1,713,366.49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40,089,115.00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40,406,025.00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right"/>
              <w:rPr>
                <w:sz w:val="20"/>
                <w:szCs w:val="20"/>
              </w:rPr>
            </w:pPr>
            <w:r>
              <w:rPr>
                <w:color w:val="000000"/>
                <w:spacing w:val="0"/>
                <w:w w:val="100"/>
                <w:position w:val="0"/>
                <w:sz w:val="20"/>
                <w:szCs w:val="20"/>
              </w:rPr>
              <w:t>市场 租金 波动 影响</w:t>
            </w:r>
          </w:p>
        </w:tc>
      </w:tr>
      <w:tr>
        <w:trPr>
          <w:trHeight w:val="114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国民技术 大厦</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r>
          </w:p>
          <w:p>
            <w:pPr>
              <w:pStyle w:val="Style2"/>
              <w:keepNext w:val="0"/>
              <w:keepLines w:val="0"/>
              <w:widowControl w:val="0"/>
              <w:shd w:val="clear" w:color="auto" w:fill="auto"/>
              <w:tabs>
                <w:tab w:pos="586" w:val="left"/>
              </w:tabs>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rPr>
              <w:t>8-17</w:t>
            </w:r>
          </w:p>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深圳市西丽 街道宝深 路国民技 术大厦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15,593.31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9,354,923.17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332,859,846.00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338,613,285.00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5" w:lineRule="exact"/>
              <w:ind w:left="0" w:right="0" w:firstLine="0"/>
              <w:jc w:val="right"/>
              <w:rPr>
                <w:sz w:val="20"/>
                <w:szCs w:val="20"/>
              </w:rPr>
            </w:pPr>
            <w:r>
              <w:rPr>
                <w:color w:val="000000"/>
                <w:spacing w:val="0"/>
                <w:w w:val="100"/>
                <w:position w:val="0"/>
                <w:sz w:val="20"/>
                <w:szCs w:val="20"/>
              </w:rPr>
              <w:t>市场 租金 波动 影响</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17,177.86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11,068,289.66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372,948,961.00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379,019,310.00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after="79" w:line="1" w:lineRule="exact"/>
      </w:pPr>
    </w:p>
    <w:p>
      <w:pPr>
        <w:pStyle w:val="Style13"/>
        <w:keepNext w:val="0"/>
        <w:keepLines w:val="0"/>
        <w:widowControl w:val="0"/>
        <w:shd w:val="clear" w:color="auto" w:fill="auto"/>
        <w:bidi w:val="0"/>
        <w:spacing w:before="0" w:after="420" w:line="240" w:lineRule="auto"/>
        <w:ind w:left="1200" w:right="0" w:firstLine="0"/>
        <w:jc w:val="left"/>
      </w:pPr>
      <w:r>
        <w:rPr>
          <w:color w:val="000000"/>
          <w:spacing w:val="0"/>
          <w:w w:val="100"/>
          <w:position w:val="0"/>
        </w:rPr>
        <w:t>注：截至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日投资性房地产所有权受限制情况见本附注五、</w:t>
      </w:r>
      <w:r>
        <w:rPr>
          <w:rFonts w:ascii="Times New Roman" w:eastAsia="Times New Roman" w:hAnsi="Times New Roman" w:cs="Times New Roman"/>
          <w:color w:val="000000"/>
          <w:spacing w:val="0"/>
          <w:w w:val="100"/>
          <w:position w:val="0"/>
        </w:rPr>
        <w:t>58</w:t>
      </w:r>
      <w:r>
        <w:rPr>
          <w:color w:val="000000"/>
          <w:spacing w:val="0"/>
          <w:w w:val="100"/>
          <w:position w:val="0"/>
        </w:rPr>
        <w:t>之说明。</w:t>
      </w:r>
    </w:p>
    <w:p>
      <w:pPr>
        <w:pStyle w:val="Style37"/>
        <w:keepNext/>
        <w:keepLines/>
        <w:widowControl w:val="0"/>
        <w:shd w:val="clear" w:color="auto" w:fill="auto"/>
        <w:bidi w:val="0"/>
        <w:spacing w:before="0" w:after="320" w:line="240" w:lineRule="auto"/>
        <w:ind w:left="0" w:right="0" w:firstLine="74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887"/>
      <w:bookmarkEnd w:id="888"/>
      <w:bookmarkEnd w:id="890"/>
    </w:p>
    <w:tbl>
      <w:tblPr>
        <w:tblOverlap w:val="never"/>
        <w:jc w:val="center"/>
        <w:tblLayout w:type="fixed"/>
      </w:tblPr>
      <w:tblGrid>
        <w:gridCol w:w="3326"/>
        <w:gridCol w:w="2976"/>
        <w:gridCol w:w="2592"/>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tabs>
                <w:tab w:pos="586" w:val="left"/>
              </w:tabs>
              <w:bidi w:val="0"/>
              <w:spacing w:before="0" w:after="0" w:line="240" w:lineRule="auto"/>
              <w:ind w:left="0" w:right="0" w:firstLine="0"/>
              <w:jc w:val="center"/>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423,159,536.56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363,036,571.69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tabs>
                <w:tab w:pos="658" w:val="left"/>
              </w:tabs>
              <w:bidi w:val="0"/>
              <w:spacing w:before="0" w:after="0" w:line="240" w:lineRule="auto"/>
              <w:ind w:left="0" w:right="0" w:firstLine="0"/>
              <w:jc w:val="center"/>
              <w:rPr>
                <w:sz w:val="20"/>
                <w:szCs w:val="20"/>
              </w:rPr>
            </w:pPr>
            <w:r>
              <w:rPr>
                <w:b/>
                <w:bCs/>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b/>
                <w:bCs/>
                <w:color w:val="000000"/>
                <w:spacing w:val="0"/>
                <w:w w:val="100"/>
                <w:position w:val="0"/>
                <w:sz w:val="20"/>
                <w:szCs w:val="20"/>
              </w:rPr>
              <w:t>423,159,536.56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b/>
                <w:bCs/>
                <w:color w:val="000000"/>
                <w:spacing w:val="0"/>
                <w:w w:val="100"/>
                <w:position w:val="0"/>
                <w:sz w:val="20"/>
                <w:szCs w:val="20"/>
              </w:rPr>
              <w:t>363,036,571.69</w:t>
            </w:r>
          </w:p>
        </w:tc>
      </w:tr>
    </w:tbl>
    <w:p>
      <w:pPr>
        <w:widowControl w:val="0"/>
        <w:spacing w:after="79" w:line="1" w:lineRule="exact"/>
      </w:pPr>
    </w:p>
    <w:p>
      <w:pPr>
        <w:pStyle w:val="Style13"/>
        <w:keepNext w:val="0"/>
        <w:keepLines w:val="0"/>
        <w:widowControl w:val="0"/>
        <w:shd w:val="clear" w:color="auto" w:fill="auto"/>
        <w:bidi w:val="0"/>
        <w:spacing w:before="0" w:after="180" w:line="240" w:lineRule="auto"/>
        <w:ind w:left="12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）固定资产及累计折旧</w:t>
      </w:r>
    </w:p>
    <w:p>
      <w:pPr>
        <w:pStyle w:val="Style13"/>
        <w:keepNext w:val="0"/>
        <w:keepLines w:val="0"/>
        <w:widowControl w:val="0"/>
        <w:shd w:val="clear" w:color="auto" w:fill="auto"/>
        <w:bidi w:val="0"/>
        <w:spacing w:before="0" w:after="180" w:line="240" w:lineRule="auto"/>
        <w:ind w:left="1200" w:right="0" w:firstLine="0"/>
        <w:jc w:val="both"/>
      </w:pPr>
      <w:r>
        <w:rPr>
          <w:color w:val="000000"/>
          <w:spacing w:val="0"/>
          <w:w w:val="100"/>
          <w:position w:val="0"/>
        </w:rPr>
        <w:t>①固定资产情况</w:t>
      </w:r>
    </w:p>
    <w:p>
      <w:pPr>
        <w:pStyle w:val="Style13"/>
        <w:keepNext w:val="0"/>
        <w:keepLines w:val="0"/>
        <w:widowControl w:val="0"/>
        <w:numPr>
          <w:ilvl w:val="0"/>
          <w:numId w:val="45"/>
        </w:numPr>
        <w:shd w:val="clear" w:color="auto" w:fill="auto"/>
        <w:bidi w:val="0"/>
        <w:spacing w:before="0" w:after="0" w:line="240" w:lineRule="auto"/>
        <w:ind w:left="1200" w:right="0" w:firstLine="0"/>
        <w:jc w:val="left"/>
        <w:sectPr>
          <w:footnotePr>
            <w:pos w:val="pageBottom"/>
            <w:numFmt w:val="decimal"/>
            <w:numRestart w:val="continuous"/>
          </w:footnotePr>
          <w:pgSz w:w="11900" w:h="16840"/>
          <w:pgMar w:top="1436" w:right="413" w:bottom="1954" w:left="375" w:header="0" w:footer="3" w:gutter="0"/>
          <w:cols w:space="720"/>
          <w:noEndnote/>
          <w:rtlGutter w:val="0"/>
          <w:docGrid w:linePitch="360"/>
        </w:sectPr>
      </w:pPr>
      <w:bookmarkStart w:id="891" w:name="bookmark891"/>
      <w:bookmarkEnd w:id="891"/>
      <w:r>
        <w:rPr>
          <w:color w:val="000000"/>
          <w:spacing w:val="0"/>
          <w:w w:val="100"/>
          <w:position w:val="0"/>
        </w:rPr>
        <w:t>持有自用的固定资产</w:t>
      </w:r>
    </w:p>
    <w:p>
      <w:pPr>
        <w:pStyle w:val="Style13"/>
        <w:keepNext w:val="0"/>
        <w:keepLines w:val="0"/>
        <w:framePr w:w="1368" w:h="278" w:wrap="none" w:vAnchor="text" w:hAnchor="page" w:x="3894" w:y="174"/>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房屋及建筑物</w:t>
      </w:r>
    </w:p>
    <w:p>
      <w:pPr>
        <w:pStyle w:val="Style13"/>
        <w:keepNext w:val="0"/>
        <w:keepLines w:val="0"/>
        <w:framePr w:w="1589" w:h="595" w:wrap="none" w:vAnchor="text" w:hAnchor="page" w:x="5507" w:y="21"/>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机器设备及工具</w:t>
        <w:br/>
        <w:t>设备</w:t>
      </w:r>
    </w:p>
    <w:p>
      <w:pPr>
        <w:pStyle w:val="Style13"/>
        <w:keepNext w:val="0"/>
        <w:keepLines w:val="0"/>
        <w:framePr w:w="922" w:h="288" w:wrap="none" w:vAnchor="text" w:hAnchor="page" w:x="7662" w:y="169"/>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运输工具</w:t>
      </w:r>
    </w:p>
    <w:p>
      <w:pPr>
        <w:widowControl w:val="0"/>
        <w:spacing w:after="172" w:line="1" w:lineRule="exact"/>
      </w:pPr>
    </w:p>
    <w:p>
      <w:pPr>
        <w:widowControl w:val="0"/>
        <w:spacing w:line="1" w:lineRule="exact"/>
        <w:sectPr>
          <w:footnotePr>
            <w:pos w:val="pageBottom"/>
            <w:numFmt w:val="decimal"/>
            <w:numRestart w:val="continuous"/>
          </w:footnotePr>
          <w:type w:val="continuous"/>
          <w:pgSz w:w="11900" w:h="16840"/>
          <w:pgMar w:top="1152" w:right="413" w:bottom="1369" w:left="375" w:header="0" w:footer="3" w:gutter="0"/>
          <w:cols w:space="720"/>
          <w:noEndnote/>
          <w:rtlGutter w:val="0"/>
          <w:docGrid w:linePitch="360"/>
        </w:sectPr>
      </w:pPr>
    </w:p>
    <w:tbl>
      <w:tblPr>
        <w:tblOverlap w:val="never"/>
        <w:jc w:val="center"/>
        <w:tblLayout w:type="fixed"/>
      </w:tblPr>
      <w:tblGrid>
        <w:gridCol w:w="2630"/>
        <w:gridCol w:w="1699"/>
        <w:gridCol w:w="1843"/>
        <w:gridCol w:w="1704"/>
        <w:gridCol w:w="1733"/>
      </w:tblGrid>
      <w:tr>
        <w:trPr>
          <w:trHeight w:val="60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20"/>
                <w:szCs w:val="20"/>
              </w:rPr>
            </w:pPr>
            <w:r>
              <w:rPr>
                <w:b/>
                <w:bCs/>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机器设备及工具 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276,663,691.79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191,131,920.16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14,528,309.97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482,323,921.92</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、本年增加金额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8,742,620.25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78,747,376.34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5,090,758.07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92,580,754.66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19,058,560.48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5,090,758.07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24,149,318.55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8,742,620.25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59,688,815.86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68,431,436.11</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4,355,565.89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2,872,822.72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7,228,388.61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4,355,565.89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2,872,822.72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7,228,388.61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285,406,312.04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265,523,730.61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16,746,245.32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567,676,287.97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23,786,774.94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78,536,130.53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12,080,007.28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114,402,912.75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、本年增加金额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10,249,248.65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19,991,924.94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842,640.39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31,083,813.98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10,249,248.65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19,991,924.94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842,640.39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31,083,813.98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4,033,697.87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2,579,697.12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6,613,394.99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4,033,697.87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2,579,697.12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6,613,394.99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34,036,023.59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94,494,357.60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10,342,950.55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138,873,331.74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309,026.81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4,110,085.89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465,324.78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4,884,437.48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986,745.34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4,756.08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991,501.42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986,745.34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4,756.08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991,501.42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48,865.28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183,653.95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232,519.23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48,865.28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183,653.95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232,519.23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309,026.81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5,047,965.95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286,426.91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5,643,419.67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251,061,261.64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165,981,407.06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6,116,867.86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423,159,536.56</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252,567,890.04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108,485,703.74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1,982,977.91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363,036,571.69</w:t>
            </w:r>
          </w:p>
        </w:tc>
      </w:tr>
    </w:tbl>
    <w:p>
      <w:pPr>
        <w:widowControl w:val="0"/>
        <w:spacing w:after="79" w:line="1" w:lineRule="exact"/>
      </w:pPr>
    </w:p>
    <w:p>
      <w:pPr>
        <w:pStyle w:val="Style13"/>
        <w:keepNext w:val="0"/>
        <w:keepLines w:val="0"/>
        <w:widowControl w:val="0"/>
        <w:numPr>
          <w:ilvl w:val="0"/>
          <w:numId w:val="45"/>
        </w:numPr>
        <w:shd w:val="clear" w:color="auto" w:fill="auto"/>
        <w:bidi w:val="0"/>
        <w:spacing w:before="0" w:after="80" w:line="240" w:lineRule="auto"/>
        <w:ind w:left="0" w:right="0" w:firstLine="520"/>
        <w:jc w:val="left"/>
      </w:pPr>
      <w:bookmarkStart w:id="892" w:name="bookmark892"/>
      <w:bookmarkEnd w:id="892"/>
      <w:r>
        <w:rPr>
          <w:color w:val="000000"/>
          <w:spacing w:val="0"/>
          <w:w w:val="100"/>
          <w:position w:val="0"/>
        </w:rPr>
        <w:t>经营租赁租出的固定资产</w:t>
      </w:r>
    </w:p>
    <w:tbl>
      <w:tblPr>
        <w:tblOverlap w:val="never"/>
        <w:jc w:val="center"/>
        <w:tblLayout w:type="fixed"/>
      </w:tblPr>
      <w:tblGrid>
        <w:gridCol w:w="3912"/>
        <w:gridCol w:w="2755"/>
        <w:gridCol w:w="2578"/>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tabs>
                <w:tab w:pos="586" w:val="left"/>
              </w:tabs>
              <w:bidi w:val="0"/>
              <w:spacing w:before="0" w:after="0" w:line="240" w:lineRule="auto"/>
              <w:ind w:left="0" w:right="0" w:firstLine="0"/>
              <w:jc w:val="center"/>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机器设备及工具设备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12"/>
        <w:gridCol w:w="2755"/>
        <w:gridCol w:w="2578"/>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机器设备及工具设备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5,153,846.16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5,153,846.16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5,153,846.16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5,153,846.16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5,153,846.16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5,153,846.16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5,153,846.16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5,153,846.16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18" w:right="0" w:firstLine="0"/>
        <w:jc w:val="left"/>
        <w:rPr>
          <w:sz w:val="22"/>
          <w:szCs w:val="22"/>
        </w:rPr>
      </w:pPr>
      <w:r>
        <w:rPr>
          <w:color w:val="000000"/>
          <w:spacing w:val="0"/>
          <w:w w:val="100"/>
          <w:position w:val="0"/>
          <w:sz w:val="22"/>
          <w:szCs w:val="22"/>
        </w:rPr>
        <w:t>②暂时闲置的固定资产情况</w:t>
      </w:r>
    </w:p>
    <w:p>
      <w:pPr>
        <w:widowControl w:val="0"/>
        <w:spacing w:after="79" w:line="1" w:lineRule="exact"/>
      </w:pPr>
    </w:p>
    <w:p>
      <w:pPr>
        <w:widowControl w:val="0"/>
        <w:spacing w:line="1" w:lineRule="exact"/>
      </w:pPr>
    </w:p>
    <w:tbl>
      <w:tblPr>
        <w:tblOverlap w:val="never"/>
        <w:jc w:val="center"/>
        <w:tblLayout w:type="fixed"/>
      </w:tblPr>
      <w:tblGrid>
        <w:gridCol w:w="2213"/>
        <w:gridCol w:w="1594"/>
        <w:gridCol w:w="1560"/>
        <w:gridCol w:w="1560"/>
        <w:gridCol w:w="1560"/>
        <w:gridCol w:w="950"/>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tabs>
                <w:tab w:pos="586" w:val="left"/>
              </w:tabs>
              <w:bidi w:val="0"/>
              <w:spacing w:before="0" w:after="0" w:line="240" w:lineRule="auto"/>
              <w:ind w:left="0" w:right="0" w:firstLine="0"/>
              <w:jc w:val="center"/>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账面原值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累计折旧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20"/>
                <w:szCs w:val="20"/>
              </w:rPr>
            </w:pPr>
            <w:r>
              <w:rPr>
                <w:b/>
                <w:bCs/>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20"/>
                <w:szCs w:val="20"/>
              </w:rPr>
            </w:pPr>
            <w:r>
              <w:rPr>
                <w:b/>
                <w:bCs/>
                <w:color w:val="000000"/>
                <w:spacing w:val="0"/>
                <w:w w:val="100"/>
                <w:position w:val="0"/>
                <w:sz w:val="20"/>
                <w:szCs w:val="20"/>
              </w:rPr>
              <w:t>备注</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8" w:lineRule="exact"/>
              <w:ind w:left="320" w:right="0" w:firstLine="0"/>
              <w:jc w:val="left"/>
              <w:rPr>
                <w:sz w:val="20"/>
                <w:szCs w:val="20"/>
              </w:rPr>
            </w:pPr>
            <w:r>
              <w:rPr>
                <w:color w:val="000000"/>
                <w:spacing w:val="0"/>
                <w:w w:val="100"/>
                <w:position w:val="0"/>
                <w:sz w:val="20"/>
                <w:szCs w:val="20"/>
              </w:rPr>
              <w:t>机器设备及工具设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6,490,106.63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3,408,928.75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3,079,638.00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1,539.88</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6,490,106.63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3,408,928.75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3,079,638.00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b/>
                <w:bCs/>
                <w:color w:val="000000"/>
                <w:spacing w:val="0"/>
                <w:w w:val="100"/>
                <w:position w:val="0"/>
                <w:sz w:val="20"/>
                <w:szCs w:val="20"/>
              </w:rPr>
              <w:t>1,539.88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3"/>
        <w:keepNext w:val="0"/>
        <w:keepLines w:val="0"/>
        <w:widowControl w:val="0"/>
        <w:numPr>
          <w:ilvl w:val="0"/>
          <w:numId w:val="47"/>
        </w:numPr>
        <w:shd w:val="clear" w:color="auto" w:fill="auto"/>
        <w:tabs>
          <w:tab w:pos="931" w:val="left"/>
        </w:tabs>
        <w:bidi w:val="0"/>
        <w:spacing w:before="0" w:after="200" w:line="240" w:lineRule="auto"/>
        <w:ind w:left="0" w:right="0" w:firstLine="520"/>
        <w:jc w:val="left"/>
      </w:pPr>
      <w:bookmarkStart w:id="893" w:name="bookmark893"/>
      <w:bookmarkEnd w:id="893"/>
      <w:r>
        <w:rPr>
          <w:color w:val="000000"/>
          <w:spacing w:val="0"/>
          <w:w w:val="100"/>
          <w:position w:val="0"/>
        </w:rPr>
        <w:t>期末无通过融资租赁租入的固定资产</w:t>
      </w:r>
    </w:p>
    <w:p>
      <w:pPr>
        <w:pStyle w:val="Style13"/>
        <w:keepNext w:val="0"/>
        <w:keepLines w:val="0"/>
        <w:widowControl w:val="0"/>
        <w:numPr>
          <w:ilvl w:val="0"/>
          <w:numId w:val="47"/>
        </w:numPr>
        <w:shd w:val="clear" w:color="auto" w:fill="auto"/>
        <w:tabs>
          <w:tab w:pos="931" w:val="left"/>
        </w:tabs>
        <w:bidi w:val="0"/>
        <w:spacing w:before="0" w:after="200" w:line="240" w:lineRule="auto"/>
        <w:ind w:left="0" w:right="0" w:firstLine="520"/>
        <w:jc w:val="left"/>
      </w:pPr>
      <w:bookmarkStart w:id="894" w:name="bookmark894"/>
      <w:bookmarkEnd w:id="894"/>
      <w:r>
        <w:rPr>
          <w:color w:val="000000"/>
          <w:spacing w:val="0"/>
          <w:w w:val="100"/>
          <w:position w:val="0"/>
        </w:rPr>
        <w:t>期末无未办妥产权证书的固定资产</w:t>
      </w:r>
    </w:p>
    <w:p>
      <w:pPr>
        <w:pStyle w:val="Style13"/>
        <w:keepNext w:val="0"/>
        <w:keepLines w:val="0"/>
        <w:widowControl w:val="0"/>
        <w:numPr>
          <w:ilvl w:val="0"/>
          <w:numId w:val="47"/>
        </w:numPr>
        <w:shd w:val="clear" w:color="auto" w:fill="auto"/>
        <w:tabs>
          <w:tab w:pos="931" w:val="left"/>
        </w:tabs>
        <w:bidi w:val="0"/>
        <w:spacing w:before="0" w:after="440" w:line="240" w:lineRule="auto"/>
        <w:ind w:left="0" w:right="0" w:firstLine="520"/>
        <w:jc w:val="left"/>
      </w:pPr>
      <w:bookmarkStart w:id="895" w:name="bookmark895"/>
      <w:bookmarkEnd w:id="895"/>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日固定资产所有权受限制情况见本附注五、</w:t>
      </w:r>
      <w:r>
        <w:rPr>
          <w:rFonts w:ascii="Times New Roman" w:eastAsia="Times New Roman" w:hAnsi="Times New Roman" w:cs="Times New Roman"/>
          <w:color w:val="000000"/>
          <w:spacing w:val="0"/>
          <w:w w:val="100"/>
          <w:position w:val="0"/>
        </w:rPr>
        <w:t>58</w:t>
      </w:r>
      <w:r>
        <w:rPr>
          <w:color w:val="000000"/>
          <w:spacing w:val="0"/>
          <w:w w:val="100"/>
          <w:position w:val="0"/>
        </w:rPr>
        <w:t>之说明</w:t>
      </w:r>
    </w:p>
    <w:p>
      <w:pPr>
        <w:pStyle w:val="Style13"/>
        <w:keepNext w:val="0"/>
        <w:keepLines w:val="0"/>
        <w:widowControl w:val="0"/>
        <w:shd w:val="clear" w:color="auto" w:fill="auto"/>
        <w:bidi w:val="0"/>
        <w:spacing w:before="0" w:after="320" w:line="240" w:lineRule="auto"/>
        <w:ind w:left="0" w:right="0" w:firstLine="0"/>
        <w:jc w:val="left"/>
      </w:pPr>
      <w:bookmarkStart w:id="896" w:name="bookmark896"/>
      <w:r>
        <w:rPr>
          <w:rFonts w:ascii="Times New Roman" w:eastAsia="Times New Roman" w:hAnsi="Times New Roman" w:cs="Times New Roman"/>
          <w:b/>
          <w:bCs/>
          <w:color w:val="000000"/>
          <w:spacing w:val="0"/>
          <w:w w:val="100"/>
          <w:position w:val="0"/>
        </w:rPr>
        <w:t>1</w:t>
      </w:r>
      <w:bookmarkEnd w:id="896"/>
      <w:r>
        <w:rPr>
          <w:rFonts w:ascii="Times New Roman" w:eastAsia="Times New Roman" w:hAnsi="Times New Roman" w:cs="Times New Roman"/>
          <w:b/>
          <w:bCs/>
          <w:color w:val="000000"/>
          <w:spacing w:val="0"/>
          <w:w w:val="100"/>
          <w:position w:val="0"/>
        </w:rPr>
        <w:t>4</w:t>
      </w:r>
      <w:r>
        <w:rPr>
          <w:b/>
          <w:bCs/>
          <w:color w:val="000000"/>
          <w:spacing w:val="0"/>
          <w:w w:val="100"/>
          <w:position w:val="0"/>
        </w:rPr>
        <w:t>、在建工程</w:t>
      </w:r>
    </w:p>
    <w:tbl>
      <w:tblPr>
        <w:tblOverlap w:val="never"/>
        <w:jc w:val="center"/>
        <w:tblLayout w:type="fixed"/>
      </w:tblPr>
      <w:tblGrid>
        <w:gridCol w:w="3326"/>
        <w:gridCol w:w="2976"/>
        <w:gridCol w:w="2592"/>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tabs>
                <w:tab w:pos="586" w:val="left"/>
              </w:tabs>
              <w:bidi w:val="0"/>
              <w:spacing w:before="0" w:after="0" w:line="240" w:lineRule="auto"/>
              <w:ind w:left="0" w:right="0" w:firstLine="0"/>
              <w:jc w:val="center"/>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45,258,895.41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27,439,978.77</w:t>
            </w:r>
          </w:p>
        </w:tc>
      </w:tr>
    </w:tbl>
    <w:p>
      <w:pPr>
        <w:widowControl w:val="0"/>
        <w:spacing w:line="1" w:lineRule="exact"/>
      </w:pPr>
      <w:r>
        <w:br w:type="page"/>
      </w:r>
    </w:p>
    <w:tbl>
      <w:tblPr>
        <w:tblOverlap w:val="never"/>
        <w:jc w:val="center"/>
        <w:tblLayout w:type="fixed"/>
      </w:tblPr>
      <w:tblGrid>
        <w:gridCol w:w="1771"/>
        <w:gridCol w:w="1555"/>
        <w:gridCol w:w="2976"/>
        <w:gridCol w:w="2592"/>
      </w:tblGrid>
      <w:tr>
        <w:trPr>
          <w:trHeight w:val="48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7,783,624.33</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b/>
                <w:bCs/>
                <w:color w:val="000000"/>
                <w:spacing w:val="0"/>
                <w:w w:val="100"/>
                <w:position w:val="0"/>
                <w:sz w:val="20"/>
                <w:szCs w:val="20"/>
              </w:rPr>
              <w:t>合</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45,258,895.41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35,223,603.10</w:t>
            </w:r>
          </w:p>
        </w:tc>
      </w:tr>
    </w:tbl>
    <w:p>
      <w:pPr>
        <w:pStyle w:val="Style30"/>
        <w:keepNext w:val="0"/>
        <w:keepLines w:val="0"/>
        <w:widowControl w:val="0"/>
        <w:shd w:val="clear" w:color="auto" w:fill="auto"/>
        <w:bidi w:val="0"/>
        <w:spacing w:before="0" w:after="0" w:line="240" w:lineRule="auto"/>
        <w:ind w:left="96"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）在建工程情况</w:t>
      </w:r>
    </w:p>
    <w:p>
      <w:pPr>
        <w:widowControl w:val="0"/>
        <w:spacing w:after="79" w:line="1" w:lineRule="exact"/>
      </w:pPr>
    </w:p>
    <w:p>
      <w:pPr>
        <w:widowControl w:val="0"/>
        <w:spacing w:line="1" w:lineRule="exact"/>
      </w:pPr>
    </w:p>
    <w:tbl>
      <w:tblPr>
        <w:tblOverlap w:val="never"/>
        <w:jc w:val="center"/>
        <w:tblLayout w:type="fixed"/>
      </w:tblPr>
      <w:tblGrid>
        <w:gridCol w:w="2074"/>
        <w:gridCol w:w="1574"/>
        <w:gridCol w:w="706"/>
        <w:gridCol w:w="1560"/>
        <w:gridCol w:w="1560"/>
        <w:gridCol w:w="710"/>
        <w:gridCol w:w="1642"/>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58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right"/>
              <w:rPr>
                <w:sz w:val="20"/>
                <w:szCs w:val="20"/>
              </w:rPr>
            </w:pPr>
            <w:r>
              <w:rPr>
                <w:b/>
                <w:bCs/>
                <w:color w:val="000000"/>
                <w:spacing w:val="0"/>
                <w:w w:val="100"/>
                <w:position w:val="0"/>
                <w:sz w:val="20"/>
                <w:szCs w:val="20"/>
              </w:rPr>
              <w:t>减值</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right"/>
              <w:rPr>
                <w:sz w:val="20"/>
                <w:szCs w:val="20"/>
              </w:rPr>
            </w:pPr>
            <w:r>
              <w:rPr>
                <w:b/>
                <w:bCs/>
                <w:color w:val="000000"/>
                <w:spacing w:val="0"/>
                <w:w w:val="100"/>
                <w:position w:val="0"/>
                <w:sz w:val="20"/>
                <w:szCs w:val="20"/>
              </w:rPr>
              <w:t>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石墨化</w:t>
            </w:r>
            <w:r>
              <w:rPr>
                <w:rFonts w:ascii="Times New Roman" w:eastAsia="Times New Roman" w:hAnsi="Times New Roman" w:cs="Times New Roman"/>
                <w:color w:val="000000"/>
                <w:spacing w:val="0"/>
                <w:w w:val="100"/>
                <w:position w:val="0"/>
                <w:sz w:val="22"/>
                <w:szCs w:val="22"/>
              </w:rPr>
              <w:t>B</w:t>
            </w:r>
            <w:r>
              <w:rPr>
                <w:color w:val="000000"/>
                <w:spacing w:val="0"/>
                <w:w w:val="100"/>
                <w:position w:val="0"/>
                <w:sz w:val="20"/>
                <w:szCs w:val="20"/>
              </w:rPr>
              <w:t>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27,439,978.77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27,439,978.77</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8" w:lineRule="exact"/>
              <w:ind w:left="240" w:right="0" w:firstLine="0"/>
              <w:jc w:val="left"/>
              <w:rPr>
                <w:sz w:val="20"/>
                <w:szCs w:val="20"/>
              </w:rPr>
            </w:pPr>
            <w:r>
              <w:rPr>
                <w:color w:val="000000"/>
                <w:spacing w:val="0"/>
                <w:w w:val="100"/>
                <w:position w:val="0"/>
                <w:sz w:val="20"/>
                <w:szCs w:val="20"/>
              </w:rPr>
              <w:t>包覆反应釜及配套 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14,979,034.09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14,979,034.09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专用机器设备安装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23,611,504.42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23,611,504.42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成品筛分线安装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3,024,610.96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3,024,610.96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机器设备改造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3,225,947.78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3,225,947.78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实验室改造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417,798.16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417,798.16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b/>
                <w:bCs/>
                <w:color w:val="000000"/>
                <w:spacing w:val="0"/>
                <w:w w:val="100"/>
                <w:position w:val="0"/>
                <w:sz w:val="20"/>
                <w:szCs w:val="20"/>
              </w:rPr>
              <w:t>45,258,895.41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b/>
                <w:bCs/>
                <w:color w:val="000000"/>
                <w:spacing w:val="0"/>
                <w:w w:val="100"/>
                <w:position w:val="0"/>
                <w:sz w:val="20"/>
                <w:szCs w:val="20"/>
              </w:rPr>
              <w:t>45,258,895.41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27,439,978.77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27,439,978.77</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）重要在建工程项目本年变动情况</w:t>
      </w:r>
    </w:p>
    <w:tbl>
      <w:tblPr>
        <w:tblOverlap w:val="never"/>
        <w:jc w:val="center"/>
        <w:tblLayout w:type="fixed"/>
      </w:tblPr>
      <w:tblGrid>
        <w:gridCol w:w="1560"/>
        <w:gridCol w:w="1296"/>
        <w:gridCol w:w="1190"/>
        <w:gridCol w:w="2765"/>
        <w:gridCol w:w="2448"/>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工程名称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预算数 （万元）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资金来源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工程投入占预算 的比例</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工程进度</w:t>
            </w:r>
            <w:r>
              <w:rPr>
                <w:b/>
                <w:bCs/>
                <w:color w:val="000000"/>
                <w:spacing w:val="0"/>
                <w:w w:val="100"/>
                <w:position w:val="0"/>
                <w:sz w:val="20"/>
                <w:szCs w:val="20"/>
              </w:rPr>
              <w:t>％</w:t>
            </w:r>
          </w:p>
        </w:tc>
      </w:tr>
      <w:tr>
        <w:trPr>
          <w:trHeight w:val="5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left"/>
              <w:rPr>
                <w:sz w:val="20"/>
                <w:szCs w:val="20"/>
              </w:rPr>
            </w:pPr>
            <w:r>
              <w:rPr>
                <w:color w:val="000000"/>
                <w:spacing w:val="0"/>
                <w:w w:val="100"/>
                <w:position w:val="0"/>
                <w:sz w:val="20"/>
                <w:szCs w:val="20"/>
              </w:rPr>
              <w:t>石墨化</w:t>
            </w:r>
            <w:r>
              <w:rPr>
                <w:rFonts w:ascii="Times New Roman" w:eastAsia="Times New Roman" w:hAnsi="Times New Roman" w:cs="Times New Roman"/>
                <w:color w:val="000000"/>
                <w:spacing w:val="0"/>
                <w:w w:val="100"/>
                <w:position w:val="0"/>
                <w:sz w:val="22"/>
                <w:szCs w:val="22"/>
              </w:rPr>
              <w:t>B</w:t>
            </w:r>
            <w:r>
              <w:rPr>
                <w:color w:val="000000"/>
                <w:spacing w:val="0"/>
                <w:w w:val="100"/>
                <w:position w:val="0"/>
                <w:sz w:val="20"/>
                <w:szCs w:val="20"/>
              </w:rPr>
              <w:t>车 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包覆反应釜</w:t>
            </w:r>
          </w:p>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及配套安装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59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专用机器设</w:t>
            </w:r>
          </w:p>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备安装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2,361.15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自筹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81" w:right="0" w:firstLine="0"/>
        <w:jc w:val="left"/>
        <w:rPr>
          <w:sz w:val="22"/>
          <w:szCs w:val="22"/>
        </w:rPr>
      </w:pPr>
      <w:r>
        <w:rPr>
          <w:color w:val="000000"/>
          <w:spacing w:val="0"/>
          <w:w w:val="100"/>
          <w:position w:val="0"/>
          <w:sz w:val="22"/>
          <w:szCs w:val="22"/>
        </w:rPr>
        <w:t>（续）</w:t>
      </w:r>
    </w:p>
    <w:tbl>
      <w:tblPr>
        <w:tblOverlap w:val="never"/>
        <w:jc w:val="center"/>
        <w:tblLayout w:type="fixed"/>
      </w:tblPr>
      <w:tblGrid>
        <w:gridCol w:w="1042"/>
        <w:gridCol w:w="1498"/>
        <w:gridCol w:w="1498"/>
        <w:gridCol w:w="974"/>
        <w:gridCol w:w="1498"/>
        <w:gridCol w:w="888"/>
        <w:gridCol w:w="1498"/>
        <w:gridCol w:w="970"/>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工程名称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2021.01.01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本期减少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86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rPr>
                <w:sz w:val="20"/>
                <w:szCs w:val="20"/>
              </w:rPr>
            </w:pPr>
            <w:r>
              <w:rPr>
                <w:b/>
                <w:bCs/>
                <w:color w:val="000000"/>
                <w:spacing w:val="0"/>
                <w:w w:val="100"/>
                <w:position w:val="0"/>
                <w:sz w:val="20"/>
                <w:szCs w:val="20"/>
              </w:rPr>
              <w:t>其中：利 息资本化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转入固定资产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rPr>
                <w:sz w:val="20"/>
                <w:szCs w:val="20"/>
              </w:rPr>
            </w:pPr>
            <w:r>
              <w:rPr>
                <w:b/>
                <w:bCs/>
                <w:color w:val="000000"/>
                <w:spacing w:val="0"/>
                <w:w w:val="100"/>
                <w:position w:val="0"/>
                <w:sz w:val="20"/>
                <w:szCs w:val="20"/>
              </w:rPr>
              <w:t>其他减 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20"/>
                <w:szCs w:val="20"/>
              </w:rPr>
            </w:pPr>
            <w:r>
              <w:rPr>
                <w:b/>
                <w:bCs/>
                <w:color w:val="000000"/>
                <w:spacing w:val="0"/>
                <w:w w:val="100"/>
                <w:position w:val="0"/>
                <w:sz w:val="20"/>
                <w:szCs w:val="20"/>
              </w:rPr>
              <w:t>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rPr>
                <w:sz w:val="20"/>
                <w:szCs w:val="20"/>
              </w:rPr>
            </w:pPr>
            <w:r>
              <w:rPr>
                <w:b/>
                <w:bCs/>
                <w:color w:val="000000"/>
                <w:spacing w:val="0"/>
                <w:w w:val="100"/>
                <w:position w:val="0"/>
                <w:sz w:val="20"/>
                <w:szCs w:val="20"/>
              </w:rPr>
              <w:t>其中：利 息资本 化金额</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石墨化</w:t>
            </w:r>
            <w:r>
              <w:rPr>
                <w:rFonts w:ascii="Times New Roman" w:eastAsia="Times New Roman" w:hAnsi="Times New Roman" w:cs="Times New Roman"/>
                <w:color w:val="000000"/>
                <w:spacing w:val="0"/>
                <w:w w:val="100"/>
                <w:position w:val="0"/>
                <w:sz w:val="22"/>
                <w:szCs w:val="22"/>
              </w:rPr>
              <w:t xml:space="preserve">B </w:t>
            </w:r>
            <w:r>
              <w:rPr>
                <w:color w:val="000000"/>
                <w:spacing w:val="0"/>
                <w:w w:val="100"/>
                <w:position w:val="0"/>
                <w:sz w:val="20"/>
                <w:szCs w:val="20"/>
              </w:rPr>
              <w:t>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27,439,978.77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29,500,624.12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56,940,602.89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包覆反应</w:t>
            </w:r>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釜及配套</w:t>
            </w:r>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14,979,034.09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14,979,034.09</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专用机器</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23,611,504.42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23,611,504.42</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27,439,978.77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68,091,162.63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56,940,602.89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38,590,538.51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3"/>
        <w:keepNext w:val="0"/>
        <w:keepLines w:val="0"/>
        <w:widowControl w:val="0"/>
        <w:shd w:val="clear" w:color="auto" w:fill="auto"/>
        <w:bidi w:val="0"/>
        <w:spacing w:before="0" w:after="180" w:line="240" w:lineRule="auto"/>
        <w:ind w:left="0" w:right="0" w:firstLine="580"/>
        <w:jc w:val="left"/>
      </w:pPr>
      <w:r>
        <w:rPr>
          <w:color w:val="000000"/>
          <w:spacing w:val="0"/>
          <w:w w:val="100"/>
          <w:position w:val="0"/>
        </w:rPr>
        <w:t>注：石墨化</w:t>
      </w:r>
      <w:r>
        <w:rPr>
          <w:rFonts w:ascii="Times New Roman" w:eastAsia="Times New Roman" w:hAnsi="Times New Roman" w:cs="Times New Roman"/>
          <w:color w:val="000000"/>
          <w:spacing w:val="0"/>
          <w:w w:val="100"/>
          <w:position w:val="0"/>
        </w:rPr>
        <w:t>B</w:t>
      </w:r>
      <w:r>
        <w:rPr>
          <w:color w:val="000000"/>
          <w:spacing w:val="0"/>
          <w:w w:val="100"/>
          <w:position w:val="0"/>
        </w:rPr>
        <w:t>车间项目实际投入金额与预算数差异较大原因系预算数没有考虑税金影响。</w:t>
      </w:r>
    </w:p>
    <w:p>
      <w:pPr>
        <w:pStyle w:val="Style13"/>
        <w:keepNext w:val="0"/>
        <w:keepLines w:val="0"/>
        <w:widowControl w:val="0"/>
        <w:shd w:val="clear" w:color="auto" w:fill="auto"/>
        <w:bidi w:val="0"/>
        <w:spacing w:before="0" w:after="80" w:line="240" w:lineRule="auto"/>
        <w:ind w:left="0" w:right="0" w:firstLine="580"/>
        <w:jc w:val="left"/>
        <w:sectPr>
          <w:footnotePr>
            <w:pos w:val="pageBottom"/>
            <w:numFmt w:val="decimal"/>
            <w:numRestart w:val="continuous"/>
          </w:footnotePr>
          <w:pgSz w:w="11900" w:h="16840"/>
          <w:pgMar w:top="1436" w:right="1083" w:bottom="1537" w:left="953" w:header="0" w:footer="3" w:gutter="0"/>
          <w:cols w:space="720"/>
          <w:noEndnote/>
          <w:rtlGutter w:val="0"/>
          <w:docGrid w:linePitch="360"/>
        </w:sectPr>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3</w:t>
      </w:r>
      <w:r>
        <w:rPr>
          <w:color w:val="000000"/>
          <w:spacing w:val="0"/>
          <w:w w:val="100"/>
          <w:position w:val="0"/>
        </w:rPr>
        <w:t>）工程物资情况</w:t>
      </w:r>
    </w:p>
    <w:p>
      <w:pPr>
        <w:widowControl w:val="0"/>
        <w:spacing w:after="459" w:line="1" w:lineRule="exact"/>
      </w:pPr>
    </w:p>
    <w:tbl>
      <w:tblPr>
        <w:tblOverlap w:val="never"/>
        <w:jc w:val="left"/>
        <w:tblLayout w:type="fixed"/>
      </w:tblPr>
      <w:tblGrid>
        <w:gridCol w:w="3058"/>
        <w:gridCol w:w="3010"/>
        <w:gridCol w:w="3043"/>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尚未安装的设备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6,815,244.46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工程用材料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968,379.87</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7,783,624.33</w:t>
            </w:r>
          </w:p>
        </w:tc>
      </w:tr>
    </w:tbl>
    <w:p>
      <w:pPr>
        <w:pStyle w:val="Style30"/>
        <w:keepNext w:val="0"/>
        <w:keepLines w:val="0"/>
        <w:widowControl w:val="0"/>
        <w:shd w:val="clear" w:color="auto" w:fill="auto"/>
        <w:bidi w:val="0"/>
        <w:spacing w:before="0" w:after="0" w:line="240" w:lineRule="auto"/>
        <w:ind w:left="144" w:right="0" w:firstLine="0"/>
        <w:jc w:val="left"/>
        <w:rPr>
          <w:sz w:val="22"/>
          <w:szCs w:val="22"/>
        </w:rPr>
      </w:pPr>
      <w:r>
        <w:rPr>
          <w:rFonts w:ascii="Times New Roman" w:eastAsia="Times New Roman" w:hAnsi="Times New Roman" w:cs="Times New Roman"/>
          <w:b/>
          <w:bCs/>
          <w:color w:val="000000"/>
          <w:spacing w:val="0"/>
          <w:w w:val="100"/>
          <w:position w:val="0"/>
          <w:sz w:val="22"/>
          <w:szCs w:val="22"/>
        </w:rPr>
        <w:t>15</w:t>
      </w:r>
      <w:r>
        <w:rPr>
          <w:b/>
          <w:bCs/>
          <w:color w:val="000000"/>
          <w:spacing w:val="0"/>
          <w:w w:val="100"/>
          <w:position w:val="0"/>
          <w:sz w:val="22"/>
          <w:szCs w:val="22"/>
        </w:rPr>
        <w:t>、使用权资产</w:t>
      </w:r>
    </w:p>
    <w:p>
      <w:pPr>
        <w:widowControl w:val="0"/>
        <w:spacing w:after="299" w:line="1" w:lineRule="exact"/>
      </w:pPr>
    </w:p>
    <w:tbl>
      <w:tblPr>
        <w:tblOverlap w:val="never"/>
        <w:jc w:val="center"/>
        <w:tblLayout w:type="fixed"/>
      </w:tblPr>
      <w:tblGrid>
        <w:gridCol w:w="3912"/>
        <w:gridCol w:w="2755"/>
        <w:gridCol w:w="2578"/>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0" w:right="0" w:firstLine="0"/>
              <w:jc w:val="center"/>
              <w:rPr>
                <w:sz w:val="20"/>
                <w:szCs w:val="20"/>
              </w:rPr>
            </w:pPr>
            <w:r>
              <w:rPr>
                <w:b/>
                <w:bCs/>
                <w:color w:val="000000"/>
                <w:spacing w:val="0"/>
                <w:w w:val="100"/>
                <w:position w:val="0"/>
                <w:sz w:val="20"/>
                <w:szCs w:val="20"/>
              </w:rPr>
              <w:t>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、本年增加金额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67,337,070.87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67,337,070.87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67,337,070.87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67,337,070.87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、本年增加金额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9,314,179.63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9,314,179.63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9,314,179.63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9,314,179.63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58,022,891.24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58,022,891.24</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67" w:right="0" w:firstLine="0"/>
        <w:jc w:val="left"/>
        <w:rPr>
          <w:sz w:val="22"/>
          <w:szCs w:val="22"/>
        </w:rPr>
      </w:pPr>
      <w:r>
        <w:rPr>
          <w:rFonts w:ascii="Times New Roman" w:eastAsia="Times New Roman" w:hAnsi="Times New Roman" w:cs="Times New Roman"/>
          <w:b/>
          <w:bCs/>
          <w:color w:val="000000"/>
          <w:spacing w:val="0"/>
          <w:w w:val="100"/>
          <w:position w:val="0"/>
          <w:sz w:val="22"/>
          <w:szCs w:val="22"/>
        </w:rPr>
        <w:t>16</w:t>
      </w:r>
      <w:r>
        <w:rPr>
          <w:b/>
          <w:bCs/>
          <w:color w:val="000000"/>
          <w:spacing w:val="0"/>
          <w:w w:val="100"/>
          <w:position w:val="0"/>
          <w:sz w:val="22"/>
          <w:szCs w:val="22"/>
        </w:rPr>
        <w:t>、无形资产</w:t>
      </w:r>
    </w:p>
    <w:p>
      <w:pPr>
        <w:widowControl w:val="0"/>
        <w:spacing w:after="419" w:line="1" w:lineRule="exact"/>
      </w:pPr>
    </w:p>
    <w:p>
      <w:pPr>
        <w:pStyle w:val="Style1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p>
    <w:tbl>
      <w:tblPr>
        <w:tblOverlap w:val="never"/>
        <w:jc w:val="left"/>
        <w:tblLayout w:type="fixed"/>
      </w:tblPr>
      <w:tblGrid>
        <w:gridCol w:w="1382"/>
        <w:gridCol w:w="1421"/>
        <w:gridCol w:w="1416"/>
        <w:gridCol w:w="1416"/>
        <w:gridCol w:w="1670"/>
      </w:tblGrid>
      <w:tr>
        <w:trPr>
          <w:trHeight w:val="586" w:hRule="exact"/>
        </w:trPr>
        <w:tc>
          <w:tcPr>
            <w:tcBorders>
              <w:top w:val="single" w:sz="4"/>
              <w:bottom w:val="single" w:sz="4"/>
            </w:tcBorders>
            <w:shd w:val="clear" w:color="auto" w:fill="FFFFFF"/>
            <w:vAlign w:val="center"/>
          </w:tcPr>
          <w:p>
            <w:pPr>
              <w:pStyle w:val="Style2"/>
              <w:keepNext w:val="0"/>
              <w:keepLines w:val="0"/>
              <w:framePr w:w="7306" w:h="586" w:hSpace="893" w:wrap="notBeside" w:vAnchor="text" w:hAnchor="text" w:x="1902" w:y="1"/>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土地使 用权</w:t>
            </w:r>
          </w:p>
        </w:tc>
        <w:tc>
          <w:tcPr>
            <w:tcBorders>
              <w:top w:val="single" w:sz="4"/>
              <w:left w:val="single" w:sz="4"/>
              <w:bottom w:val="single" w:sz="4"/>
            </w:tcBorders>
            <w:shd w:val="clear" w:color="auto" w:fill="FFFFFF"/>
            <w:vAlign w:val="center"/>
          </w:tcPr>
          <w:p>
            <w:pPr>
              <w:pStyle w:val="Style2"/>
              <w:keepNext w:val="0"/>
              <w:keepLines w:val="0"/>
              <w:framePr w:w="7306" w:h="586" w:hSpace="893" w:wrap="notBeside" w:vAnchor="text" w:hAnchor="text" w:x="1902" w:y="1"/>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专利权</w:t>
            </w:r>
          </w:p>
        </w:tc>
        <w:tc>
          <w:tcPr>
            <w:tcBorders>
              <w:top w:val="single" w:sz="4"/>
              <w:left w:val="single" w:sz="4"/>
              <w:bottom w:val="single" w:sz="4"/>
            </w:tcBorders>
            <w:shd w:val="clear" w:color="auto" w:fill="FFFFFF"/>
            <w:vAlign w:val="center"/>
          </w:tcPr>
          <w:p>
            <w:pPr>
              <w:pStyle w:val="Style2"/>
              <w:keepNext w:val="0"/>
              <w:keepLines w:val="0"/>
              <w:framePr w:w="7306" w:h="586" w:hSpace="893" w:wrap="notBeside" w:vAnchor="text" w:hAnchor="text" w:x="1902" w:y="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商标权</w:t>
            </w:r>
          </w:p>
        </w:tc>
        <w:tc>
          <w:tcPr>
            <w:tcBorders>
              <w:top w:val="single" w:sz="4"/>
              <w:left w:val="single" w:sz="4"/>
              <w:bottom w:val="single" w:sz="4"/>
            </w:tcBorders>
            <w:shd w:val="clear" w:color="auto" w:fill="FFFFFF"/>
            <w:vAlign w:val="center"/>
          </w:tcPr>
          <w:p>
            <w:pPr>
              <w:pStyle w:val="Style2"/>
              <w:keepNext w:val="0"/>
              <w:keepLines w:val="0"/>
              <w:framePr w:w="7306" w:h="586" w:hSpace="893" w:wrap="notBeside" w:vAnchor="text" w:hAnchor="text" w:x="1902" w:y="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非专利技术</w:t>
            </w:r>
          </w:p>
        </w:tc>
        <w:tc>
          <w:tcPr>
            <w:tcBorders>
              <w:top w:val="single" w:sz="4"/>
              <w:left w:val="single" w:sz="4"/>
              <w:bottom w:val="single" w:sz="4"/>
            </w:tcBorders>
            <w:shd w:val="clear" w:color="auto" w:fill="FFFFFF"/>
            <w:vAlign w:val="center"/>
          </w:tcPr>
          <w:p>
            <w:pPr>
              <w:pStyle w:val="Style2"/>
              <w:keepNext w:val="0"/>
              <w:keepLines w:val="0"/>
              <w:framePr w:w="7306" w:h="586" w:hSpace="893" w:wrap="notBeside" w:vAnchor="text" w:hAnchor="text" w:x="1902" w:y="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软件</w:t>
            </w:r>
          </w:p>
        </w:tc>
      </w:tr>
    </w:tbl>
    <w:p>
      <w:pPr>
        <w:pStyle w:val="Style30"/>
        <w:keepNext w:val="0"/>
        <w:keepLines w:val="0"/>
        <w:framePr w:w="778" w:h="269" w:hSpace="1008" w:wrap="notBeside" w:vAnchor="text" w:hAnchor="text" w:x="1009" w:y="169"/>
        <w:widowControl w:val="0"/>
        <w:shd w:val="clear" w:color="auto" w:fill="auto"/>
        <w:bidi w:val="0"/>
        <w:spacing w:before="0" w:after="0" w:line="240" w:lineRule="auto"/>
        <w:ind w:left="0" w:right="0" w:firstLine="0"/>
        <w:jc w:val="left"/>
      </w:pPr>
      <w:r>
        <w:rPr>
          <w:b/>
          <w:bCs/>
          <w:color w:val="000000"/>
          <w:spacing w:val="0"/>
          <w:w w:val="100"/>
          <w:position w:val="0"/>
        </w:rPr>
        <w:t>项目</w:t>
      </w:r>
    </w:p>
    <w:p>
      <w:pPr>
        <w:widowControl w:val="0"/>
        <w:spacing w:line="1" w:lineRule="exact"/>
      </w:pPr>
      <w:r>
        <w:br w:type="page"/>
      </w:r>
    </w:p>
    <w:tbl>
      <w:tblPr>
        <w:tblOverlap w:val="never"/>
        <w:jc w:val="center"/>
        <w:tblLayout w:type="fixed"/>
      </w:tblPr>
      <w:tblGrid>
        <w:gridCol w:w="1637"/>
        <w:gridCol w:w="1272"/>
        <w:gridCol w:w="1421"/>
        <w:gridCol w:w="1416"/>
        <w:gridCol w:w="1416"/>
        <w:gridCol w:w="1560"/>
        <w:gridCol w:w="1450"/>
      </w:tblGrid>
      <w:tr>
        <w:trPr>
          <w:trHeight w:val="57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土地使 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rPr>
                <w:sz w:val="20"/>
                <w:szCs w:val="20"/>
              </w:rPr>
            </w:pPr>
            <w:r>
              <w:rPr>
                <w:b/>
                <w:bCs/>
                <w:color w:val="000000"/>
                <w:spacing w:val="0"/>
                <w:w w:val="100"/>
                <w:position w:val="0"/>
                <w:sz w:val="20"/>
                <w:szCs w:val="20"/>
              </w:rPr>
              <w:t>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34,522,237.46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40,886,272.39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24,566,900.00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100,141,382.74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205,884,541.91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406,001,334.50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62,014,346.72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62,014,346.72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1,802,035.49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1,802,035.49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60,212,311.23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60,212,311.23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434,694.13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434,694.13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434,694.13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434,694.13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34,522,237.46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40,886,272.39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24,566,900.00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100,141,382.74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267,464,194.50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467,580,987.09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5,812,854.06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9,134,335.37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6,139,975.88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45,081,048.18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125,217,343.19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191,385,556.68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、本年增加金额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1,088,175.31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1,991,463.54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95,041.68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25,787,576.74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28,972,457.27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1,088,175.31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1,991,463.54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95,041.68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25,787,576.74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28,972,457.27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434,694.13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434,694.13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434,694.13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434,694.13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6,901,029.37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11,125,798.91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6,150,175.88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45,176,089.86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150,570,225.80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219,923,319.82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24,674,136.82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13,251,851.40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54,490,084.59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27,445,544.36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119,861,617.17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24,674,136.82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13,251,851.40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54,490,084.59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27,445,544.36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119,861,617.17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27,621,208.09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5,086,336.66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5,164,872.72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475,208.29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89,448,424.34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127,796,050.10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28,709,383.40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7,077,800.20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5,175,072.72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570,249.97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53,221,654.36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94,754,160.65</w:t>
            </w:r>
          </w:p>
        </w:tc>
      </w:tr>
    </w:tbl>
    <w:p>
      <w:pPr>
        <w:widowControl w:val="0"/>
        <w:spacing w:after="59" w:line="1" w:lineRule="exact"/>
      </w:pPr>
    </w:p>
    <w:p>
      <w:pPr>
        <w:pStyle w:val="Style13"/>
        <w:keepNext w:val="0"/>
        <w:keepLines w:val="0"/>
        <w:widowControl w:val="0"/>
        <w:shd w:val="clear" w:color="auto" w:fill="auto"/>
        <w:bidi w:val="0"/>
        <w:spacing w:before="0" w:after="220" w:line="240" w:lineRule="auto"/>
        <w:ind w:left="0" w:right="0" w:firstLine="720"/>
        <w:jc w:val="left"/>
      </w:pPr>
      <w:r>
        <w:rPr>
          <w:color w:val="000000"/>
          <w:spacing w:val="0"/>
          <w:w w:val="100"/>
          <w:position w:val="0"/>
        </w:rPr>
        <w:t>注：本期末通过公司内部研究开发形成的无形资产占无形资产余额的比例为</w:t>
      </w:r>
      <w:r>
        <w:rPr>
          <w:rFonts w:ascii="Times New Roman" w:eastAsia="Times New Roman" w:hAnsi="Times New Roman" w:cs="Times New Roman"/>
          <w:color w:val="000000"/>
          <w:spacing w:val="0"/>
          <w:w w:val="100"/>
          <w:position w:val="0"/>
        </w:rPr>
        <w:t>12.88%</w:t>
      </w:r>
      <w:r>
        <w:rPr>
          <w:color w:val="000000"/>
          <w:spacing w:val="0"/>
          <w:w w:val="100"/>
          <w:position w:val="0"/>
        </w:rPr>
        <w:t>。</w:t>
      </w:r>
    </w:p>
    <w:p>
      <w:pPr>
        <w:pStyle w:val="Style13"/>
        <w:keepNext w:val="0"/>
        <w:keepLines w:val="0"/>
        <w:widowControl w:val="0"/>
        <w:shd w:val="clear" w:color="auto" w:fill="auto"/>
        <w:bidi w:val="0"/>
        <w:spacing w:before="0" w:after="220" w:line="240" w:lineRule="auto"/>
        <w:ind w:left="0" w:right="0" w:firstLine="7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日无形资产所有权受限制情况见本附注五、</w:t>
      </w:r>
      <w:r>
        <w:rPr>
          <w:rFonts w:ascii="Times New Roman" w:eastAsia="Times New Roman" w:hAnsi="Times New Roman" w:cs="Times New Roman"/>
          <w:color w:val="000000"/>
          <w:spacing w:val="0"/>
          <w:w w:val="100"/>
          <w:position w:val="0"/>
        </w:rPr>
        <w:t>58</w:t>
      </w:r>
      <w:r>
        <w:rPr>
          <w:color w:val="000000"/>
          <w:spacing w:val="0"/>
          <w:w w:val="100"/>
          <w:position w:val="0"/>
        </w:rPr>
        <w:t>之说明。</w:t>
      </w:r>
    </w:p>
    <w:p>
      <w:pPr>
        <w:pStyle w:val="Style13"/>
        <w:keepNext w:val="0"/>
        <w:keepLines w:val="0"/>
        <w:widowControl w:val="0"/>
        <w:shd w:val="clear" w:color="auto" w:fill="auto"/>
        <w:bidi w:val="0"/>
        <w:spacing w:before="0" w:after="220" w:line="240" w:lineRule="auto"/>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）无未办妥产权证书的土地使用权</w:t>
      </w:r>
      <w:r>
        <w:br w:type="page"/>
      </w:r>
    </w:p>
    <w:p>
      <w:pPr>
        <w:pStyle w:val="Style37"/>
        <w:keepNext/>
        <w:keepLines/>
        <w:widowControl w:val="0"/>
        <w:shd w:val="clear" w:color="auto" w:fill="auto"/>
        <w:bidi w:val="0"/>
        <w:spacing w:before="0" w:after="320" w:line="240" w:lineRule="auto"/>
        <w:ind w:left="0" w:right="0" w:firstLine="0"/>
        <w:jc w:val="left"/>
      </w:pPr>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17</w:t>
      </w:r>
      <w:r>
        <w:rPr>
          <w:color w:val="000000"/>
          <w:spacing w:val="0"/>
          <w:w w:val="100"/>
          <w:position w:val="0"/>
        </w:rPr>
        <w:t>、开发支出</w:t>
      </w:r>
      <w:bookmarkEnd w:id="898"/>
      <w:bookmarkEnd w:id="899"/>
      <w:bookmarkEnd w:id="900"/>
    </w:p>
    <w:tbl>
      <w:tblPr>
        <w:tblOverlap w:val="never"/>
        <w:jc w:val="center"/>
        <w:tblLayout w:type="fixed"/>
      </w:tblPr>
      <w:tblGrid>
        <w:gridCol w:w="1637"/>
        <w:gridCol w:w="1507"/>
        <w:gridCol w:w="1613"/>
        <w:gridCol w:w="850"/>
        <w:gridCol w:w="1536"/>
        <w:gridCol w:w="874"/>
        <w:gridCol w:w="1594"/>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期末余额</w:t>
            </w:r>
          </w:p>
        </w:tc>
      </w:tr>
      <w:tr>
        <w:trPr>
          <w:trHeight w:val="86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内部开发支出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确认为无形 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6" w:lineRule="exact"/>
              <w:ind w:left="0" w:right="0" w:firstLine="0"/>
              <w:jc w:val="right"/>
              <w:rPr>
                <w:sz w:val="20"/>
                <w:szCs w:val="20"/>
              </w:rPr>
            </w:pPr>
            <w:r>
              <w:rPr>
                <w:b/>
                <w:bCs/>
                <w:color w:val="000000"/>
                <w:spacing w:val="0"/>
                <w:w w:val="100"/>
                <w:position w:val="0"/>
                <w:sz w:val="20"/>
                <w:szCs w:val="20"/>
              </w:rPr>
              <w:t>转入 当期 损益</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20,092,598.34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1,767,542.49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21,860,140.83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16,714,144.21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6,214,325.58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22,928,469.79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11,450,817.04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3,972,883.57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15,423,700.61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4,855,203.88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4,394,890.80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9,250,094.68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1,756,239.64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13,283,147.34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15,039,386.98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1,347,216.33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2,953,133.48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4,300,349.81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13,793,551.10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13,793,551.10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4,705,969.96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4,705,969.96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4,102,555.56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4,102,555.56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1,022,582.83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1,022,582.83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669,107.33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669,107.33</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b/>
                <w:bCs/>
                <w:color w:val="000000"/>
                <w:spacing w:val="0"/>
                <w:w w:val="100"/>
                <w:position w:val="0"/>
                <w:sz w:val="20"/>
                <w:szCs w:val="20"/>
              </w:rPr>
              <w:t>56,216,219.44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b/>
                <w:bCs/>
                <w:color w:val="000000"/>
                <w:spacing w:val="0"/>
                <w:w w:val="100"/>
                <w:position w:val="0"/>
                <w:sz w:val="20"/>
                <w:szCs w:val="20"/>
              </w:rPr>
              <w:t>56,879,690.04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60,212,311.23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b/>
                <w:bCs/>
                <w:color w:val="000000"/>
                <w:spacing w:val="0"/>
                <w:w w:val="100"/>
                <w:position w:val="0"/>
                <w:sz w:val="20"/>
                <w:szCs w:val="20"/>
              </w:rPr>
              <w:t>52,883,598.25</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（续）</w:t>
      </w:r>
    </w:p>
    <w:tbl>
      <w:tblPr>
        <w:tblOverlap w:val="never"/>
        <w:jc w:val="center"/>
        <w:tblLayout w:type="fixed"/>
      </w:tblPr>
      <w:tblGrid>
        <w:gridCol w:w="2405"/>
        <w:gridCol w:w="2438"/>
        <w:gridCol w:w="2501"/>
        <w:gridCol w:w="2870"/>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资本化开始时点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20"/>
                <w:szCs w:val="20"/>
              </w:rPr>
            </w:pPr>
            <w:r>
              <w:rPr>
                <w:b/>
                <w:bCs/>
                <w:color w:val="000000"/>
                <w:spacing w:val="0"/>
                <w:w w:val="100"/>
                <w:position w:val="0"/>
                <w:sz w:val="20"/>
                <w:szCs w:val="20"/>
              </w:rPr>
              <w:t>资本化的具体依据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截至期末的研发进度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2019/8/22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已转入无形资产</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2020/1/18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已转入无形资产</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2020/3/14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已转入无形资产</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2020/8/12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样片验证</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2020/10/22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样片验证</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2020/10/21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样片验证</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工程化调试状态</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2021/11/25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样片验证</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2021/1/30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工程化调试状态</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2021/12/20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样片验证</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2021/11/22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投片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样片验证</w:t>
            </w:r>
          </w:p>
        </w:tc>
      </w:tr>
    </w:tbl>
    <w:p>
      <w:pPr>
        <w:spacing w:lineRule="exact" w:line="1"/>
        <w:rPr>
          <w:sz w:val="2"/>
          <w:szCs w:val="2"/>
        </w:rPr>
      </w:pPr>
      <w:r>
        <w:br w:type="page"/>
      </w:r>
    </w:p>
    <w:p>
      <w:pPr>
        <w:pStyle w:val="Style37"/>
        <w:keepNext/>
        <w:keepLines/>
        <w:widowControl w:val="0"/>
        <w:shd w:val="clear" w:color="auto" w:fill="auto"/>
        <w:bidi w:val="0"/>
        <w:spacing w:before="0" w:after="340" w:line="240" w:lineRule="auto"/>
        <w:ind w:left="0" w:right="0" w:firstLine="0"/>
        <w:jc w:val="left"/>
      </w:pPr>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901"/>
      <w:bookmarkEnd w:id="902"/>
      <w:bookmarkEnd w:id="903"/>
    </w:p>
    <w:p>
      <w:pPr>
        <w:pStyle w:val="Style30"/>
        <w:keepNext w:val="0"/>
        <w:keepLines w:val="0"/>
        <w:widowControl w:val="0"/>
        <w:shd w:val="clear" w:color="auto" w:fill="auto"/>
        <w:bidi w:val="0"/>
        <w:spacing w:before="0" w:after="0" w:line="240" w:lineRule="auto"/>
        <w:ind w:left="437"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）商誉账面原值</w:t>
      </w:r>
    </w:p>
    <w:tbl>
      <w:tblPr>
        <w:tblOverlap w:val="never"/>
        <w:jc w:val="center"/>
        <w:tblLayout w:type="fixed"/>
      </w:tblPr>
      <w:tblGrid>
        <w:gridCol w:w="2482"/>
        <w:gridCol w:w="1848"/>
        <w:gridCol w:w="1138"/>
        <w:gridCol w:w="850"/>
        <w:gridCol w:w="706"/>
        <w:gridCol w:w="854"/>
        <w:gridCol w:w="1872"/>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被投资单位名称或形 成商誉的事项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期末余额</w:t>
            </w:r>
          </w:p>
        </w:tc>
      </w:tr>
      <w:tr>
        <w:trPr>
          <w:trHeight w:val="57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企业合并 形成的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其他</w:t>
            </w:r>
          </w:p>
        </w:tc>
        <w:tc>
          <w:tcPr>
            <w:vMerge/>
            <w:tcBorders>
              <w:left w:val="single" w:sz="4"/>
            </w:tcBorders>
            <w:shd w:val="clear" w:color="auto" w:fill="FFFFFF"/>
            <w:vAlign w:val="center"/>
          </w:tcPr>
          <w:p>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4" w:lineRule="exact"/>
              <w:ind w:left="180" w:right="0" w:firstLine="0"/>
              <w:jc w:val="left"/>
              <w:rPr>
                <w:sz w:val="20"/>
                <w:szCs w:val="20"/>
              </w:rPr>
            </w:pPr>
            <w:r>
              <w:rPr>
                <w:color w:val="000000"/>
                <w:spacing w:val="0"/>
                <w:w w:val="100"/>
                <w:position w:val="0"/>
                <w:sz w:val="20"/>
                <w:szCs w:val="20"/>
              </w:rPr>
              <w:t>国民科技（深圳）有限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54,669,856.22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54,669,856.22</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180" w:right="0" w:firstLine="0"/>
              <w:jc w:val="left"/>
              <w:rPr>
                <w:sz w:val="20"/>
                <w:szCs w:val="20"/>
              </w:rPr>
            </w:pPr>
            <w:r>
              <w:rPr>
                <w:color w:val="000000"/>
                <w:spacing w:val="0"/>
                <w:w w:val="100"/>
                <w:position w:val="0"/>
                <w:sz w:val="20"/>
                <w:szCs w:val="20"/>
              </w:rPr>
              <w:t>深圳市斯诺实业发展有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95,516,471.92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95,516,471.92</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180" w:right="0" w:firstLine="0"/>
              <w:jc w:val="left"/>
              <w:rPr>
                <w:sz w:val="20"/>
                <w:szCs w:val="20"/>
              </w:rPr>
            </w:pPr>
            <w:r>
              <w:rPr>
                <w:color w:val="000000"/>
                <w:spacing w:val="0"/>
                <w:w w:val="100"/>
                <w:position w:val="0"/>
                <w:sz w:val="20"/>
                <w:szCs w:val="20"/>
              </w:rPr>
              <w:t>内蒙古斯诺新材料科技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948,771,785.56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948,771,785.56</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1,098,958,113.70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rPr>
              <w:t>1,098,958,113.70</w:t>
            </w:r>
          </w:p>
        </w:tc>
      </w:tr>
    </w:tbl>
    <w:p>
      <w:pPr>
        <w:widowControl w:val="0"/>
        <w:spacing w:after="119" w:line="1" w:lineRule="exact"/>
      </w:pPr>
    </w:p>
    <w:p>
      <w:pPr>
        <w:pStyle w:val="Style30"/>
        <w:keepNext w:val="0"/>
        <w:keepLines w:val="0"/>
        <w:widowControl w:val="0"/>
        <w:shd w:val="clear" w:color="auto" w:fill="auto"/>
        <w:bidi w:val="0"/>
        <w:spacing w:before="0" w:after="0" w:line="240" w:lineRule="auto"/>
        <w:ind w:left="326"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）商誉减值准备</w:t>
      </w:r>
    </w:p>
    <w:tbl>
      <w:tblPr>
        <w:tblOverlap w:val="never"/>
        <w:jc w:val="center"/>
        <w:tblLayout w:type="fixed"/>
      </w:tblPr>
      <w:tblGrid>
        <w:gridCol w:w="2376"/>
        <w:gridCol w:w="1843"/>
        <w:gridCol w:w="1560"/>
        <w:gridCol w:w="710"/>
        <w:gridCol w:w="850"/>
        <w:gridCol w:w="850"/>
        <w:gridCol w:w="1709"/>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被投资单位名称或形 成商誉的事项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期末余额</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b/>
                <w:bCs/>
                <w:color w:val="000000"/>
                <w:spacing w:val="0"/>
                <w:w w:val="100"/>
                <w:position w:val="0"/>
                <w:sz w:val="20"/>
                <w:szCs w:val="20"/>
              </w:rPr>
              <w:t>其他</w:t>
            </w:r>
          </w:p>
        </w:tc>
        <w:tc>
          <w:tcPr>
            <w:vMerge/>
            <w:tcBorders>
              <w:left w:val="single" w:sz="4"/>
            </w:tcBorders>
            <w:shd w:val="clear" w:color="auto" w:fill="FFFFFF"/>
            <w:vAlign w:val="center"/>
          </w:tcPr>
          <w:p>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国民科技（深圳）有限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54,669,856.22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54,669,856.22</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深圳市斯诺实业发展有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91,785,213.37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91,785,213.37</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内蒙古斯诺新材料科技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911,708,933.86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911,708,933.86</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rPr>
              <w:t>1,058,164,003.45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1,058,164,003.45</w:t>
            </w:r>
          </w:p>
        </w:tc>
      </w:tr>
    </w:tbl>
    <w:p>
      <w:pPr>
        <w:widowControl w:val="0"/>
        <w:spacing w:after="119" w:line="1" w:lineRule="exact"/>
      </w:pPr>
    </w:p>
    <w:p>
      <w:pPr>
        <w:pStyle w:val="Style30"/>
        <w:keepNext w:val="0"/>
        <w:keepLines w:val="0"/>
        <w:widowControl w:val="0"/>
        <w:shd w:val="clear" w:color="auto" w:fill="auto"/>
        <w:bidi w:val="0"/>
        <w:spacing w:before="0" w:after="0" w:line="240" w:lineRule="auto"/>
        <w:ind w:left="437"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）商誉账面价值</w:t>
      </w:r>
    </w:p>
    <w:tbl>
      <w:tblPr>
        <w:tblOverlap w:val="never"/>
        <w:jc w:val="center"/>
        <w:tblLayout w:type="fixed"/>
      </w:tblPr>
      <w:tblGrid>
        <w:gridCol w:w="2486"/>
        <w:gridCol w:w="1843"/>
        <w:gridCol w:w="1987"/>
        <w:gridCol w:w="1982"/>
        <w:gridCol w:w="1776"/>
      </w:tblGrid>
      <w:tr>
        <w:trPr>
          <w:trHeight w:val="60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被投资单位名称或形 成商誉的事项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期末余额</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180" w:right="0" w:firstLine="0"/>
              <w:jc w:val="left"/>
              <w:rPr>
                <w:sz w:val="20"/>
                <w:szCs w:val="20"/>
              </w:rPr>
            </w:pPr>
            <w:r>
              <w:rPr>
                <w:color w:val="000000"/>
                <w:spacing w:val="0"/>
                <w:w w:val="100"/>
                <w:position w:val="0"/>
                <w:sz w:val="20"/>
                <w:szCs w:val="20"/>
              </w:rPr>
              <w:t>深圳市斯诺实业发展有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3,731,258.55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3,731,258.55</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180" w:right="0" w:firstLine="0"/>
              <w:jc w:val="left"/>
              <w:rPr>
                <w:sz w:val="20"/>
                <w:szCs w:val="20"/>
              </w:rPr>
            </w:pPr>
            <w:r>
              <w:rPr>
                <w:color w:val="000000"/>
                <w:spacing w:val="0"/>
                <w:w w:val="100"/>
                <w:position w:val="0"/>
                <w:sz w:val="20"/>
                <w:szCs w:val="20"/>
              </w:rPr>
              <w:t>内蒙古斯诺新材料科技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37,062,851.70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37,062,851.70</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b/>
                <w:bCs/>
                <w:color w:val="000000"/>
                <w:spacing w:val="0"/>
                <w:w w:val="100"/>
                <w:position w:val="0"/>
                <w:sz w:val="20"/>
                <w:szCs w:val="20"/>
              </w:rPr>
              <w:t>40,794,110.25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40,794,110.25</w:t>
            </w:r>
          </w:p>
        </w:tc>
      </w:tr>
    </w:tbl>
    <w:p>
      <w:pPr>
        <w:pStyle w:val="Style30"/>
        <w:keepNext w:val="0"/>
        <w:keepLines w:val="0"/>
        <w:widowControl w:val="0"/>
        <w:shd w:val="clear" w:color="auto" w:fill="auto"/>
        <w:bidi w:val="0"/>
        <w:spacing w:before="0" w:after="0" w:line="240" w:lineRule="auto"/>
        <w:ind w:left="437"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）商誉所在资产组或资产组组合的相关信息</w:t>
      </w:r>
    </w:p>
    <w:p>
      <w:pPr>
        <w:pStyle w:val="Style13"/>
        <w:keepNext w:val="0"/>
        <w:keepLines w:val="0"/>
        <w:widowControl w:val="0"/>
        <w:shd w:val="clear" w:color="auto" w:fill="auto"/>
        <w:bidi w:val="0"/>
        <w:spacing w:before="0" w:after="420" w:line="469" w:lineRule="exact"/>
        <w:ind w:left="0" w:right="0" w:firstLine="500"/>
        <w:jc w:val="left"/>
        <w:rPr>
          <w:sz w:val="20"/>
          <w:szCs w:val="20"/>
        </w:rPr>
      </w:pPr>
      <w:r>
        <w:rPr>
          <w:color w:val="000000"/>
          <w:spacing w:val="0"/>
          <w:w w:val="100"/>
          <w:position w:val="0"/>
          <w:sz w:val="20"/>
          <w:szCs w:val="20"/>
        </w:rPr>
        <w:t>本期公司聘请中和资产评估有限公司评估了深圳市斯诺实业发展有限公司（以下简称“斯诺实 业”）及内蒙古斯诺新材料科技有限公司（以下简称“内蒙古斯诺”）相关商誉的资产组可回收金额， 公司将商誉分摊至资产组并对与商誉相关的资产组进行了减值测试，然后将该商誉分摊至资产组后的 资产组账面价值与其可收回金额进行比较，本期商誉未发生减值。</w:t>
      </w:r>
    </w:p>
    <w:p>
      <w:pPr>
        <w:pStyle w:val="Style13"/>
        <w:keepNext w:val="0"/>
        <w:keepLines w:val="0"/>
        <w:widowControl w:val="0"/>
        <w:shd w:val="clear" w:color="auto" w:fill="auto"/>
        <w:bidi w:val="0"/>
        <w:spacing w:before="0" w:after="240" w:line="240" w:lineRule="auto"/>
        <w:ind w:left="0" w:right="0" w:firstLine="50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日，具体的商誉的账面价值及相关减值准备如下:</w:t>
      </w:r>
      <w:r>
        <w:br w:type="page"/>
      </w:r>
    </w:p>
    <w:tbl>
      <w:tblPr>
        <w:tblOverlap w:val="never"/>
        <w:jc w:val="center"/>
        <w:tblLayout w:type="fixed"/>
      </w:tblPr>
      <w:tblGrid>
        <w:gridCol w:w="5098"/>
        <w:gridCol w:w="2366"/>
        <w:gridCol w:w="2381"/>
      </w:tblGrid>
      <w:tr>
        <w:trPr>
          <w:trHeight w:val="60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深圳市斯诺实业发展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内蒙古斯诺新材料科 技有限公司</w:t>
            </w:r>
          </w:p>
        </w:tc>
      </w:tr>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归属于本公司商誉的账面价值①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3,731,258.55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37,062,851.70</w:t>
            </w:r>
          </w:p>
        </w:tc>
      </w:tr>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归属于少数股东权益的商誉价值②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1,599,110.80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15,884,079.30</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整体商誉的账面价值 ③=①</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5,330,369.35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52,946,931.00</w:t>
            </w:r>
          </w:p>
        </w:tc>
      </w:tr>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资产组的账面价值④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6,036,745.53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202,708,108.43</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包含整体商誉的资产组的账面价值⑤</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③</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11,367,114.88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255,655,039.43</w:t>
            </w:r>
          </w:p>
        </w:tc>
      </w:tr>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资产组或资产组组合可收回金额⑥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12,122,900.00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645,000,000.00</w:t>
            </w:r>
          </w:p>
        </w:tc>
      </w:tr>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商誉减值损失⑦</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⑤</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归属于本公司的商誉减值损失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1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前后会计期间资产组构成变化的主要事实与依据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right"/>
              <w:rPr>
                <w:sz w:val="20"/>
                <w:szCs w:val="20"/>
              </w:rPr>
            </w:pPr>
            <w:r>
              <w:rPr>
                <w:color w:val="000000"/>
                <w:spacing w:val="0"/>
                <w:w w:val="100"/>
                <w:position w:val="0"/>
                <w:sz w:val="20"/>
                <w:szCs w:val="20"/>
              </w:rPr>
              <w:t>本期斯诺实业进行重组 业务转移至重组后的内 资产组分别为斯诺实业 产组，商誉亦相应拆分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5"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 xml:space="preserve">其与负极材料相关的 </w:t>
            </w:r>
            <w:r>
              <w:rPr>
                <w:rFonts w:ascii="Times New Roman" w:eastAsia="Times New Roman" w:hAnsi="Times New Roman" w:cs="Times New Roman"/>
                <w:color w:val="000000"/>
                <w:spacing w:val="0"/>
                <w:w w:val="100"/>
                <w:position w:val="0"/>
                <w:sz w:val="22"/>
                <w:szCs w:val="22"/>
              </w:rPr>
              <w:t>J</w:t>
            </w:r>
            <w:r>
              <w:rPr>
                <w:color w:val="000000"/>
                <w:spacing w:val="0"/>
                <w:w w:val="100"/>
                <w:position w:val="0"/>
                <w:sz w:val="20"/>
                <w:szCs w:val="20"/>
              </w:rPr>
              <w:t>蒙古斯诺，形成商誉的 资产组和内蒙古斯诺资 至上述资产组。</w:t>
            </w:r>
          </w:p>
        </w:tc>
      </w:tr>
      <w:tr>
        <w:trPr>
          <w:trHeight w:val="34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日国民科技（深圳）有限公司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（以下简称“国民科技”</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）商誉已全额计提减值，</w:t>
            </w:r>
          </w:p>
        </w:tc>
      </w:tr>
    </w:tbl>
    <w:p>
      <w:pPr>
        <w:pStyle w:val="Style30"/>
        <w:keepNext w:val="0"/>
        <w:keepLines w:val="0"/>
        <w:widowControl w:val="0"/>
        <w:shd w:val="clear" w:color="auto" w:fill="auto"/>
        <w:bidi w:val="0"/>
        <w:spacing w:before="0" w:after="0" w:line="240" w:lineRule="auto"/>
        <w:ind w:left="144" w:right="0" w:firstLine="0"/>
        <w:jc w:val="left"/>
      </w:pPr>
      <w:r>
        <w:rPr>
          <w:color w:val="000000"/>
          <w:spacing w:val="0"/>
          <w:w w:val="100"/>
          <w:position w:val="0"/>
        </w:rPr>
        <w:t>具体商誉金额列示如下:</w:t>
      </w:r>
    </w:p>
    <w:p>
      <w:pPr>
        <w:widowControl w:val="0"/>
        <w:spacing w:after="259" w:line="1" w:lineRule="exact"/>
      </w:pPr>
    </w:p>
    <w:tbl>
      <w:tblPr>
        <w:tblOverlap w:val="never"/>
        <w:jc w:val="center"/>
        <w:tblLayout w:type="fixed"/>
      </w:tblPr>
      <w:tblGrid>
        <w:gridCol w:w="5381"/>
        <w:gridCol w:w="4517"/>
      </w:tblGrid>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国民科技（深圳）有限公司</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商誉账面余额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00" w:right="0" w:firstLine="0"/>
              <w:jc w:val="left"/>
            </w:pPr>
            <w:r>
              <w:rPr>
                <w:rFonts w:ascii="Times New Roman" w:eastAsia="Times New Roman" w:hAnsi="Times New Roman" w:cs="Times New Roman"/>
                <w:color w:val="000000"/>
                <w:spacing w:val="0"/>
                <w:w w:val="100"/>
                <w:position w:val="0"/>
              </w:rPr>
              <w:t>54,669,856.22</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商誉减值准备余额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00" w:right="0" w:firstLine="0"/>
              <w:jc w:val="left"/>
            </w:pPr>
            <w:r>
              <w:rPr>
                <w:rFonts w:ascii="Times New Roman" w:eastAsia="Times New Roman" w:hAnsi="Times New Roman" w:cs="Times New Roman"/>
                <w:color w:val="000000"/>
                <w:spacing w:val="0"/>
                <w:w w:val="100"/>
                <w:position w:val="0"/>
              </w:rPr>
              <w:t>54,669,856.22</w:t>
            </w:r>
          </w:p>
        </w:tc>
      </w:tr>
    </w:tbl>
    <w:p>
      <w:pPr>
        <w:pStyle w:val="Style13"/>
        <w:keepNext w:val="0"/>
        <w:keepLines w:val="0"/>
        <w:widowControl w:val="0"/>
        <w:shd w:val="clear" w:color="auto" w:fill="auto"/>
        <w:bidi w:val="0"/>
        <w:spacing w:before="0" w:after="0" w:line="418" w:lineRule="exact"/>
        <w:ind w:left="600" w:right="0" w:hanging="40"/>
        <w:jc w:val="left"/>
        <w:rPr>
          <w:sz w:val="20"/>
          <w:szCs w:val="20"/>
        </w:rPr>
      </w:pPr>
      <w:bookmarkStart w:id="904" w:name="bookmark904"/>
      <w:r>
        <w:rPr>
          <w:color w:val="000000"/>
          <w:spacing w:val="0"/>
          <w:w w:val="100"/>
          <w:position w:val="0"/>
          <w:sz w:val="22"/>
          <w:szCs w:val="22"/>
        </w:rPr>
        <w:t>（</w:t>
      </w:r>
      <w:bookmarkEnd w:id="904"/>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 xml:space="preserve">）本期商誉减值测试过程、参数及商誉减值损失的确认方法 </w:t>
      </w:r>
      <w:r>
        <w:rPr>
          <w:color w:val="000000"/>
          <w:spacing w:val="0"/>
          <w:w w:val="100"/>
          <w:position w:val="0"/>
          <w:sz w:val="20"/>
          <w:szCs w:val="20"/>
        </w:rPr>
        <w:t>深圳斯诺资产组：</w:t>
      </w:r>
    </w:p>
    <w:p>
      <w:pPr>
        <w:pStyle w:val="Style13"/>
        <w:keepNext w:val="0"/>
        <w:keepLines w:val="0"/>
        <w:widowControl w:val="0"/>
        <w:numPr>
          <w:ilvl w:val="0"/>
          <w:numId w:val="49"/>
        </w:numPr>
        <w:shd w:val="clear" w:color="auto" w:fill="auto"/>
        <w:tabs>
          <w:tab w:pos="1089" w:val="left"/>
        </w:tabs>
        <w:bidi w:val="0"/>
        <w:spacing w:before="0" w:after="100" w:line="468" w:lineRule="exact"/>
        <w:ind w:left="0" w:right="0" w:firstLine="600"/>
        <w:jc w:val="left"/>
        <w:rPr>
          <w:sz w:val="20"/>
          <w:szCs w:val="20"/>
        </w:rPr>
      </w:pPr>
      <w:bookmarkStart w:id="905" w:name="bookmark905"/>
      <w:bookmarkEnd w:id="905"/>
      <w:r>
        <w:rPr>
          <w:color w:val="000000"/>
          <w:spacing w:val="0"/>
          <w:w w:val="100"/>
          <w:position w:val="0"/>
          <w:sz w:val="20"/>
          <w:szCs w:val="20"/>
        </w:rPr>
        <w:t>重要假设及依据</w:t>
      </w:r>
    </w:p>
    <w:p>
      <w:pPr>
        <w:pStyle w:val="Style13"/>
        <w:keepNext w:val="0"/>
        <w:keepLines w:val="0"/>
        <w:widowControl w:val="0"/>
        <w:numPr>
          <w:ilvl w:val="0"/>
          <w:numId w:val="51"/>
        </w:numPr>
        <w:shd w:val="clear" w:color="auto" w:fill="auto"/>
        <w:tabs>
          <w:tab w:pos="1337" w:val="left"/>
        </w:tabs>
        <w:bidi w:val="0"/>
        <w:spacing w:before="0" w:after="60" w:line="468" w:lineRule="exact"/>
        <w:ind w:left="0" w:right="0" w:firstLine="940"/>
        <w:jc w:val="left"/>
        <w:rPr>
          <w:sz w:val="20"/>
          <w:szCs w:val="20"/>
        </w:rPr>
      </w:pPr>
      <w:bookmarkStart w:id="906" w:name="bookmark906"/>
      <w:bookmarkEnd w:id="906"/>
      <w:r>
        <w:rPr>
          <w:color w:val="000000"/>
          <w:spacing w:val="0"/>
          <w:w w:val="100"/>
          <w:position w:val="0"/>
          <w:sz w:val="20"/>
          <w:szCs w:val="20"/>
        </w:rPr>
        <w:t>本次委估设备资产按原用途移地续用；</w:t>
      </w:r>
    </w:p>
    <w:p>
      <w:pPr>
        <w:pStyle w:val="Style13"/>
        <w:keepNext w:val="0"/>
        <w:keepLines w:val="0"/>
        <w:widowControl w:val="0"/>
        <w:numPr>
          <w:ilvl w:val="0"/>
          <w:numId w:val="51"/>
        </w:numPr>
        <w:shd w:val="clear" w:color="auto" w:fill="auto"/>
        <w:tabs>
          <w:tab w:pos="1337" w:val="left"/>
        </w:tabs>
        <w:bidi w:val="0"/>
        <w:spacing w:before="0" w:after="100" w:line="490" w:lineRule="exact"/>
        <w:ind w:left="940" w:right="0" w:firstLine="0"/>
        <w:jc w:val="both"/>
        <w:rPr>
          <w:sz w:val="20"/>
          <w:szCs w:val="20"/>
        </w:rPr>
      </w:pPr>
      <w:bookmarkStart w:id="907" w:name="bookmark907"/>
      <w:bookmarkEnd w:id="907"/>
      <w:r>
        <w:rPr>
          <w:color w:val="000000"/>
          <w:spacing w:val="0"/>
          <w:w w:val="100"/>
          <w:position w:val="0"/>
          <w:sz w:val="20"/>
          <w:szCs w:val="20"/>
        </w:rPr>
        <w:t>本次评估假设被评估资产按目前的用途和使用的方式、规模、频度、环境等情况继续使用， 并未考虑各项资产各自的最佳利用；</w:t>
      </w:r>
    </w:p>
    <w:p>
      <w:pPr>
        <w:pStyle w:val="Style13"/>
        <w:keepNext w:val="0"/>
        <w:keepLines w:val="0"/>
        <w:widowControl w:val="0"/>
        <w:numPr>
          <w:ilvl w:val="0"/>
          <w:numId w:val="51"/>
        </w:numPr>
        <w:shd w:val="clear" w:color="auto" w:fill="auto"/>
        <w:tabs>
          <w:tab w:pos="1337" w:val="left"/>
        </w:tabs>
        <w:bidi w:val="0"/>
        <w:spacing w:before="0" w:after="0" w:line="446" w:lineRule="exact"/>
        <w:ind w:left="0" w:right="0" w:firstLine="940"/>
        <w:jc w:val="left"/>
        <w:rPr>
          <w:sz w:val="20"/>
          <w:szCs w:val="20"/>
        </w:rPr>
      </w:pPr>
      <w:bookmarkStart w:id="908" w:name="bookmark908"/>
      <w:bookmarkEnd w:id="908"/>
      <w:r>
        <w:rPr>
          <w:color w:val="000000"/>
          <w:spacing w:val="0"/>
          <w:w w:val="100"/>
          <w:position w:val="0"/>
          <w:sz w:val="20"/>
          <w:szCs w:val="20"/>
        </w:rPr>
        <w:t>产权持有者和委托人提供的相关基础资料和财务资料真实、准确、完整；</w:t>
      </w:r>
    </w:p>
    <w:p>
      <w:pPr>
        <w:pStyle w:val="Style13"/>
        <w:keepNext w:val="0"/>
        <w:keepLines w:val="0"/>
        <w:widowControl w:val="0"/>
        <w:numPr>
          <w:ilvl w:val="0"/>
          <w:numId w:val="51"/>
        </w:numPr>
        <w:shd w:val="clear" w:color="auto" w:fill="auto"/>
        <w:tabs>
          <w:tab w:pos="1337" w:val="left"/>
        </w:tabs>
        <w:bidi w:val="0"/>
        <w:spacing w:before="0" w:after="0" w:line="446" w:lineRule="exact"/>
        <w:ind w:left="940" w:right="0" w:firstLine="0"/>
        <w:jc w:val="left"/>
        <w:rPr>
          <w:sz w:val="20"/>
          <w:szCs w:val="20"/>
        </w:rPr>
      </w:pPr>
      <w:bookmarkStart w:id="909" w:name="bookmark909"/>
      <w:bookmarkEnd w:id="909"/>
      <w:r>
        <w:rPr>
          <w:color w:val="000000"/>
          <w:spacing w:val="0"/>
          <w:w w:val="100"/>
          <w:position w:val="0"/>
          <w:sz w:val="20"/>
          <w:szCs w:val="20"/>
        </w:rPr>
        <w:t>评估范围仅以委托人及产权持有者提供的评估申报表为准，未考虑委托人及产权持有者提 供清单以外可能存在的或有资产及或有负债；</w:t>
      </w:r>
    </w:p>
    <w:p>
      <w:pPr>
        <w:pStyle w:val="Style13"/>
        <w:keepNext w:val="0"/>
        <w:keepLines w:val="0"/>
        <w:widowControl w:val="0"/>
        <w:numPr>
          <w:ilvl w:val="0"/>
          <w:numId w:val="49"/>
        </w:numPr>
        <w:pBdr>
          <w:bottom w:val="single" w:sz="4" w:space="0" w:color="auto"/>
        </w:pBdr>
        <w:shd w:val="clear" w:color="auto" w:fill="auto"/>
        <w:tabs>
          <w:tab w:pos="1089" w:val="left"/>
        </w:tabs>
        <w:bidi w:val="0"/>
        <w:spacing w:before="0" w:after="260" w:line="468" w:lineRule="exact"/>
        <w:ind w:left="0" w:right="0" w:firstLine="600"/>
        <w:jc w:val="left"/>
        <w:rPr>
          <w:sz w:val="20"/>
          <w:szCs w:val="20"/>
        </w:rPr>
      </w:pPr>
      <w:bookmarkStart w:id="910" w:name="bookmark910"/>
      <w:bookmarkEnd w:id="910"/>
      <w:r>
        <w:rPr>
          <w:color w:val="000000"/>
          <w:spacing w:val="0"/>
          <w:w w:val="100"/>
          <w:position w:val="0"/>
          <w:sz w:val="20"/>
          <w:szCs w:val="20"/>
        </w:rPr>
        <w:t>关键参数</w:t>
      </w:r>
    </w:p>
    <w:p>
      <w:pPr>
        <w:pStyle w:val="Style13"/>
        <w:keepNext w:val="0"/>
        <w:keepLines w:val="0"/>
        <w:widowControl w:val="0"/>
        <w:shd w:val="clear" w:color="auto" w:fill="auto"/>
        <w:bidi w:val="0"/>
        <w:spacing w:before="0" w:after="0" w:line="240" w:lineRule="auto"/>
        <w:ind w:left="5140" w:right="0" w:firstLine="0"/>
        <w:jc w:val="left"/>
        <w:rPr>
          <w:sz w:val="20"/>
          <w:szCs w:val="20"/>
        </w:rPr>
      </w:pPr>
      <w:r>
        <w:rPr>
          <w:b/>
          <w:bCs/>
          <w:color w:val="000000"/>
          <w:spacing w:val="0"/>
          <w:w w:val="100"/>
          <w:position w:val="0"/>
          <w:sz w:val="20"/>
          <w:szCs w:val="20"/>
        </w:rPr>
        <w:t>关键参数</w:t>
      </w:r>
    </w:p>
    <w:p>
      <w:pPr>
        <w:pStyle w:val="Style13"/>
        <w:keepNext w:val="0"/>
        <w:keepLines w:val="0"/>
        <w:widowControl w:val="0"/>
        <w:shd w:val="clear" w:color="auto" w:fill="auto"/>
        <w:tabs>
          <w:tab w:leader="hyphen" w:pos="9288" w:val="left"/>
        </w:tabs>
        <w:bidi w:val="0"/>
        <w:spacing w:before="0" w:after="0" w:line="240" w:lineRule="auto"/>
        <w:ind w:left="0" w:right="0" w:firstLine="0"/>
        <w:jc w:val="center"/>
        <w:rPr>
          <w:sz w:val="20"/>
          <w:szCs w:val="20"/>
        </w:rPr>
      </w:pPr>
      <w:r>
        <w:rPr>
          <w:b/>
          <w:bCs/>
          <w:color w:val="000000"/>
          <w:spacing w:val="0"/>
          <w:w w:val="100"/>
          <w:position w:val="0"/>
          <w:sz w:val="20"/>
          <w:szCs w:val="20"/>
        </w:rPr>
        <w:t xml:space="preserve">项目名称 </w:t>
        <w:tab/>
      </w:r>
    </w:p>
    <w:p>
      <w:pPr>
        <w:pStyle w:val="Style13"/>
        <w:keepNext w:val="0"/>
        <w:keepLines w:val="0"/>
        <w:widowControl w:val="0"/>
        <w:shd w:val="clear" w:color="auto" w:fill="auto"/>
        <w:tabs>
          <w:tab w:pos="5592" w:val="left"/>
          <w:tab w:pos="8726" w:val="left"/>
        </w:tabs>
        <w:bidi w:val="0"/>
        <w:spacing w:before="0" w:after="100" w:line="240" w:lineRule="auto"/>
        <w:ind w:left="3000" w:right="0" w:firstLine="0"/>
        <w:jc w:val="left"/>
        <w:rPr>
          <w:sz w:val="20"/>
          <w:szCs w:val="20"/>
        </w:rPr>
        <w:sectPr>
          <w:footnotePr>
            <w:pos w:val="pageBottom"/>
            <w:numFmt w:val="decimal"/>
            <w:numRestart w:val="continuous"/>
          </w:footnotePr>
          <w:pgSz w:w="11900" w:h="16840"/>
          <w:pgMar w:top="1368" w:right="787" w:bottom="1696" w:left="899" w:header="0" w:footer="3" w:gutter="0"/>
          <w:cols w:space="720"/>
          <w:noEndnote/>
          <w:rtlGutter w:val="0"/>
          <w:docGrid w:linePitch="360"/>
        </w:sectPr>
      </w:pPr>
      <w:r>
        <w:rPr>
          <w:b/>
          <w:bCs/>
          <w:color w:val="000000"/>
          <w:spacing w:val="0"/>
          <w:w w:val="100"/>
          <w:position w:val="0"/>
          <w:sz w:val="20"/>
          <w:szCs w:val="20"/>
        </w:rPr>
        <w:t>预测期</w:t>
        <w:tab/>
        <w:t>租金收益年均增长率</w:t>
        <w:tab/>
        <w:t>折现率</w:t>
      </w:r>
    </w:p>
    <w:tbl>
      <w:tblPr>
        <w:tblOverlap w:val="never"/>
        <w:jc w:val="center"/>
        <w:tblLayout w:type="fixed"/>
      </w:tblPr>
      <w:tblGrid>
        <w:gridCol w:w="2443"/>
        <w:gridCol w:w="2851"/>
        <w:gridCol w:w="3394"/>
        <w:gridCol w:w="1258"/>
      </w:tblGrid>
      <w:tr>
        <w:trPr>
          <w:trHeight w:val="79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40"/>
                <w:szCs w:val="40"/>
              </w:rPr>
            </w:pPr>
            <w:r>
              <w:rPr>
                <w:rFonts w:ascii="MS Reference Sans Serif" w:eastAsia="MS Reference Sans Serif" w:hAnsi="MS Reference Sans Serif" w:cs="MS Reference Sans Serif"/>
                <w:b/>
                <w:bCs/>
                <w:color w:val="01418A"/>
                <w:spacing w:val="0"/>
                <w:w w:val="100"/>
                <w:position w:val="0"/>
                <w:sz w:val="40"/>
                <w:szCs w:val="40"/>
              </w:rPr>
              <w:t xml:space="preserve">Nation </w:t>
            </w:r>
            <w:r>
              <w:rPr>
                <w:rFonts w:ascii="MS Reference Sans Serif" w:eastAsia="MS Reference Sans Serif" w:hAnsi="MS Reference Sans Serif" w:cs="MS Reference Sans Serif"/>
                <w:b/>
                <w:bCs/>
                <w:color w:val="01418A"/>
                <w:spacing w:val="0"/>
                <w:w w:val="100"/>
                <w:position w:val="0"/>
                <w:sz w:val="40"/>
                <w:szCs w:val="40"/>
              </w:rPr>
              <w:t>0</w:t>
            </w:r>
          </w:p>
          <w:p>
            <w:pPr>
              <w:pStyle w:val="Style2"/>
              <w:keepNext w:val="0"/>
              <w:keepLines w:val="0"/>
              <w:widowControl w:val="0"/>
              <w:shd w:val="clear" w:color="auto" w:fill="auto"/>
              <w:bidi w:val="0"/>
              <w:spacing w:before="0" w:after="0" w:line="240" w:lineRule="auto"/>
              <w:ind w:left="0" w:right="0" w:firstLine="780"/>
              <w:jc w:val="left"/>
              <w:rPr>
                <w:sz w:val="19"/>
                <w:szCs w:val="19"/>
              </w:rPr>
            </w:pPr>
            <w:r>
              <w:rPr>
                <w:rFonts w:ascii="SimHei" w:eastAsia="SimHei" w:hAnsi="SimHei" w:cs="SimHei"/>
                <w:color w:val="000000"/>
                <w:spacing w:val="0"/>
                <w:w w:val="100"/>
                <w:position w:val="0"/>
                <w:sz w:val="19"/>
                <w:szCs w:val="19"/>
              </w:rPr>
              <w:t>国民技术</w:t>
            </w:r>
            <w:r>
              <w:rPr>
                <w:rFonts w:ascii="SimHei" w:eastAsia="SimHei" w:hAnsi="SimHei" w:cs="SimHei"/>
                <w:color w:val="01418A"/>
                <w:spacing w:val="0"/>
                <w:w w:val="100"/>
                <w:position w:val="0"/>
                <w:sz w:val="19"/>
                <w:szCs w:val="19"/>
              </w:rPr>
              <w:t>▼</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国民技术股份有限公司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年年度报告全文</w:t>
            </w:r>
          </w:p>
        </w:tc>
      </w:tr>
      <w:tr>
        <w:trPr>
          <w:trHeight w:val="336" w:hRule="exact"/>
        </w:trPr>
        <w:tc>
          <w:tcPr>
            <w:gridSpan w:val="4"/>
            <w:tcBorders>
              <w:top w:val="single" w:sz="4"/>
            </w:tcBorders>
            <w:shd w:val="clear" w:color="auto" w:fill="FFFFFF"/>
            <w:vAlign w:val="top"/>
          </w:tcPr>
          <w:p>
            <w:pPr>
              <w:widowControl w:val="0"/>
              <w:rPr>
                <w:sz w:val="10"/>
                <w:szCs w:val="10"/>
              </w:rPr>
            </w:pPr>
          </w:p>
        </w:tc>
      </w:tr>
      <w:tr>
        <w:trPr>
          <w:trHeight w:val="9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200" w:right="0" w:firstLine="60"/>
              <w:jc w:val="left"/>
              <w:rPr>
                <w:sz w:val="20"/>
                <w:szCs w:val="20"/>
              </w:rPr>
            </w:pPr>
            <w:r>
              <w:rPr>
                <w:color w:val="000000"/>
                <w:spacing w:val="0"/>
                <w:w w:val="100"/>
                <w:position w:val="0"/>
                <w:sz w:val="20"/>
                <w:szCs w:val="20"/>
              </w:rPr>
              <w:t>深圳市斯诺 实业发展有 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根据土地使用年限确定</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参照当地房地产市场数据</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140" w:firstLine="0"/>
              <w:jc w:val="right"/>
            </w:pPr>
            <w:r>
              <w:rPr>
                <w:rFonts w:ascii="Times New Roman" w:eastAsia="Times New Roman" w:hAnsi="Times New Roman" w:cs="Times New Roman"/>
                <w:color w:val="000000"/>
                <w:spacing w:val="0"/>
                <w:w w:val="100"/>
                <w:position w:val="0"/>
              </w:rPr>
              <w:t>6.00%</w:t>
            </w:r>
          </w:p>
          <w:p>
            <w:pPr>
              <w:pStyle w:val="Style2"/>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（注）</w:t>
            </w:r>
          </w:p>
        </w:tc>
      </w:tr>
    </w:tbl>
    <w:p>
      <w:pPr>
        <w:pStyle w:val="Style30"/>
        <w:keepNext w:val="0"/>
        <w:keepLines w:val="0"/>
        <w:widowControl w:val="0"/>
        <w:shd w:val="clear" w:color="auto" w:fill="auto"/>
        <w:bidi w:val="0"/>
        <w:spacing w:before="0" w:after="0" w:line="240" w:lineRule="auto"/>
        <w:ind w:left="581" w:right="0" w:firstLine="0"/>
        <w:jc w:val="left"/>
      </w:pPr>
      <w:r>
        <w:rPr>
          <w:color w:val="000000"/>
          <w:spacing w:val="0"/>
          <w:w w:val="100"/>
          <w:position w:val="0"/>
        </w:rPr>
        <w:t>注：采用的折现率是反映当前市场货币时间价值和相关资产组特定风险的税前利率。</w:t>
      </w:r>
    </w:p>
    <w:p>
      <w:pPr>
        <w:widowControl w:val="0"/>
        <w:spacing w:after="259" w:line="1" w:lineRule="exact"/>
      </w:pPr>
    </w:p>
    <w:p>
      <w:pPr>
        <w:pStyle w:val="Style13"/>
        <w:keepNext w:val="0"/>
        <w:keepLines w:val="0"/>
        <w:widowControl w:val="0"/>
        <w:shd w:val="clear" w:color="auto" w:fill="auto"/>
        <w:bidi w:val="0"/>
        <w:spacing w:before="0" w:after="80" w:line="240" w:lineRule="auto"/>
        <w:ind w:left="0" w:right="0" w:firstLine="580"/>
        <w:jc w:val="left"/>
        <w:rPr>
          <w:sz w:val="20"/>
          <w:szCs w:val="20"/>
        </w:rPr>
      </w:pPr>
      <w:r>
        <w:rPr>
          <w:color w:val="000000"/>
          <w:spacing w:val="0"/>
          <w:w w:val="100"/>
          <w:position w:val="0"/>
          <w:sz w:val="20"/>
          <w:szCs w:val="20"/>
        </w:rPr>
        <w:t>内蒙古斯诺资产组</w:t>
      </w:r>
    </w:p>
    <w:p>
      <w:pPr>
        <w:pStyle w:val="Style13"/>
        <w:keepNext w:val="0"/>
        <w:keepLines w:val="0"/>
        <w:widowControl w:val="0"/>
        <w:shd w:val="clear" w:color="auto" w:fill="auto"/>
        <w:bidi w:val="0"/>
        <w:spacing w:before="0" w:after="80" w:line="475" w:lineRule="exact"/>
        <w:ind w:left="0" w:right="0" w:firstLine="580"/>
        <w:jc w:val="both"/>
        <w:rPr>
          <w:sz w:val="20"/>
          <w:szCs w:val="20"/>
        </w:rPr>
      </w:pPr>
      <w:r>
        <w:rPr>
          <w:color w:val="000000"/>
          <w:spacing w:val="0"/>
          <w:w w:val="100"/>
          <w:position w:val="0"/>
          <w:sz w:val="20"/>
          <w:szCs w:val="20"/>
        </w:rPr>
        <w:t>①重要假设及依据</w:t>
      </w:r>
    </w:p>
    <w:p>
      <w:pPr>
        <w:pStyle w:val="Style13"/>
        <w:keepNext w:val="0"/>
        <w:keepLines w:val="0"/>
        <w:widowControl w:val="0"/>
        <w:numPr>
          <w:ilvl w:val="0"/>
          <w:numId w:val="53"/>
        </w:numPr>
        <w:shd w:val="clear" w:color="auto" w:fill="auto"/>
        <w:tabs>
          <w:tab w:pos="1337" w:val="left"/>
        </w:tabs>
        <w:bidi w:val="0"/>
        <w:spacing w:before="0" w:after="80" w:line="490" w:lineRule="exact"/>
        <w:ind w:left="940" w:right="0" w:firstLine="0"/>
        <w:jc w:val="left"/>
        <w:rPr>
          <w:sz w:val="20"/>
          <w:szCs w:val="20"/>
        </w:rPr>
      </w:pPr>
      <w:bookmarkStart w:id="911" w:name="bookmark911"/>
      <w:bookmarkEnd w:id="911"/>
      <w:r>
        <w:rPr>
          <w:color w:val="000000"/>
          <w:spacing w:val="0"/>
          <w:w w:val="100"/>
          <w:position w:val="0"/>
          <w:sz w:val="20"/>
          <w:szCs w:val="20"/>
        </w:rPr>
        <w:t>本次评估假设被评估资产按目前的用途和使用的方式、规模、频度、环境等情况继续使用， 并未考虑各项资产各自的最佳利用；</w:t>
      </w:r>
    </w:p>
    <w:p>
      <w:pPr>
        <w:pStyle w:val="Style13"/>
        <w:keepNext w:val="0"/>
        <w:keepLines w:val="0"/>
        <w:widowControl w:val="0"/>
        <w:numPr>
          <w:ilvl w:val="0"/>
          <w:numId w:val="53"/>
        </w:numPr>
        <w:shd w:val="clear" w:color="auto" w:fill="auto"/>
        <w:tabs>
          <w:tab w:pos="1337" w:val="left"/>
        </w:tabs>
        <w:bidi w:val="0"/>
        <w:spacing w:before="0" w:after="80" w:line="475" w:lineRule="exact"/>
        <w:ind w:left="940" w:right="0" w:firstLine="0"/>
        <w:jc w:val="left"/>
        <w:rPr>
          <w:sz w:val="20"/>
          <w:szCs w:val="20"/>
        </w:rPr>
      </w:pPr>
      <w:bookmarkStart w:id="912" w:name="bookmark912"/>
      <w:bookmarkEnd w:id="912"/>
      <w:r>
        <w:rPr>
          <w:color w:val="000000"/>
          <w:spacing w:val="0"/>
          <w:w w:val="100"/>
          <w:position w:val="0"/>
          <w:sz w:val="20"/>
          <w:szCs w:val="20"/>
        </w:rPr>
        <w:t>产权持有者和委托人提供的相关基础资料和财务资料真实、准确、完整；</w:t>
      </w:r>
    </w:p>
    <w:p>
      <w:pPr>
        <w:pStyle w:val="Style13"/>
        <w:keepNext w:val="0"/>
        <w:keepLines w:val="0"/>
        <w:widowControl w:val="0"/>
        <w:numPr>
          <w:ilvl w:val="0"/>
          <w:numId w:val="53"/>
        </w:numPr>
        <w:shd w:val="clear" w:color="auto" w:fill="auto"/>
        <w:tabs>
          <w:tab w:pos="1337" w:val="left"/>
        </w:tabs>
        <w:bidi w:val="0"/>
        <w:spacing w:before="0" w:after="80" w:line="475" w:lineRule="exact"/>
        <w:ind w:left="940" w:right="0" w:firstLine="0"/>
        <w:jc w:val="left"/>
        <w:rPr>
          <w:sz w:val="20"/>
          <w:szCs w:val="20"/>
        </w:rPr>
      </w:pPr>
      <w:bookmarkStart w:id="913" w:name="bookmark913"/>
      <w:bookmarkEnd w:id="913"/>
      <w:r>
        <w:rPr>
          <w:color w:val="000000"/>
          <w:spacing w:val="0"/>
          <w:w w:val="100"/>
          <w:position w:val="0"/>
          <w:sz w:val="20"/>
          <w:szCs w:val="20"/>
        </w:rPr>
        <w:t>评估人员所依据的对比公司的财务报告、交易数据等均真实可靠；</w:t>
      </w:r>
    </w:p>
    <w:p>
      <w:pPr>
        <w:pStyle w:val="Style13"/>
        <w:keepNext w:val="0"/>
        <w:keepLines w:val="0"/>
        <w:widowControl w:val="0"/>
        <w:numPr>
          <w:ilvl w:val="0"/>
          <w:numId w:val="53"/>
        </w:numPr>
        <w:shd w:val="clear" w:color="auto" w:fill="auto"/>
        <w:tabs>
          <w:tab w:pos="1337" w:val="left"/>
        </w:tabs>
        <w:bidi w:val="0"/>
        <w:spacing w:before="0" w:after="80" w:line="446" w:lineRule="exact"/>
        <w:ind w:left="940" w:right="0" w:firstLine="0"/>
        <w:jc w:val="left"/>
        <w:rPr>
          <w:sz w:val="20"/>
          <w:szCs w:val="20"/>
        </w:rPr>
      </w:pPr>
      <w:bookmarkStart w:id="914" w:name="bookmark914"/>
      <w:bookmarkEnd w:id="914"/>
      <w:r>
        <w:rPr>
          <w:color w:val="000000"/>
          <w:spacing w:val="0"/>
          <w:w w:val="100"/>
          <w:position w:val="0"/>
          <w:sz w:val="20"/>
          <w:szCs w:val="20"/>
        </w:rPr>
        <w:t>评估范围仅以委托人及产权持有者提供的评估申报表为准，未考虑委托人及产权持有者提 供清单以外可能存在的或有资产；</w:t>
      </w:r>
    </w:p>
    <w:p>
      <w:pPr>
        <w:pStyle w:val="Style13"/>
        <w:keepNext w:val="0"/>
        <w:keepLines w:val="0"/>
        <w:widowControl w:val="0"/>
        <w:numPr>
          <w:ilvl w:val="0"/>
          <w:numId w:val="53"/>
        </w:numPr>
        <w:shd w:val="clear" w:color="auto" w:fill="auto"/>
        <w:tabs>
          <w:tab w:pos="1337" w:val="left"/>
        </w:tabs>
        <w:bidi w:val="0"/>
        <w:spacing w:before="0" w:after="80" w:line="475" w:lineRule="exact"/>
        <w:ind w:left="940" w:right="0" w:firstLine="0"/>
        <w:jc w:val="left"/>
        <w:rPr>
          <w:sz w:val="20"/>
          <w:szCs w:val="20"/>
        </w:rPr>
      </w:pPr>
      <w:bookmarkStart w:id="915" w:name="bookmark915"/>
      <w:bookmarkEnd w:id="915"/>
      <w:r>
        <w:rPr>
          <w:color w:val="000000"/>
          <w:spacing w:val="0"/>
          <w:w w:val="100"/>
          <w:position w:val="0"/>
          <w:sz w:val="20"/>
          <w:szCs w:val="20"/>
        </w:rPr>
        <w:t>企业制订的经营计划和采取的措施等能按预定的时间和进度如期实现，并取得预期效益；</w:t>
      </w:r>
    </w:p>
    <w:p>
      <w:pPr>
        <w:pStyle w:val="Style13"/>
        <w:keepNext w:val="0"/>
        <w:keepLines w:val="0"/>
        <w:widowControl w:val="0"/>
        <w:numPr>
          <w:ilvl w:val="0"/>
          <w:numId w:val="53"/>
        </w:numPr>
        <w:shd w:val="clear" w:color="auto" w:fill="auto"/>
        <w:tabs>
          <w:tab w:pos="1337" w:val="left"/>
        </w:tabs>
        <w:bidi w:val="0"/>
        <w:spacing w:before="0" w:after="80" w:line="475" w:lineRule="exact"/>
        <w:ind w:left="940" w:right="0" w:firstLine="0"/>
        <w:jc w:val="left"/>
        <w:rPr>
          <w:sz w:val="20"/>
          <w:szCs w:val="20"/>
        </w:rPr>
      </w:pPr>
      <w:bookmarkStart w:id="916" w:name="bookmark916"/>
      <w:bookmarkEnd w:id="916"/>
      <w:r>
        <w:rPr>
          <w:color w:val="000000"/>
          <w:spacing w:val="0"/>
          <w:w w:val="100"/>
          <w:position w:val="0"/>
          <w:sz w:val="20"/>
          <w:szCs w:val="20"/>
        </w:rPr>
        <w:t>内蒙古斯诺新材料科技有限公司开展业务场地为租赁取得，假设租赁期间不会因城市更 新、城市建设、房屋征收等导致无法继续使用，且租赁到期后能续期；</w:t>
      </w:r>
    </w:p>
    <w:p>
      <w:pPr>
        <w:pStyle w:val="Style13"/>
        <w:keepNext w:val="0"/>
        <w:keepLines w:val="0"/>
        <w:widowControl w:val="0"/>
        <w:numPr>
          <w:ilvl w:val="0"/>
          <w:numId w:val="53"/>
        </w:numPr>
        <w:shd w:val="clear" w:color="auto" w:fill="auto"/>
        <w:tabs>
          <w:tab w:pos="1332" w:val="left"/>
        </w:tabs>
        <w:bidi w:val="0"/>
        <w:spacing w:before="0" w:after="200" w:line="475" w:lineRule="exact"/>
        <w:ind w:left="0" w:right="0" w:firstLine="940"/>
        <w:jc w:val="left"/>
        <w:rPr>
          <w:sz w:val="20"/>
          <w:szCs w:val="20"/>
        </w:rPr>
      </w:pPr>
      <w:bookmarkStart w:id="917" w:name="bookmark917"/>
      <w:bookmarkEnd w:id="917"/>
      <w:r>
        <w:rPr>
          <w:color w:val="000000"/>
          <w:spacing w:val="0"/>
          <w:w w:val="100"/>
          <w:position w:val="0"/>
          <w:sz w:val="20"/>
          <w:szCs w:val="20"/>
        </w:rPr>
        <w:t>本次评估假设企业未来年度内均匀获得净现金流；</w:t>
      </w:r>
    </w:p>
    <w:p>
      <w:pPr>
        <w:pStyle w:val="Style30"/>
        <w:keepNext w:val="0"/>
        <w:keepLines w:val="0"/>
        <w:widowControl w:val="0"/>
        <w:shd w:val="clear" w:color="auto" w:fill="auto"/>
        <w:bidi w:val="0"/>
        <w:spacing w:before="0" w:after="0" w:line="240" w:lineRule="auto"/>
        <w:ind w:left="562" w:right="0" w:firstLine="0"/>
        <w:jc w:val="left"/>
      </w:pPr>
      <w:r>
        <w:rPr>
          <w:color w:val="000000"/>
          <w:spacing w:val="0"/>
          <w:w w:val="100"/>
          <w:position w:val="0"/>
        </w:rPr>
        <w:t>②关键参数</w:t>
      </w:r>
    </w:p>
    <w:tbl>
      <w:tblPr>
        <w:tblOverlap w:val="never"/>
        <w:jc w:val="center"/>
        <w:tblLayout w:type="fixed"/>
      </w:tblPr>
      <w:tblGrid>
        <w:gridCol w:w="1646"/>
        <w:gridCol w:w="1714"/>
        <w:gridCol w:w="1613"/>
        <w:gridCol w:w="1670"/>
        <w:gridCol w:w="1819"/>
        <w:gridCol w:w="1483"/>
      </w:tblGrid>
      <w:tr>
        <w:trPr>
          <w:trHeight w:val="475"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项目名称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关键参数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20" w:hRule="exact"/>
        </w:trPr>
        <w:tc>
          <w:tcPr>
            <w:vMerge/>
            <w:tcBorders/>
            <w:shd w:val="clear" w:color="auto" w:fill="FFFFFF"/>
            <w:vAlign w:val="bottom"/>
          </w:tcPr>
          <w:p>
            <w:pP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预测期</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预测期增长率</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稳定期增长率</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利润率</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rPr>
              <w:t>折现率</w:t>
            </w:r>
          </w:p>
        </w:tc>
      </w:tr>
      <w:tr>
        <w:trPr>
          <w:trHeight w:val="346" w:hRule="exact"/>
        </w:trPr>
        <w:tc>
          <w:tcPr>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3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内蒙古斯诺</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rPr>
              <w:t>-2026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根据预测的收</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140" w:firstLine="0"/>
              <w:jc w:val="right"/>
            </w:pPr>
            <w:r>
              <w:rPr>
                <w:rFonts w:ascii="Times New Roman" w:eastAsia="Times New Roman" w:hAnsi="Times New Roman" w:cs="Times New Roman"/>
                <w:color w:val="000000"/>
                <w:spacing w:val="0"/>
                <w:w w:val="100"/>
                <w:position w:val="0"/>
              </w:rPr>
              <w:t>14.00%</w:t>
            </w:r>
          </w:p>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r>
          </w:p>
        </w:tc>
      </w:tr>
      <w:tr>
        <w:trPr>
          <w:trHeight w:val="3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新材料科技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年（后续为稳</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入、成本、费</w:t>
            </w:r>
          </w:p>
        </w:tc>
        <w:tc>
          <w:tcPr>
            <w:vMerge/>
            <w:tcBorders/>
            <w:shd w:val="clear" w:color="auto" w:fill="FFFFFF"/>
            <w:vAlign w:val="center"/>
          </w:tcPr>
          <w:p>
            <w:pPr/>
          </w:p>
        </w:tc>
      </w:tr>
      <w:tr>
        <w:trPr>
          <w:trHeight w:val="326"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有限公司</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定期）</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用等计算</w:t>
            </w:r>
          </w:p>
        </w:tc>
        <w:tc>
          <w:tcPr>
            <w:vMerge/>
            <w:tcBorders>
              <w:bottom w:val="single" w:sz="4"/>
            </w:tcBorders>
            <w:shd w:val="clear" w:color="auto" w:fill="FFFFFF"/>
            <w:vAlign w:val="center"/>
          </w:tcPr>
          <w:p>
            <w:pPr/>
          </w:p>
        </w:tc>
      </w:tr>
    </w:tbl>
    <w:p>
      <w:pPr>
        <w:pStyle w:val="Style13"/>
        <w:keepNext w:val="0"/>
        <w:keepLines w:val="0"/>
        <w:widowControl w:val="0"/>
        <w:shd w:val="clear" w:color="auto" w:fill="auto"/>
        <w:bidi w:val="0"/>
        <w:spacing w:before="0" w:after="80" w:line="470" w:lineRule="exact"/>
        <w:ind w:left="140" w:right="0" w:firstLine="44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：根据内蒙古斯诺</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年的经营情况、以此时点参照各产品历史年度营业收入增长率并考虑 所在行业发展前景综合考虑，对产品收入依据市场销售情况及公司的销售计划分产品品种进行预测， 预计</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年到</w:t>
      </w:r>
      <w:r>
        <w:rPr>
          <w:rFonts w:ascii="Times New Roman" w:eastAsia="Times New Roman" w:hAnsi="Times New Roman" w:cs="Times New Roman"/>
          <w:color w:val="000000"/>
          <w:spacing w:val="0"/>
          <w:w w:val="100"/>
          <w:position w:val="0"/>
          <w:sz w:val="22"/>
          <w:szCs w:val="22"/>
        </w:rPr>
        <w:t>2026</w:t>
      </w:r>
      <w:r>
        <w:rPr>
          <w:color w:val="000000"/>
          <w:spacing w:val="0"/>
          <w:w w:val="100"/>
          <w:position w:val="0"/>
          <w:sz w:val="20"/>
          <w:szCs w:val="20"/>
        </w:rPr>
        <w:t>年销售增长率分别为</w:t>
      </w:r>
      <w:r>
        <w:rPr>
          <w:rFonts w:ascii="Times New Roman" w:eastAsia="Times New Roman" w:hAnsi="Times New Roman" w:cs="Times New Roman"/>
          <w:color w:val="000000"/>
          <w:spacing w:val="0"/>
          <w:w w:val="100"/>
          <w:position w:val="0"/>
          <w:sz w:val="22"/>
          <w:szCs w:val="22"/>
        </w:rPr>
        <w:t>102.91%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1.65%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2.00%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0.00%</w:t>
      </w:r>
      <w:r>
        <w:rPr>
          <w:color w:val="000000"/>
          <w:spacing w:val="0"/>
          <w:w w:val="100"/>
          <w:position w:val="0"/>
          <w:sz w:val="20"/>
          <w:szCs w:val="20"/>
        </w:rPr>
        <w:t>；上期预计</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年到</w:t>
      </w:r>
      <w:r>
        <w:rPr>
          <w:rFonts w:ascii="Times New Roman" w:eastAsia="Times New Roman" w:hAnsi="Times New Roman" w:cs="Times New Roman"/>
          <w:color w:val="000000"/>
          <w:spacing w:val="0"/>
          <w:w w:val="100"/>
          <w:position w:val="0"/>
          <w:sz w:val="22"/>
          <w:szCs w:val="22"/>
        </w:rPr>
        <w:t>2025</w:t>
      </w:r>
      <w:r>
        <w:rPr>
          <w:color w:val="000000"/>
          <w:spacing w:val="0"/>
          <w:w w:val="100"/>
          <w:position w:val="0"/>
          <w:sz w:val="20"/>
          <w:szCs w:val="20"/>
        </w:rPr>
        <w:t>年销售增长率分别</w:t>
      </w:r>
      <w:r>
        <w:rPr>
          <w:rFonts w:ascii="Times New Roman" w:eastAsia="Times New Roman" w:hAnsi="Times New Roman" w:cs="Times New Roman"/>
          <w:color w:val="000000"/>
          <w:spacing w:val="0"/>
          <w:w w:val="100"/>
          <w:position w:val="0"/>
          <w:sz w:val="22"/>
          <w:szCs w:val="22"/>
        </w:rPr>
        <w:t>99.91%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20.30%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2.64%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2.27%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1.87%</w:t>
      </w:r>
      <w:r>
        <w:rPr>
          <w:color w:val="000000"/>
          <w:spacing w:val="0"/>
          <w:w w:val="100"/>
          <w:position w:val="0"/>
          <w:sz w:val="20"/>
          <w:szCs w:val="20"/>
        </w:rPr>
        <w:t>。本次预测</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年的销售增长 率较前次高</w:t>
      </w:r>
      <w:r>
        <w:rPr>
          <w:color w:val="000000"/>
          <w:spacing w:val="0"/>
          <w:w w:val="100"/>
          <w:position w:val="0"/>
          <w:sz w:val="22"/>
          <w:szCs w:val="22"/>
        </w:rPr>
        <w:t>，</w:t>
      </w:r>
      <w:r>
        <w:rPr>
          <w:color w:val="000000"/>
          <w:spacing w:val="0"/>
          <w:w w:val="100"/>
          <w:position w:val="0"/>
          <w:sz w:val="20"/>
          <w:szCs w:val="20"/>
        </w:rPr>
        <w:t>主要原因为随着市场对负极材料的需求大幅度增加，</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年收益预测系企业综合考虑行 业的供需情况、客户需求和供货能力等各个方面做出的预测。</w:t>
      </w:r>
    </w:p>
    <w:p>
      <w:pPr>
        <w:pStyle w:val="Style13"/>
        <w:keepNext w:val="0"/>
        <w:keepLines w:val="0"/>
        <w:widowControl w:val="0"/>
        <w:shd w:val="clear" w:color="auto" w:fill="auto"/>
        <w:bidi w:val="0"/>
        <w:spacing w:before="0" w:after="80" w:line="470" w:lineRule="exact"/>
        <w:ind w:left="0" w:right="0" w:firstLine="580"/>
        <w:jc w:val="left"/>
        <w:rPr>
          <w:sz w:val="20"/>
          <w:szCs w:val="20"/>
        </w:rPr>
        <w:sectPr>
          <w:footnotePr>
            <w:pos w:val="pageBottom"/>
            <w:numFmt w:val="decimal"/>
            <w:numRestart w:val="continuous"/>
          </w:footnotePr>
          <w:pgSz w:w="11900" w:h="16840"/>
          <w:pgMar w:top="313" w:right="984" w:bottom="1369" w:left="970" w:header="0" w:footer="3" w:gutter="0"/>
          <w:cols w:space="720"/>
          <w:noEndnote/>
          <w:rtlGutter w:val="0"/>
          <w:docGrid w:linePitch="360"/>
        </w:sect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：采用的折现率是反映当前市场货币时间价值和相关资产组特定风险的税前利率。</w:t>
      </w:r>
    </w:p>
    <w:p>
      <w:pPr>
        <w:pStyle w:val="Style13"/>
        <w:keepNext w:val="0"/>
        <w:keepLines w:val="0"/>
        <w:widowControl w:val="0"/>
        <w:shd w:val="clear" w:color="auto" w:fill="auto"/>
        <w:bidi w:val="0"/>
        <w:spacing w:before="120" w:after="320" w:line="240" w:lineRule="auto"/>
        <w:ind w:left="0" w:right="0" w:firstLine="140"/>
        <w:jc w:val="left"/>
      </w:pPr>
      <w:r>
        <w:rPr>
          <w:rFonts w:ascii="Times New Roman" w:eastAsia="Times New Roman" w:hAnsi="Times New Roman" w:cs="Times New Roman"/>
          <w:color w:val="000000"/>
          <w:spacing w:val="0"/>
          <w:w w:val="100"/>
          <w:position w:val="0"/>
        </w:rPr>
        <w:t>19</w:t>
      </w:r>
      <w:r>
        <w:rPr>
          <w:color w:val="000000"/>
          <w:spacing w:val="0"/>
          <w:w w:val="100"/>
          <w:position w:val="0"/>
        </w:rPr>
        <w:t>、长期待摊费用</w:t>
      </w:r>
    </w:p>
    <w:tbl>
      <w:tblPr>
        <w:tblOverlap w:val="never"/>
        <w:jc w:val="center"/>
        <w:tblLayout w:type="fixed"/>
      </w:tblPr>
      <w:tblGrid>
        <w:gridCol w:w="1181"/>
        <w:gridCol w:w="1704"/>
        <w:gridCol w:w="1699"/>
        <w:gridCol w:w="1699"/>
        <w:gridCol w:w="854"/>
        <w:gridCol w:w="1738"/>
        <w:gridCol w:w="1027"/>
      </w:tblGrid>
      <w:tr>
        <w:trPr>
          <w:trHeight w:val="11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b/>
                <w:bCs/>
                <w:color w:val="000000"/>
                <w:spacing w:val="0"/>
                <w:w w:val="100"/>
                <w:position w:val="0"/>
                <w:sz w:val="20"/>
                <w:szCs w:val="20"/>
              </w:rPr>
              <w:t>2021.01.01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本期摊销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rPr>
                <w:sz w:val="20"/>
                <w:szCs w:val="20"/>
              </w:rPr>
            </w:pPr>
            <w:r>
              <w:rPr>
                <w:b/>
                <w:bCs/>
                <w:color w:val="000000"/>
                <w:spacing w:val="0"/>
                <w:w w:val="100"/>
                <w:position w:val="0"/>
                <w:sz w:val="20"/>
                <w:szCs w:val="20"/>
              </w:rPr>
              <w:t>其他</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5" w:lineRule="exact"/>
              <w:ind w:left="0" w:right="0" w:firstLine="0"/>
              <w:jc w:val="center"/>
              <w:rPr>
                <w:sz w:val="20"/>
                <w:szCs w:val="20"/>
              </w:rPr>
            </w:pPr>
            <w:r>
              <w:rPr>
                <w:b/>
                <w:bCs/>
                <w:color w:val="000000"/>
                <w:spacing w:val="0"/>
                <w:w w:val="100"/>
                <w:position w:val="0"/>
                <w:sz w:val="20"/>
                <w:szCs w:val="20"/>
              </w:rPr>
              <w:t>其他 减少 的原 因</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7,068,871.73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4,349,831.38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3,381,701.62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8,037,001.49</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EDA</w:t>
            </w:r>
            <w:r>
              <w:rPr>
                <w:color w:val="000000"/>
                <w:spacing w:val="0"/>
                <w:w w:val="100"/>
                <w:position w:val="0"/>
                <w:sz w:val="20"/>
                <w:szCs w:val="20"/>
              </w:rPr>
              <w:t>工</w:t>
            </w:r>
          </w:p>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3,838,492.29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11,079,696.98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11,971,537.37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2,946,651.90</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IP</w:t>
            </w:r>
            <w:r>
              <w:rPr>
                <w:color w:val="000000"/>
                <w:spacing w:val="0"/>
                <w:w w:val="100"/>
                <w:position w:val="0"/>
                <w:sz w:val="20"/>
                <w:szCs w:val="20"/>
              </w:rPr>
              <w:t>使用</w:t>
            </w:r>
          </w:p>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5,371,181.16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5,186,018.85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4,901,372.07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5,655,827.94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1,612,040.71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2,030,476.81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1,285,455.54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2,357,061.98</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17,890,585.89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22,646,024.02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21,540,066.60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18,996,543.31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420" w:line="240" w:lineRule="auto"/>
        <w:ind w:left="0" w:right="0" w:firstLine="140"/>
        <w:jc w:val="left"/>
      </w:pPr>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20</w:t>
      </w:r>
      <w:r>
        <w:rPr>
          <w:color w:val="000000"/>
          <w:spacing w:val="0"/>
          <w:w w:val="100"/>
          <w:position w:val="0"/>
        </w:rPr>
        <w:t>、递延所得税资产和递延所得税负债</w:t>
      </w:r>
      <w:bookmarkEnd w:id="918"/>
      <w:bookmarkEnd w:id="919"/>
      <w:bookmarkEnd w:id="920"/>
    </w:p>
    <w:p>
      <w:pPr>
        <w:pStyle w:val="Style13"/>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p>
    <w:tbl>
      <w:tblPr>
        <w:tblOverlap w:val="never"/>
        <w:jc w:val="center"/>
        <w:tblLayout w:type="fixed"/>
      </w:tblPr>
      <w:tblGrid>
        <w:gridCol w:w="2424"/>
        <w:gridCol w:w="1699"/>
        <w:gridCol w:w="1843"/>
        <w:gridCol w:w="1699"/>
        <w:gridCol w:w="1920"/>
      </w:tblGrid>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581"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递延所得税 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可抵扣暂时性 差异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递延所得税 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可抵扣暂时性 差异</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23,440,621.76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233,117,392.01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39,980,728.80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266,538,192.02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9,683,395.70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92,133,714.86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1,903,415.41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12,689,436.05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11,894,103.59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118,941,035.94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6,499,278.22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28,929,132.41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19,549,296.00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187,761,600.00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470,492.25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3,136,614.97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224,524.78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1,644,353.69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65,262,434.08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636,734,711.47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48,383,422.43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308,156,760.48</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p>
    <w:tbl>
      <w:tblPr>
        <w:tblOverlap w:val="never"/>
        <w:jc w:val="center"/>
        <w:tblLayout w:type="fixed"/>
      </w:tblPr>
      <w:tblGrid>
        <w:gridCol w:w="2933"/>
        <w:gridCol w:w="1728"/>
        <w:gridCol w:w="1819"/>
        <w:gridCol w:w="1579"/>
        <w:gridCol w:w="1771"/>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tabs>
                <w:tab w:pos="1795" w:val="left"/>
              </w:tabs>
              <w:bidi w:val="0"/>
              <w:spacing w:before="0" w:after="0" w:line="240" w:lineRule="auto"/>
              <w:ind w:left="1320" w:right="0" w:firstLine="0"/>
              <w:jc w:val="left"/>
              <w:rPr>
                <w:sz w:val="20"/>
                <w:szCs w:val="20"/>
              </w:rPr>
            </w:pPr>
            <w:r>
              <w:rPr>
                <w:b/>
                <w:bCs/>
                <w:color w:val="000000"/>
                <w:spacing w:val="0"/>
                <w:w w:val="100"/>
                <w:position w:val="0"/>
                <w:sz w:val="20"/>
                <w:szCs w:val="20"/>
              </w:rPr>
              <w:t>项</w:t>
              <w:tab/>
              <w:t>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b/>
                <w:bCs/>
                <w:color w:val="000000"/>
                <w:spacing w:val="0"/>
                <w:w w:val="100"/>
                <w:position w:val="0"/>
                <w:sz w:val="20"/>
                <w:szCs w:val="20"/>
              </w:rPr>
              <w:t>应纳税 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递延所得税负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b/>
                <w:bCs/>
                <w:color w:val="000000"/>
                <w:spacing w:val="0"/>
                <w:w w:val="100"/>
                <w:position w:val="0"/>
                <w:sz w:val="20"/>
                <w:szCs w:val="20"/>
              </w:rPr>
              <w:t>应纳税 暂时性差异</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非同一控制下企业合并资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1,929,279.28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12,861,861.91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2,259,786.17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15,065,241.18</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260" w:right="0" w:firstLine="0"/>
              <w:jc w:val="left"/>
              <w:rPr>
                <w:sz w:val="20"/>
                <w:szCs w:val="20"/>
              </w:rPr>
            </w:pPr>
            <w:r>
              <w:rPr>
                <w:color w:val="000000"/>
                <w:spacing w:val="0"/>
                <w:w w:val="100"/>
                <w:position w:val="0"/>
                <w:sz w:val="20"/>
                <w:szCs w:val="20"/>
              </w:rPr>
              <w:t>投资性房地产公允价值变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18,755,861.95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187,558,619.53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29,044,345.29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193,628,968.53</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260" w:right="0" w:firstLine="0"/>
              <w:jc w:val="left"/>
              <w:rPr>
                <w:sz w:val="20"/>
                <w:szCs w:val="20"/>
              </w:rPr>
            </w:pPr>
            <w:r>
              <w:rPr>
                <w:color w:val="000000"/>
                <w:spacing w:val="0"/>
                <w:w w:val="100"/>
                <w:position w:val="0"/>
                <w:sz w:val="20"/>
                <w:szCs w:val="20"/>
              </w:rPr>
              <w:t>交易性金融资产公允价值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8,355,141.63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83,551,416.25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rPr>
              <w:t>29,040,282.86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283,971,897.69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31,304,131.46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208,694,209.71</w:t>
            </w:r>
          </w:p>
        </w:tc>
      </w:tr>
    </w:tbl>
    <w:p>
      <w:pPr>
        <w:widowControl w:val="0"/>
        <w:spacing w:line="1" w:lineRule="exact"/>
      </w:pPr>
      <w:r>
        <w:br w:type="page"/>
      </w:r>
    </w:p>
    <w:p>
      <w:pPr>
        <w:pStyle w:val="Style30"/>
        <w:keepNext w:val="0"/>
        <w:keepLines w:val="0"/>
        <w:widowControl w:val="0"/>
        <w:shd w:val="clear" w:color="auto" w:fill="auto"/>
        <w:bidi w:val="0"/>
        <w:spacing w:before="0" w:after="0" w:line="240" w:lineRule="auto"/>
        <w:ind w:left="293"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)未确认递延所得税资产明细</w:t>
      </w:r>
    </w:p>
    <w:tbl>
      <w:tblPr>
        <w:tblOverlap w:val="never"/>
        <w:jc w:val="center"/>
        <w:tblLayout w:type="fixed"/>
      </w:tblPr>
      <w:tblGrid>
        <w:gridCol w:w="3144"/>
        <w:gridCol w:w="3110"/>
        <w:gridCol w:w="3038"/>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4"/>
                <w:szCs w:val="24"/>
              </w:rPr>
            </w:pPr>
            <w:r>
              <w:rPr>
                <w:rFonts w:ascii="Times New Roman" w:eastAsia="Times New Roman" w:hAnsi="Times New Roman" w:cs="Times New Roman"/>
                <w:b/>
                <w:bCs/>
                <w:color w:val="000000"/>
                <w:spacing w:val="0"/>
                <w:w w:val="100"/>
                <w:position w:val="0"/>
                <w:sz w:val="24"/>
                <w:szCs w:val="24"/>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5,077,800.00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6,489,678.34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10,547,809.35</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76,007,752.09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732,263,524.32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55,595,960.39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1,071,673,457.18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33,962,161.57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4"/>
                <w:szCs w:val="24"/>
              </w:rPr>
            </w:pPr>
            <w:r>
              <w:rPr>
                <w:rFonts w:ascii="Times New Roman" w:eastAsia="Times New Roman" w:hAnsi="Times New Roman" w:cs="Times New Roman"/>
                <w:color w:val="000000"/>
                <w:spacing w:val="0"/>
                <w:w w:val="100"/>
                <w:position w:val="0"/>
                <w:sz w:val="24"/>
                <w:szCs w:val="24"/>
              </w:rPr>
              <w:t>25,090,780.99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1,238,736,870.61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1,109,724,829.42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权益法下华夏芯投资收益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4"/>
                <w:szCs w:val="24"/>
              </w:rPr>
            </w:pPr>
            <w:r>
              <w:rPr>
                <w:rFonts w:ascii="Times New Roman" w:eastAsia="Times New Roman" w:hAnsi="Times New Roman" w:cs="Times New Roman"/>
                <w:color w:val="000000"/>
                <w:spacing w:val="0"/>
                <w:w w:val="100"/>
                <w:position w:val="0"/>
                <w:sz w:val="24"/>
                <w:szCs w:val="24"/>
              </w:rPr>
              <w:t>39,861,008.63</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b/>
                <w:bCs/>
                <w:color w:val="000000"/>
                <w:spacing w:val="0"/>
                <w:w w:val="100"/>
                <w:position w:val="0"/>
                <w:sz w:val="24"/>
                <w:szCs w:val="24"/>
              </w:rPr>
              <w:t>1,419,928,354.01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b/>
                <w:bCs/>
                <w:color w:val="000000"/>
                <w:spacing w:val="0"/>
                <w:w w:val="100"/>
                <w:position w:val="0"/>
                <w:sz w:val="24"/>
                <w:szCs w:val="24"/>
              </w:rPr>
              <w:t>2,985,103,278.88</w:t>
            </w:r>
          </w:p>
        </w:tc>
      </w:tr>
    </w:tbl>
    <w:p>
      <w:pPr>
        <w:pStyle w:val="Style13"/>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注：由于未来能否获得足够的应纳税所得额具有不确定性，因而没有确认递延所得税资产的 可抵扣暂时性差异和可抵扣亏损。</w:t>
      </w:r>
    </w:p>
    <w:p>
      <w:pPr>
        <w:pStyle w:val="Style13"/>
        <w:keepNext w:val="0"/>
        <w:keepLines w:val="0"/>
        <w:widowControl w:val="0"/>
        <w:numPr>
          <w:ilvl w:val="0"/>
          <w:numId w:val="55"/>
        </w:numPr>
        <w:shd w:val="clear" w:color="auto" w:fill="auto"/>
        <w:bidi w:val="0"/>
        <w:spacing w:before="0" w:after="120" w:line="470" w:lineRule="exact"/>
        <w:ind w:left="0" w:right="0" w:firstLine="480"/>
        <w:jc w:val="left"/>
      </w:pPr>
      <w:bookmarkStart w:id="921" w:name="bookmark921"/>
      <w:bookmarkEnd w:id="921"/>
      <w:r>
        <w:rPr>
          <w:color w:val="000000"/>
          <w:spacing w:val="0"/>
          <w:w w:val="100"/>
          <w:position w:val="0"/>
        </w:rPr>
        <w:t>未确认递延所得税资产的可抵扣亏损将于以下年度到期</w:t>
      </w:r>
    </w:p>
    <w:tbl>
      <w:tblPr>
        <w:tblOverlap w:val="never"/>
        <w:jc w:val="center"/>
        <w:tblLayout w:type="fixed"/>
      </w:tblPr>
      <w:tblGrid>
        <w:gridCol w:w="3062"/>
        <w:gridCol w:w="2285"/>
        <w:gridCol w:w="2146"/>
        <w:gridCol w:w="1800"/>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年份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1,098,941.43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1,098,941.43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 xml:space="preserve">2023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8,002,961.47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8,002,961.47</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2024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57,288,600.08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63,052,049.91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2025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9,996,548.09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9,996,548.09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2026</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1,655,904.52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48,816,979.17</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2027</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21,688,517.19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2028</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95,179,858.19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143,615,397.77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2029</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682,373,485.20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682,373,485.20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2030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131,079,949.19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131,079,949.19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2031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252,060,622.44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b/>
                <w:bCs/>
                <w:color w:val="000000"/>
                <w:spacing w:val="0"/>
                <w:w w:val="100"/>
                <w:position w:val="0"/>
                <w:sz w:val="20"/>
                <w:szCs w:val="20"/>
              </w:rPr>
              <w:t>1,238,736,870.61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1,109,724,829.42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21</w:t>
      </w:r>
      <w:r>
        <w:rPr>
          <w:b/>
          <w:bCs/>
          <w:color w:val="000000"/>
          <w:spacing w:val="0"/>
          <w:w w:val="100"/>
          <w:position w:val="0"/>
          <w:sz w:val="22"/>
          <w:szCs w:val="22"/>
        </w:rPr>
        <w:t>、其他非流动资产</w:t>
      </w:r>
    </w:p>
    <w:p>
      <w:pPr>
        <w:widowControl w:val="0"/>
        <w:spacing w:after="279" w:line="1" w:lineRule="exact"/>
      </w:pPr>
    </w:p>
    <w:p>
      <w:pPr>
        <w:widowControl w:val="0"/>
        <w:spacing w:line="1" w:lineRule="exact"/>
      </w:pPr>
    </w:p>
    <w:tbl>
      <w:tblPr>
        <w:tblOverlap w:val="never"/>
        <w:jc w:val="center"/>
        <w:tblLayout w:type="fixed"/>
      </w:tblPr>
      <w:tblGrid>
        <w:gridCol w:w="4070"/>
        <w:gridCol w:w="2674"/>
        <w:gridCol w:w="2443"/>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预付设备款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9,489,426.82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70"/>
        <w:gridCol w:w="2674"/>
        <w:gridCol w:w="2443"/>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预付其他长期资产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2,347,591.54</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11,837,018.36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3" w:right="0" w:firstLine="0"/>
        <w:jc w:val="left"/>
        <w:rPr>
          <w:sz w:val="22"/>
          <w:szCs w:val="22"/>
        </w:rPr>
      </w:pPr>
      <w:r>
        <w:rPr>
          <w:rFonts w:ascii="Times New Roman" w:eastAsia="Times New Roman" w:hAnsi="Times New Roman" w:cs="Times New Roman"/>
          <w:b/>
          <w:bCs/>
          <w:color w:val="000000"/>
          <w:spacing w:val="0"/>
          <w:w w:val="100"/>
          <w:position w:val="0"/>
          <w:sz w:val="22"/>
          <w:szCs w:val="22"/>
        </w:rPr>
        <w:t>22</w:t>
      </w:r>
      <w:r>
        <w:rPr>
          <w:b/>
          <w:bCs/>
          <w:color w:val="000000"/>
          <w:spacing w:val="0"/>
          <w:w w:val="100"/>
          <w:position w:val="0"/>
          <w:sz w:val="22"/>
          <w:szCs w:val="22"/>
        </w:rPr>
        <w:t>、短期借款</w:t>
      </w:r>
    </w:p>
    <w:p>
      <w:pPr>
        <w:widowControl w:val="0"/>
        <w:spacing w:after="399" w:line="1" w:lineRule="exact"/>
      </w:pPr>
    </w:p>
    <w:p>
      <w:pPr>
        <w:widowControl w:val="0"/>
        <w:spacing w:line="1" w:lineRule="exact"/>
      </w:pPr>
    </w:p>
    <w:tbl>
      <w:tblPr>
        <w:tblOverlap w:val="never"/>
        <w:jc w:val="center"/>
        <w:tblLayout w:type="fixed"/>
      </w:tblPr>
      <w:tblGrid>
        <w:gridCol w:w="3091"/>
        <w:gridCol w:w="3048"/>
        <w:gridCol w:w="3072"/>
      </w:tblGrid>
      <w:tr>
        <w:trPr>
          <w:trHeight w:val="374"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借款类别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质押、保证借款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50,000,000.00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30,000,000.00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质押、抵押、保证借款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20,000,000.00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189,138.89</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b/>
                <w:bCs/>
                <w:color w:val="000000"/>
                <w:spacing w:val="0"/>
                <w:w w:val="100"/>
                <w:position w:val="0"/>
                <w:sz w:val="20"/>
                <w:szCs w:val="20"/>
              </w:rPr>
              <w:t>90,175,725.00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100,189,138.89</w:t>
            </w:r>
          </w:p>
        </w:tc>
      </w:tr>
    </w:tbl>
    <w:p>
      <w:pPr>
        <w:widowControl w:val="0"/>
        <w:spacing w:after="79" w:line="1" w:lineRule="exact"/>
      </w:pPr>
    </w:p>
    <w:p>
      <w:pPr>
        <w:pStyle w:val="Style13"/>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）无逾期未偿还的短期借款</w:t>
      </w:r>
    </w:p>
    <w:p>
      <w:pPr>
        <w:pStyle w:val="Style13"/>
        <w:keepNext w:val="0"/>
        <w:keepLines w:val="0"/>
        <w:widowControl w:val="0"/>
        <w:shd w:val="clear" w:color="auto" w:fill="auto"/>
        <w:bidi w:val="0"/>
        <w:spacing w:before="0" w:after="320" w:line="240" w:lineRule="auto"/>
        <w:ind w:left="0" w:right="0" w:firstLine="140"/>
        <w:jc w:val="left"/>
      </w:pPr>
      <w:r>
        <w:rPr>
          <w:rFonts w:ascii="Times New Roman" w:eastAsia="Times New Roman" w:hAnsi="Times New Roman" w:cs="Times New Roman"/>
          <w:b/>
          <w:bCs/>
          <w:color w:val="000000"/>
          <w:spacing w:val="0"/>
          <w:w w:val="100"/>
          <w:position w:val="0"/>
        </w:rPr>
        <w:t>23</w:t>
      </w:r>
      <w:r>
        <w:rPr>
          <w:b/>
          <w:bCs/>
          <w:color w:val="000000"/>
          <w:spacing w:val="0"/>
          <w:w w:val="100"/>
          <w:position w:val="0"/>
        </w:rPr>
        <w:t>、应付票据</w:t>
      </w:r>
    </w:p>
    <w:tbl>
      <w:tblPr>
        <w:tblOverlap w:val="never"/>
        <w:jc w:val="left"/>
        <w:tblLayout w:type="fixed"/>
      </w:tblPr>
      <w:tblGrid>
        <w:gridCol w:w="3355"/>
        <w:gridCol w:w="2693"/>
        <w:gridCol w:w="2957"/>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b/>
                <w:bCs/>
                <w:color w:val="000000"/>
                <w:spacing w:val="0"/>
                <w:w w:val="100"/>
                <w:position w:val="0"/>
                <w:sz w:val="20"/>
                <w:szCs w:val="20"/>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117,258,840.34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28,306,071.80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b/>
                <w:bCs/>
                <w:color w:val="000000"/>
                <w:spacing w:val="0"/>
                <w:w w:val="100"/>
                <w:position w:val="0"/>
                <w:sz w:val="20"/>
                <w:szCs w:val="20"/>
              </w:rPr>
              <w:t>117,258,840.34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b/>
                <w:bCs/>
                <w:color w:val="000000"/>
                <w:spacing w:val="0"/>
                <w:w w:val="100"/>
                <w:position w:val="0"/>
                <w:sz w:val="20"/>
                <w:szCs w:val="20"/>
              </w:rPr>
              <w:t>28,306,071.80</w:t>
            </w:r>
          </w:p>
        </w:tc>
      </w:tr>
      <w:tr>
        <w:trPr>
          <w:trHeight w:val="1872"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注：期末无已到期未支付的应付票据。</w:t>
            </w:r>
          </w:p>
          <w:p>
            <w:pPr>
              <w:pStyle w:val="Style2"/>
              <w:keepNext w:val="0"/>
              <w:keepLines w:val="0"/>
              <w:widowControl w:val="0"/>
              <w:shd w:val="clear" w:color="auto" w:fill="auto"/>
              <w:bidi w:val="0"/>
              <w:spacing w:before="0" w:after="420" w:line="240" w:lineRule="auto"/>
              <w:ind w:left="0" w:right="0" w:firstLine="140"/>
              <w:jc w:val="left"/>
            </w:pPr>
            <w:r>
              <w:rPr>
                <w:rFonts w:ascii="Times New Roman" w:eastAsia="Times New Roman" w:hAnsi="Times New Roman" w:cs="Times New Roman"/>
                <w:b/>
                <w:bCs/>
                <w:color w:val="000000"/>
                <w:spacing w:val="0"/>
                <w:w w:val="100"/>
                <w:position w:val="0"/>
              </w:rPr>
              <w:t>24</w:t>
            </w:r>
            <w:r>
              <w:rPr>
                <w:b/>
                <w:bCs/>
                <w:color w:val="000000"/>
                <w:spacing w:val="0"/>
                <w:w w:val="100"/>
                <w:position w:val="0"/>
              </w:rPr>
              <w:t>、应付账款</w:t>
            </w:r>
          </w:p>
          <w:p>
            <w:pPr>
              <w:pStyle w:val="Style2"/>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115,349,888.00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101,574,704.55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15,337,434.13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16,560,981.75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1,396,495.95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11,468,513.43</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7,195,070.66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10,847,813.28</w:t>
            </w:r>
          </w:p>
        </w:tc>
      </w:tr>
    </w:tbl>
    <w:p>
      <w:pPr>
        <w:widowControl w:val="0"/>
        <w:spacing w:line="1" w:lineRule="exact"/>
      </w:pPr>
      <w:r>
        <w:br w:type="page"/>
      </w:r>
    </w:p>
    <w:tbl>
      <w:tblPr>
        <w:tblOverlap w:val="never"/>
        <w:jc w:val="center"/>
        <w:tblLayout w:type="fixed"/>
      </w:tblPr>
      <w:tblGrid>
        <w:gridCol w:w="3307"/>
        <w:gridCol w:w="533"/>
        <w:gridCol w:w="2160"/>
        <w:gridCol w:w="394"/>
        <w:gridCol w:w="286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b/>
                <w:bCs/>
                <w:color w:val="000000"/>
                <w:spacing w:val="0"/>
                <w:w w:val="100"/>
                <w:position w:val="0"/>
                <w:sz w:val="20"/>
                <w:szCs w:val="20"/>
              </w:rPr>
              <w:t>139,278,888.74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b/>
                <w:bCs/>
                <w:color w:val="000000"/>
                <w:spacing w:val="0"/>
                <w:w w:val="100"/>
                <w:position w:val="0"/>
                <w:sz w:val="20"/>
                <w:szCs w:val="20"/>
              </w:rPr>
              <w:t>140,452,013.01</w:t>
            </w:r>
          </w:p>
        </w:tc>
      </w:tr>
      <w:tr>
        <w:trPr>
          <w:trHeight w:val="1397" w:hRule="exact"/>
        </w:trPr>
        <w:tc>
          <w:tcPr>
            <w:gridSpan w:val="5"/>
            <w:tcBorders>
              <w:top w:val="single" w:sz="4"/>
            </w:tcBorders>
            <w:shd w:val="clear" w:color="auto" w:fill="FFFFFF"/>
            <w:vAlign w:val="top"/>
          </w:tcPr>
          <w:p>
            <w:pPr>
              <w:pStyle w:val="Style2"/>
              <w:keepNext w:val="0"/>
              <w:keepLines w:val="0"/>
              <w:widowControl w:val="0"/>
              <w:shd w:val="clear" w:color="auto" w:fill="auto"/>
              <w:bidi w:val="0"/>
              <w:spacing w:before="100" w:after="42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 xml:space="preserve">25 </w:t>
            </w:r>
            <w:r>
              <w:rPr>
                <w:b/>
                <w:bCs/>
                <w:color w:val="000000"/>
                <w:spacing w:val="0"/>
                <w:w w:val="100"/>
                <w:position w:val="0"/>
              </w:rPr>
              <w:t>.合同负债</w:t>
            </w:r>
          </w:p>
        </w:tc>
      </w:tr>
      <w:tr>
        <w:trPr>
          <w:trHeight w:val="47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合同负债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56,571,251.85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8,092,035.13</w:t>
            </w:r>
          </w:p>
        </w:tc>
      </w:tr>
      <w:tr>
        <w:trPr>
          <w:trHeight w:val="485" w:hRule="exact"/>
        </w:trPr>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 计</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b/>
                <w:bCs/>
                <w:color w:val="000000"/>
                <w:spacing w:val="0"/>
                <w:w w:val="100"/>
                <w:position w:val="0"/>
                <w:sz w:val="20"/>
                <w:szCs w:val="20"/>
              </w:rPr>
              <w:t>56,571,251.85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b/>
                <w:bCs/>
                <w:color w:val="000000"/>
                <w:spacing w:val="0"/>
                <w:w w:val="100"/>
                <w:position w:val="0"/>
                <w:sz w:val="20"/>
                <w:szCs w:val="20"/>
              </w:rPr>
              <w:t>8,092,035.13</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分类</w:t>
      </w:r>
    </w:p>
    <w:tbl>
      <w:tblPr>
        <w:tblOverlap w:val="never"/>
        <w:jc w:val="center"/>
        <w:tblLayout w:type="fixed"/>
      </w:tblPr>
      <w:tblGrid>
        <w:gridCol w:w="3734"/>
        <w:gridCol w:w="2549"/>
        <w:gridCol w:w="2866"/>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56,571,251.85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8,092,035.13</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b/>
                <w:bCs/>
                <w:color w:val="000000"/>
                <w:spacing w:val="0"/>
                <w:w w:val="100"/>
                <w:position w:val="0"/>
                <w:sz w:val="20"/>
                <w:szCs w:val="20"/>
              </w:rPr>
              <w:t>56,571,251.85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b/>
                <w:bCs/>
                <w:color w:val="000000"/>
                <w:spacing w:val="0"/>
                <w:w w:val="100"/>
                <w:position w:val="0"/>
                <w:sz w:val="20"/>
                <w:szCs w:val="20"/>
              </w:rPr>
              <w:t>8,092,035.13</w:t>
            </w:r>
          </w:p>
        </w:tc>
      </w:tr>
    </w:tbl>
    <w:p>
      <w:pPr>
        <w:widowControl w:val="0"/>
        <w:spacing w:after="299" w:line="1" w:lineRule="exact"/>
      </w:pPr>
    </w:p>
    <w:p>
      <w:pPr>
        <w:pStyle w:val="Style37"/>
        <w:keepNext/>
        <w:keepLines/>
        <w:widowControl w:val="0"/>
        <w:shd w:val="clear" w:color="auto" w:fill="auto"/>
        <w:bidi w:val="0"/>
        <w:spacing w:before="0" w:after="420" w:line="240" w:lineRule="auto"/>
        <w:ind w:left="0" w:right="0" w:firstLine="140"/>
        <w:jc w:val="left"/>
      </w:pPr>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26</w:t>
      </w:r>
      <w:r>
        <w:rPr>
          <w:color w:val="000000"/>
          <w:spacing w:val="0"/>
          <w:w w:val="100"/>
          <w:position w:val="0"/>
        </w:rPr>
        <w:t>、应付职工薪酬</w:t>
      </w:r>
      <w:bookmarkEnd w:id="922"/>
      <w:bookmarkEnd w:id="923"/>
      <w:bookmarkEnd w:id="924"/>
    </w:p>
    <w:p>
      <w:pPr>
        <w:pStyle w:val="Style13"/>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p>
    <w:tbl>
      <w:tblPr>
        <w:tblOverlap w:val="never"/>
        <w:jc w:val="center"/>
        <w:tblLayout w:type="fixed"/>
      </w:tblPr>
      <w:tblGrid>
        <w:gridCol w:w="2290"/>
        <w:gridCol w:w="1574"/>
        <w:gridCol w:w="1814"/>
        <w:gridCol w:w="1862"/>
        <w:gridCol w:w="1752"/>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本期减少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27,643,950.83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220,299,052.78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197,191,625.1</w:t>
            </w:r>
          </w:p>
        </w:tc>
        <w:tc>
          <w:tcPr>
            <w:tcBorders>
              <w:top w:val="single" w:sz="4"/>
            </w:tcBorders>
            <w:shd w:val="clear" w:color="auto" w:fill="FFFFFF"/>
            <w:vAlign w:val="center"/>
          </w:tcPr>
          <w:p>
            <w:pPr>
              <w:pStyle w:val="Style2"/>
              <w:keepNext w:val="0"/>
              <w:keepLines w:val="0"/>
              <w:widowControl w:val="0"/>
              <w:shd w:val="clear" w:color="auto" w:fill="auto"/>
              <w:tabs>
                <w:tab w:pos="427"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tab/>
            </w:r>
            <w:r>
              <w:rPr>
                <w:rFonts w:ascii="Times New Roman" w:eastAsia="Times New Roman" w:hAnsi="Times New Roman" w:cs="Times New Roman"/>
                <w:color w:val="000000"/>
                <w:spacing w:val="0"/>
                <w:w w:val="100"/>
                <w:position w:val="0"/>
              </w:rPr>
              <w:t>50,751,378.46</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left"/>
              <w:rPr>
                <w:sz w:val="20"/>
                <w:szCs w:val="20"/>
              </w:rPr>
            </w:pPr>
            <w:r>
              <w:rPr>
                <w:color w:val="000000"/>
                <w:spacing w:val="0"/>
                <w:w w:val="100"/>
                <w:position w:val="0"/>
                <w:sz w:val="20"/>
                <w:szCs w:val="20"/>
              </w:rPr>
              <w:t>二、离职后福利</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40,810.18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13,030,422.31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13,030,422.3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40,810.18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934,859.91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874,163.0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60,696.90</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合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27,684,761.01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rPr>
              <w:t>234,264,335.00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0"/>
                <w:szCs w:val="20"/>
              </w:rPr>
              <w:t>211,096,2104</w:t>
            </w:r>
          </w:p>
        </w:tc>
        <w:tc>
          <w:tcPr>
            <w:tcBorders>
              <w:top w:val="single" w:sz="4"/>
            </w:tcBorders>
            <w:shd w:val="clear" w:color="auto" w:fill="FFFFFF"/>
            <w:vAlign w:val="center"/>
          </w:tcPr>
          <w:p>
            <w:pPr>
              <w:pStyle w:val="Style2"/>
              <w:keepNext w:val="0"/>
              <w:keepLines w:val="0"/>
              <w:widowControl w:val="0"/>
              <w:shd w:val="clear" w:color="auto" w:fill="auto"/>
              <w:tabs>
                <w:tab w:pos="422" w:val="left"/>
              </w:tabs>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7</w:t>
              <w:tab/>
            </w:r>
            <w:r>
              <w:rPr>
                <w:rFonts w:ascii="Times New Roman" w:eastAsia="Times New Roman" w:hAnsi="Times New Roman" w:cs="Times New Roman"/>
                <w:b/>
                <w:bCs/>
                <w:color w:val="000000"/>
                <w:spacing w:val="0"/>
                <w:w w:val="100"/>
                <w:position w:val="0"/>
                <w:sz w:val="20"/>
                <w:szCs w:val="20"/>
              </w:rPr>
              <w:t>50,852,885.54</w:t>
            </w:r>
          </w:p>
        </w:tc>
      </w:tr>
      <w:tr>
        <w:trPr>
          <w:trHeight w:val="485"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期末余额</w:t>
            </w:r>
          </w:p>
        </w:tc>
      </w:tr>
      <w:tr>
        <w:trPr>
          <w:trHeight w:val="5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23,586,746.60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200,107,312.08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176,632,973.43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47,061,085.25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8,175,916.03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8,175,916.03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6,260,913.68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6,260,913.68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5,790,507.99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5,790,507.99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164,016.26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164,016.26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306,389.43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306,389.43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5,694,910.99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5,694,910.99</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、工会经费和职工教 育经费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4,057,204.23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426,911.02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3,690,293.21</w:t>
            </w:r>
          </w:p>
        </w:tc>
      </w:tr>
    </w:tbl>
    <w:p>
      <w:pPr>
        <w:widowControl w:val="0"/>
        <w:spacing w:line="1" w:lineRule="exact"/>
      </w:pPr>
      <w:r>
        <w:br w:type="page"/>
      </w:r>
    </w:p>
    <w:tbl>
      <w:tblPr>
        <w:tblOverlap w:val="never"/>
        <w:jc w:val="center"/>
        <w:tblLayout w:type="fixed"/>
      </w:tblPr>
      <w:tblGrid>
        <w:gridCol w:w="2280"/>
        <w:gridCol w:w="1584"/>
        <w:gridCol w:w="1795"/>
        <w:gridCol w:w="1810"/>
        <w:gridCol w:w="1824"/>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期末余额</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b/>
                <w:bCs/>
                <w:color w:val="000000"/>
                <w:spacing w:val="0"/>
                <w:w w:val="100"/>
                <w:position w:val="0"/>
                <w:sz w:val="20"/>
                <w:szCs w:val="20"/>
              </w:rPr>
              <w:t>27,643,950.83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rPr>
              <w:t>220,299,052.78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197,191,625.15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50,751,378.46</w:t>
            </w:r>
          </w:p>
        </w:tc>
      </w:tr>
      <w:tr>
        <w:trPr>
          <w:trHeight w:val="490"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tabs>
                <w:tab w:pos="1375" w:val="left"/>
              </w:tabs>
              <w:bidi w:val="0"/>
              <w:spacing w:before="0" w:after="0" w:line="240" w:lineRule="auto"/>
              <w:ind w:left="0" w:right="0" w:firstLine="900"/>
              <w:jc w:val="left"/>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40,810.18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12,732,374.68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12,732,374.68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40,810.18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298,047.63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298,047.63</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40,810.18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rPr>
              <w:t>13,030,422.31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b/>
                <w:bCs/>
                <w:color w:val="000000"/>
                <w:spacing w:val="0"/>
                <w:w w:val="100"/>
                <w:position w:val="0"/>
                <w:sz w:val="20"/>
                <w:szCs w:val="20"/>
              </w:rPr>
              <w:t>13,030,422.31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40,810.18</w:t>
            </w:r>
          </w:p>
        </w:tc>
      </w:tr>
    </w:tbl>
    <w:p>
      <w:pPr>
        <w:widowControl w:val="0"/>
        <w:spacing w:after="2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30" w:right="0" w:firstLine="0"/>
        <w:jc w:val="left"/>
        <w:rPr>
          <w:sz w:val="22"/>
          <w:szCs w:val="22"/>
        </w:rPr>
      </w:pPr>
      <w:r>
        <w:rPr>
          <w:rFonts w:ascii="Times New Roman" w:eastAsia="Times New Roman" w:hAnsi="Times New Roman" w:cs="Times New Roman"/>
          <w:b/>
          <w:bCs/>
          <w:color w:val="000000"/>
          <w:spacing w:val="0"/>
          <w:w w:val="100"/>
          <w:position w:val="0"/>
          <w:sz w:val="22"/>
          <w:szCs w:val="22"/>
        </w:rPr>
        <w:t>27</w:t>
      </w:r>
      <w:r>
        <w:rPr>
          <w:b/>
          <w:bCs/>
          <w:color w:val="000000"/>
          <w:spacing w:val="0"/>
          <w:w w:val="100"/>
          <w:position w:val="0"/>
          <w:sz w:val="22"/>
          <w:szCs w:val="22"/>
        </w:rPr>
        <w:t>、应交税费</w:t>
      </w:r>
    </w:p>
    <w:tbl>
      <w:tblPr>
        <w:tblOverlap w:val="never"/>
        <w:jc w:val="center"/>
        <w:tblLayout w:type="fixed"/>
      </w:tblPr>
      <w:tblGrid>
        <w:gridCol w:w="3360"/>
        <w:gridCol w:w="2976"/>
        <w:gridCol w:w="2808"/>
      </w:tblGrid>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20"/>
                <w:szCs w:val="20"/>
              </w:rPr>
            </w:pPr>
            <w:r>
              <w:rPr>
                <w:b/>
                <w:bCs/>
                <w:color w:val="000000"/>
                <w:spacing w:val="0"/>
                <w:w w:val="100"/>
                <w:position w:val="0"/>
                <w:sz w:val="20"/>
                <w:szCs w:val="20"/>
              </w:rPr>
              <w:t>税项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9,873,965.62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361,441.49</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4,570,782.03</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844,689.84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590,146.78</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503,127.5(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19,616.26</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14,011.61</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228,223.46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365,692.22</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20"/>
                <w:szCs w:val="20"/>
              </w:rPr>
            </w:pPr>
            <w:r>
              <w:rPr>
                <w:b/>
                <w:bCs/>
                <w:color w:val="000000"/>
                <w:spacing w:val="0"/>
                <w:w w:val="100"/>
                <w:position w:val="0"/>
                <w:sz w:val="20"/>
                <w:szCs w:val="20"/>
              </w:rPr>
              <w:t>合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16,380,165.25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1,350,908.36</w:t>
            </w:r>
          </w:p>
        </w:tc>
      </w:tr>
      <w:tr>
        <w:trPr>
          <w:trHeight w:val="931"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28</w:t>
            </w:r>
            <w:r>
              <w:rPr>
                <w:b/>
                <w:bCs/>
                <w:color w:val="000000"/>
                <w:spacing w:val="0"/>
                <w:w w:val="100"/>
                <w:position w:val="0"/>
              </w:rPr>
              <w:t>、其他应付款</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240,466,892.16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236,736,393.16</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b/>
                <w:bCs/>
                <w:color w:val="000000"/>
                <w:spacing w:val="0"/>
                <w:w w:val="100"/>
                <w:position w:val="0"/>
                <w:sz w:val="20"/>
                <w:szCs w:val="20"/>
              </w:rPr>
              <w:t>240,466,892.16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b/>
                <w:bCs/>
                <w:color w:val="000000"/>
                <w:spacing w:val="0"/>
                <w:w w:val="100"/>
                <w:position w:val="0"/>
                <w:sz w:val="20"/>
                <w:szCs w:val="20"/>
              </w:rPr>
              <w:t>236,736,393.16</w:t>
            </w:r>
          </w:p>
        </w:tc>
      </w:tr>
      <w:tr>
        <w:trPr>
          <w:trHeight w:val="1051"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其他应付款情况</w:t>
            </w:r>
          </w:p>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①按款项性质列示其他应付款</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股权激励回购义务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213,689,100.00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预提费用及其他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14,140,084.84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18,394,386.48</w:t>
            </w:r>
          </w:p>
        </w:tc>
      </w:tr>
    </w:tbl>
    <w:p>
      <w:pPr>
        <w:widowControl w:val="0"/>
        <w:spacing w:line="1" w:lineRule="exact"/>
      </w:pPr>
      <w:r>
        <w:br w:type="page"/>
      </w:r>
    </w:p>
    <w:tbl>
      <w:tblPr>
        <w:tblOverlap w:val="never"/>
        <w:jc w:val="center"/>
        <w:tblLayout w:type="fixed"/>
      </w:tblPr>
      <w:tblGrid>
        <w:gridCol w:w="3307"/>
        <w:gridCol w:w="2976"/>
        <w:gridCol w:w="2861"/>
      </w:tblGrid>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非金融机构借款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5,061,803.27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164,013,359.42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4,003,986.59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3,919,177.00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3,455,217.46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1,694,221.83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应付股权激励回购款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1,115,248.43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47,600,000.00</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240,466,892.16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236,736,393.16</w:t>
            </w:r>
          </w:p>
        </w:tc>
      </w:tr>
      <w:tr>
        <w:trPr>
          <w:trHeight w:val="581"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②账龄超过</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年的重要其他应付款</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未偿还或结转的原因</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3" w:lineRule="exact"/>
              <w:ind w:left="500" w:right="0" w:firstLine="0"/>
              <w:jc w:val="left"/>
              <w:rPr>
                <w:sz w:val="20"/>
                <w:szCs w:val="20"/>
              </w:rPr>
            </w:pPr>
            <w:r>
              <w:rPr>
                <w:color w:val="000000"/>
                <w:spacing w:val="0"/>
                <w:w w:val="100"/>
                <w:position w:val="0"/>
                <w:sz w:val="20"/>
                <w:szCs w:val="20"/>
              </w:rPr>
              <w:t>深圳市中龙泰商业运营管理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2,176,059.20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押金保证金尚未到结算期</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b/>
                <w:bCs/>
                <w:color w:val="000000"/>
                <w:spacing w:val="0"/>
                <w:w w:val="100"/>
                <w:position w:val="0"/>
                <w:sz w:val="20"/>
                <w:szCs w:val="20"/>
              </w:rPr>
              <w:t>2,176,059.20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130" w:right="0" w:firstLine="0"/>
        <w:jc w:val="left"/>
        <w:rPr>
          <w:sz w:val="22"/>
          <w:szCs w:val="22"/>
        </w:rPr>
      </w:pPr>
      <w:r>
        <w:rPr>
          <w:rFonts w:ascii="Times New Roman" w:eastAsia="Times New Roman" w:hAnsi="Times New Roman" w:cs="Times New Roman"/>
          <w:b/>
          <w:bCs/>
          <w:color w:val="000000"/>
          <w:spacing w:val="0"/>
          <w:w w:val="100"/>
          <w:position w:val="0"/>
          <w:sz w:val="22"/>
          <w:szCs w:val="22"/>
        </w:rPr>
        <w:t>29</w:t>
      </w:r>
      <w:r>
        <w:rPr>
          <w:b/>
          <w:bCs/>
          <w:color w:val="000000"/>
          <w:spacing w:val="0"/>
          <w:w w:val="100"/>
          <w:position w:val="0"/>
          <w:sz w:val="22"/>
          <w:szCs w:val="22"/>
        </w:rPr>
        <w:t>、一年内到期的非流动负债</w:t>
      </w:r>
    </w:p>
    <w:p>
      <w:pPr>
        <w:widowControl w:val="0"/>
        <w:spacing w:after="279" w:line="1" w:lineRule="exact"/>
      </w:pPr>
    </w:p>
    <w:p>
      <w:pPr>
        <w:widowControl w:val="0"/>
        <w:spacing w:line="1" w:lineRule="exact"/>
      </w:pPr>
    </w:p>
    <w:tbl>
      <w:tblPr>
        <w:tblOverlap w:val="never"/>
        <w:jc w:val="center"/>
        <w:tblLayout w:type="fixed"/>
      </w:tblPr>
      <w:tblGrid>
        <w:gridCol w:w="5150"/>
        <w:gridCol w:w="2266"/>
        <w:gridCol w:w="1939"/>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tabs>
                <w:tab w:pos="2815" w:val="left"/>
              </w:tabs>
              <w:bidi w:val="0"/>
              <w:spacing w:before="0" w:after="0" w:line="240" w:lineRule="auto"/>
              <w:ind w:left="2340" w:right="0" w:firstLine="0"/>
              <w:jc w:val="left"/>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一年内到期的长期借款（附注五、</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572,902.78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636,033.14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一年内到期的租赁负债（附注五、</w:t>
            </w:r>
            <w:r>
              <w:rPr>
                <w:rFonts w:ascii="Times New Roman" w:eastAsia="Times New Roman" w:hAnsi="Times New Roman" w:cs="Times New Roman"/>
                <w:color w:val="000000"/>
                <w:spacing w:val="0"/>
                <w:w w:val="100"/>
                <w:position w:val="0"/>
                <w:sz w:val="22"/>
                <w:szCs w:val="22"/>
              </w:rPr>
              <w:t>32</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10,291,289.88</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b/>
                <w:bCs/>
                <w:color w:val="000000"/>
                <w:spacing w:val="0"/>
                <w:w w:val="100"/>
                <w:position w:val="0"/>
                <w:sz w:val="20"/>
                <w:szCs w:val="20"/>
              </w:rPr>
              <w:t>32,864,192.66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b/>
                <w:bCs/>
                <w:color w:val="000000"/>
                <w:spacing w:val="0"/>
                <w:w w:val="100"/>
                <w:position w:val="0"/>
                <w:sz w:val="20"/>
                <w:szCs w:val="20"/>
              </w:rPr>
              <w:t>20,636,033.14</w:t>
            </w:r>
          </w:p>
        </w:tc>
      </w:tr>
    </w:tbl>
    <w:p>
      <w:pPr>
        <w:pStyle w:val="Style30"/>
        <w:keepNext w:val="0"/>
        <w:keepLines w:val="0"/>
        <w:widowControl w:val="0"/>
        <w:shd w:val="clear" w:color="auto" w:fill="auto"/>
        <w:bidi w:val="0"/>
        <w:spacing w:before="0" w:after="0" w:line="240" w:lineRule="auto"/>
        <w:ind w:left="130" w:right="0" w:firstLine="0"/>
        <w:jc w:val="left"/>
        <w:rPr>
          <w:sz w:val="22"/>
          <w:szCs w:val="22"/>
        </w:rPr>
      </w:pPr>
      <w:r>
        <w:rPr>
          <w:rFonts w:ascii="Times New Roman" w:eastAsia="Times New Roman" w:hAnsi="Times New Roman" w:cs="Times New Roman"/>
          <w:b/>
          <w:bCs/>
          <w:color w:val="000000"/>
          <w:spacing w:val="0"/>
          <w:w w:val="100"/>
          <w:position w:val="0"/>
          <w:sz w:val="22"/>
          <w:szCs w:val="22"/>
        </w:rPr>
        <w:t>30</w:t>
      </w:r>
      <w:r>
        <w:rPr>
          <w:b/>
          <w:bCs/>
          <w:color w:val="000000"/>
          <w:spacing w:val="0"/>
          <w:w w:val="100"/>
          <w:position w:val="0"/>
          <w:sz w:val="22"/>
          <w:szCs w:val="22"/>
        </w:rPr>
        <w:t>、其他流动负债</w:t>
      </w:r>
    </w:p>
    <w:p>
      <w:pPr>
        <w:widowControl w:val="0"/>
        <w:spacing w:after="279" w:line="1" w:lineRule="exact"/>
      </w:pPr>
    </w:p>
    <w:p>
      <w:pPr>
        <w:widowControl w:val="0"/>
        <w:spacing w:line="1" w:lineRule="exact"/>
      </w:pPr>
    </w:p>
    <w:tbl>
      <w:tblPr>
        <w:tblOverlap w:val="never"/>
        <w:jc w:val="center"/>
        <w:tblLayout w:type="fixed"/>
      </w:tblPr>
      <w:tblGrid>
        <w:gridCol w:w="4301"/>
        <w:gridCol w:w="2414"/>
        <w:gridCol w:w="2582"/>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tabs>
                <w:tab w:pos="475" w:val="left"/>
              </w:tabs>
              <w:bidi w:val="0"/>
              <w:spacing w:before="0" w:after="0" w:line="240" w:lineRule="auto"/>
              <w:ind w:left="0" w:right="0" w:firstLine="0"/>
              <w:jc w:val="center"/>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待确认的华夏芯股权转让款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37,352,589.16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待确认的星民智联回购款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5,791,800.00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待转销增值税销项税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7,640,197.25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608,711.19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未终止确认的商业承兑汇票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b/>
                <w:bCs/>
                <w:color w:val="000000"/>
                <w:spacing w:val="0"/>
                <w:w w:val="100"/>
                <w:position w:val="0"/>
                <w:sz w:val="20"/>
                <w:szCs w:val="20"/>
              </w:rPr>
              <w:t>8,850,197.25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b/>
                <w:bCs/>
                <w:color w:val="000000"/>
                <w:spacing w:val="0"/>
                <w:w w:val="100"/>
                <w:position w:val="0"/>
                <w:sz w:val="20"/>
                <w:szCs w:val="20"/>
              </w:rPr>
              <w:t>44,353,100.35</w:t>
            </w:r>
          </w:p>
        </w:tc>
      </w:tr>
    </w:tbl>
    <w:p>
      <w:pPr>
        <w:pStyle w:val="Style30"/>
        <w:keepNext w:val="0"/>
        <w:keepLines w:val="0"/>
        <w:widowControl w:val="0"/>
        <w:shd w:val="clear" w:color="auto" w:fill="auto"/>
        <w:bidi w:val="0"/>
        <w:spacing w:before="0" w:after="0" w:line="240" w:lineRule="auto"/>
        <w:ind w:left="53" w:right="0" w:firstLine="0"/>
        <w:jc w:val="left"/>
        <w:rPr>
          <w:sz w:val="22"/>
          <w:szCs w:val="22"/>
        </w:rPr>
      </w:pP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2"/>
          <w:szCs w:val="22"/>
        </w:rPr>
        <w:t>、长期借款</w:t>
      </w:r>
    </w:p>
    <w:p>
      <w:pPr>
        <w:widowControl w:val="0"/>
        <w:spacing w:after="399" w:line="1" w:lineRule="exact"/>
      </w:pPr>
    </w:p>
    <w:p>
      <w:pPr>
        <w:pStyle w:val="Style13"/>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r>
        <w:br w:type="page"/>
      </w:r>
    </w:p>
    <w:tbl>
      <w:tblPr>
        <w:tblOverlap w:val="never"/>
        <w:jc w:val="center"/>
        <w:tblLayout w:type="fixed"/>
      </w:tblPr>
      <w:tblGrid>
        <w:gridCol w:w="3451"/>
        <w:gridCol w:w="2832"/>
        <w:gridCol w:w="2866"/>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借款类别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抵押、保证借款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42,000,000.00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质押、抵押、保证借款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285,000,000.00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295,000,000.00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572,902.78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636,033.14</w:t>
            </w:r>
          </w:p>
        </w:tc>
      </w:tr>
      <w:tr>
        <w:trPr>
          <w:trHeight w:val="5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4" w:lineRule="exact"/>
              <w:ind w:left="320" w:right="0" w:firstLine="0"/>
              <w:jc w:val="left"/>
              <w:rPr>
                <w:sz w:val="20"/>
                <w:szCs w:val="20"/>
              </w:rPr>
            </w:pPr>
            <w:r>
              <w:rPr>
                <w:color w:val="000000"/>
                <w:spacing w:val="0"/>
                <w:w w:val="100"/>
                <w:position w:val="0"/>
                <w:sz w:val="20"/>
                <w:szCs w:val="20"/>
              </w:rPr>
              <w:t>减：一年内到期的长期借款（附 注五、</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22,572,902.78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20,636,033.14</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285,000,000.00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317,000,000.00</w:t>
            </w:r>
          </w:p>
        </w:tc>
      </w:tr>
    </w:tbl>
    <w:p>
      <w:pPr>
        <w:pStyle w:val="Style30"/>
        <w:keepNext w:val="0"/>
        <w:keepLines w:val="0"/>
        <w:widowControl w:val="0"/>
        <w:shd w:val="clear" w:color="auto" w:fill="auto"/>
        <w:bidi w:val="0"/>
        <w:spacing w:before="0" w:after="0" w:line="240" w:lineRule="auto"/>
        <w:ind w:left="130" w:right="0" w:firstLine="0"/>
        <w:jc w:val="left"/>
        <w:rPr>
          <w:sz w:val="22"/>
          <w:szCs w:val="22"/>
        </w:rPr>
      </w:pPr>
      <w:r>
        <mc:AlternateContent>
          <mc:Choice Requires="wps">
            <w:drawing>
              <wp:anchor distT="193675" distB="0" distL="114300" distR="5368925" simplePos="0" relativeHeight="125829414" behindDoc="0" locked="0" layoutInCell="1" allowOverlap="1">
                <wp:simplePos x="0" y="0"/>
                <wp:positionH relativeFrom="page">
                  <wp:posOffset>1002030</wp:posOffset>
                </wp:positionH>
                <wp:positionV relativeFrom="margin">
                  <wp:posOffset>8427720</wp:posOffset>
                </wp:positionV>
                <wp:extent cx="304800" cy="176530"/>
                <wp:wrapTopAndBottom/>
                <wp:docPr id="47" name="Shape 47"/>
                <a:graphic xmlns:a="http://schemas.openxmlformats.org/drawingml/2006/main">
                  <a:graphicData uri="http://schemas.microsoft.com/office/word/2010/wordprocessingShape">
                    <wps:wsp>
                      <wps:cNvSpPr txBox="1"/>
                      <wps:spPr>
                        <a:xfrm>
                          <a:ext cx="304800" cy="1765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xbxContent>
                      </wps:txbx>
                      <wps:bodyPr wrap="none" lIns="0" tIns="0" rIns="0" bIns="0">
                        <a:noAutoFit/>
                      </wps:bodyPr>
                    </wps:wsp>
                  </a:graphicData>
                </a:graphic>
              </wp:anchor>
            </w:drawing>
          </mc:Choice>
          <mc:Fallback>
            <w:pict>
              <v:shape id="_x0000_s1073" type="#_x0000_t202" style="position:absolute;margin-left:78.900000000000006pt;margin-top:663.60000000000002pt;width:24.pt;height:13.9pt;z-index:-125829339;mso-wrap-distance-left:9.pt;mso-wrap-distance-top:15.25pt;mso-wrap-distance-right:422.7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xbxContent>
                </v:textbox>
                <w10:wrap type="topAndBottom" anchorx="page" anchory="margin"/>
              </v:shape>
            </w:pict>
          </mc:Fallback>
        </mc:AlternateContent>
      </w:r>
      <w:r>
        <mc:AlternateContent>
          <mc:Choice Requires="wps">
            <w:drawing>
              <wp:anchor distT="208915" distB="0" distL="845820" distR="4283710" simplePos="0" relativeHeight="125829416" behindDoc="0" locked="0" layoutInCell="1" allowOverlap="1">
                <wp:simplePos x="0" y="0"/>
                <wp:positionH relativeFrom="page">
                  <wp:posOffset>1733550</wp:posOffset>
                </wp:positionH>
                <wp:positionV relativeFrom="margin">
                  <wp:posOffset>8442960</wp:posOffset>
                </wp:positionV>
                <wp:extent cx="658495" cy="161290"/>
                <wp:wrapTopAndBottom/>
                <wp:docPr id="49" name="Shape 49"/>
                <a:graphic xmlns:a="http://schemas.openxmlformats.org/drawingml/2006/main">
                  <a:graphicData uri="http://schemas.microsoft.com/office/word/2010/wordprocessingShape">
                    <wps:wsp>
                      <wps:cNvSpPr txBox="1"/>
                      <wps:spPr>
                        <a:xfrm>
                          <a:ext cx="658495"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2021.01.01</w:t>
                            </w:r>
                          </w:p>
                        </w:txbxContent>
                      </wps:txbx>
                      <wps:bodyPr wrap="none" lIns="0" tIns="0" rIns="0" bIns="0">
                        <a:noAutoFit/>
                      </wps:bodyPr>
                    </wps:wsp>
                  </a:graphicData>
                </a:graphic>
              </wp:anchor>
            </w:drawing>
          </mc:Choice>
          <mc:Fallback>
            <w:pict>
              <v:shape id="_x0000_s1075" type="#_x0000_t202" style="position:absolute;margin-left:136.5pt;margin-top:664.80000000000007pt;width:51.850000000000001pt;height:12.700000000000001pt;z-index:-125829337;mso-wrap-distance-left:66.599999999999994pt;mso-wrap-distance-top:16.449999999999999pt;mso-wrap-distance-right:337.30000000000001pt;mso-position-horizontal-relative:page;mso-position-vertical-relative:margin"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2021.01.01</w:t>
                      </w:r>
                    </w:p>
                  </w:txbxContent>
                </v:textbox>
                <w10:wrap type="topAndBottom" anchorx="page" anchory="margin"/>
              </v:shape>
            </w:pict>
          </mc:Fallback>
        </mc:AlternateContent>
      </w:r>
      <w:r>
        <mc:AlternateContent>
          <mc:Choice Requires="wps">
            <w:drawing>
              <wp:anchor distT="190500" distB="0" distL="2967355" distR="2235200" simplePos="0" relativeHeight="125829418" behindDoc="0" locked="0" layoutInCell="1" allowOverlap="1">
                <wp:simplePos x="0" y="0"/>
                <wp:positionH relativeFrom="page">
                  <wp:posOffset>3855085</wp:posOffset>
                </wp:positionH>
                <wp:positionV relativeFrom="margin">
                  <wp:posOffset>8424545</wp:posOffset>
                </wp:positionV>
                <wp:extent cx="585470" cy="179705"/>
                <wp:wrapTopAndBottom/>
                <wp:docPr id="51" name="Shape 51"/>
                <a:graphic xmlns:a="http://schemas.openxmlformats.org/drawingml/2006/main">
                  <a:graphicData uri="http://schemas.microsoft.com/office/word/2010/wordprocessingShape">
                    <wps:wsp>
                      <wps:cNvSpPr txBox="1"/>
                      <wps:spPr>
                        <a:xfrm>
                          <a:ext cx="585470" cy="1797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本期增减</w:t>
                            </w:r>
                          </w:p>
                        </w:txbxContent>
                      </wps:txbx>
                      <wps:bodyPr wrap="none" lIns="0" tIns="0" rIns="0" bIns="0">
                        <a:noAutoFit/>
                      </wps:bodyPr>
                    </wps:wsp>
                  </a:graphicData>
                </a:graphic>
              </wp:anchor>
            </w:drawing>
          </mc:Choice>
          <mc:Fallback>
            <w:pict>
              <v:shape id="_x0000_s1077" type="#_x0000_t202" style="position:absolute;margin-left:303.55000000000001pt;margin-top:663.35000000000002pt;width:46.100000000000001pt;height:14.15pt;z-index:-125829335;mso-wrap-distance-left:233.65000000000001pt;mso-wrap-distance-top:15.pt;mso-wrap-distance-right:176.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本期增减</w:t>
                      </w:r>
                    </w:p>
                  </w:txbxContent>
                </v:textbox>
                <w10:wrap type="topAndBottom" anchorx="page" anchory="margin"/>
              </v:shape>
            </w:pict>
          </mc:Fallback>
        </mc:AlternateContent>
      </w:r>
      <w:r>
        <mc:AlternateContent>
          <mc:Choice Requires="wps">
            <w:drawing>
              <wp:anchor distT="208915" distB="0" distL="5015230" distR="114300" simplePos="0" relativeHeight="125829420" behindDoc="0" locked="0" layoutInCell="1" allowOverlap="1">
                <wp:simplePos x="0" y="0"/>
                <wp:positionH relativeFrom="page">
                  <wp:posOffset>5902960</wp:posOffset>
                </wp:positionH>
                <wp:positionV relativeFrom="margin">
                  <wp:posOffset>8442960</wp:posOffset>
                </wp:positionV>
                <wp:extent cx="658495" cy="161290"/>
                <wp:wrapTopAndBottom/>
                <wp:docPr id="53" name="Shape 53"/>
                <a:graphic xmlns:a="http://schemas.openxmlformats.org/drawingml/2006/main">
                  <a:graphicData uri="http://schemas.microsoft.com/office/word/2010/wordprocessingShape">
                    <wps:wsp>
                      <wps:cNvSpPr txBox="1"/>
                      <wps:spPr>
                        <a:xfrm>
                          <a:ext cx="658495" cy="1612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2021.12.31</w:t>
                            </w:r>
                          </w:p>
                        </w:txbxContent>
                      </wps:txbx>
                      <wps:bodyPr wrap="none" lIns="0" tIns="0" rIns="0" bIns="0">
                        <a:noAutoFit/>
                      </wps:bodyPr>
                    </wps:wsp>
                  </a:graphicData>
                </a:graphic>
              </wp:anchor>
            </w:drawing>
          </mc:Choice>
          <mc:Fallback>
            <w:pict>
              <v:shape id="_x0000_s1079" type="#_x0000_t202" style="position:absolute;margin-left:464.80000000000001pt;margin-top:664.80000000000007pt;width:51.850000000000001pt;height:12.700000000000001pt;z-index:-125829333;mso-wrap-distance-left:394.90000000000003pt;mso-wrap-distance-top:16.449999999999999pt;mso-wrap-distance-right:9.pt;mso-position-horizontal-relative:page;mso-position-vertical-relative:margin"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2021.12.31</w:t>
                      </w:r>
                    </w:p>
                  </w:txbxContent>
                </v:textbox>
                <w10:wrap type="topAndBottom" anchorx="page" anchory="margin"/>
              </v:shape>
            </w:pict>
          </mc:Fallback>
        </mc:AlternateContent>
      </w:r>
      <w:r>
        <w:rPr>
          <w:rFonts w:ascii="Times New Roman" w:eastAsia="Times New Roman" w:hAnsi="Times New Roman" w:cs="Times New Roman"/>
          <w:b/>
          <w:bCs/>
          <w:color w:val="000000"/>
          <w:spacing w:val="0"/>
          <w:w w:val="100"/>
          <w:position w:val="0"/>
          <w:sz w:val="22"/>
          <w:szCs w:val="22"/>
        </w:rPr>
        <w:t>32</w:t>
      </w:r>
      <w:r>
        <w:rPr>
          <w:b/>
          <w:bCs/>
          <w:color w:val="000000"/>
          <w:spacing w:val="0"/>
          <w:w w:val="100"/>
          <w:position w:val="0"/>
          <w:sz w:val="22"/>
          <w:szCs w:val="22"/>
        </w:rPr>
        <w:t>、租赁负债</w:t>
      </w:r>
    </w:p>
    <w:p>
      <w:pPr>
        <w:widowControl w:val="0"/>
        <w:spacing w:after="299" w:line="1" w:lineRule="exact"/>
      </w:pPr>
    </w:p>
    <w:p>
      <w:pPr>
        <w:widowControl w:val="0"/>
        <w:spacing w:line="1" w:lineRule="exact"/>
      </w:pPr>
    </w:p>
    <w:tbl>
      <w:tblPr>
        <w:tblOverlap w:val="never"/>
        <w:jc w:val="center"/>
        <w:tblLayout w:type="fixed"/>
      </w:tblPr>
      <w:tblGrid>
        <w:gridCol w:w="4411"/>
        <w:gridCol w:w="2146"/>
        <w:gridCol w:w="2803"/>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75,619,148.99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20"/>
                <w:szCs w:val="20"/>
              </w:rPr>
            </w:pPr>
            <w:r>
              <w:rPr>
                <w:color w:val="000000"/>
                <w:spacing w:val="0"/>
                <w:w w:val="100"/>
                <w:position w:val="0"/>
                <w:sz w:val="20"/>
                <w:szCs w:val="2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16,759,218.40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58,859,930.59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减：一年内到期的租赁负债（附注五、</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10,291,289.88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20"/>
                <w:szCs w:val="20"/>
              </w:rPr>
            </w:pPr>
            <w:r>
              <w:rPr>
                <w:color w:val="000000"/>
                <w:spacing w:val="0"/>
                <w:w w:val="100"/>
                <w:position w:val="0"/>
                <w:sz w:val="20"/>
                <w:szCs w:val="20"/>
              </w:rPr>
              <w:t>—</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48,568,640.71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130" w:right="0" w:firstLine="0"/>
        <w:jc w:val="left"/>
        <w:rPr>
          <w:sz w:val="22"/>
          <w:szCs w:val="22"/>
        </w:rPr>
      </w:pPr>
      <w:r>
        <w:rPr>
          <w:rFonts w:ascii="Times New Roman" w:eastAsia="Times New Roman" w:hAnsi="Times New Roman" w:cs="Times New Roman"/>
          <w:b/>
          <w:bCs/>
          <w:color w:val="000000"/>
          <w:spacing w:val="0"/>
          <w:w w:val="100"/>
          <w:position w:val="0"/>
          <w:sz w:val="22"/>
          <w:szCs w:val="22"/>
        </w:rPr>
        <w:t>33</w:t>
      </w:r>
      <w:r>
        <w:rPr>
          <w:b/>
          <w:bCs/>
          <w:color w:val="000000"/>
          <w:spacing w:val="0"/>
          <w:w w:val="100"/>
          <w:position w:val="0"/>
          <w:sz w:val="22"/>
          <w:szCs w:val="22"/>
        </w:rPr>
        <w:t>、递延收益</w:t>
      </w:r>
    </w:p>
    <w:p>
      <w:pPr>
        <w:widowControl w:val="0"/>
        <w:spacing w:after="299" w:line="1" w:lineRule="exact"/>
      </w:pPr>
    </w:p>
    <w:p>
      <w:pPr>
        <w:widowControl w:val="0"/>
        <w:spacing w:line="1" w:lineRule="exact"/>
      </w:pPr>
    </w:p>
    <w:tbl>
      <w:tblPr>
        <w:tblOverlap w:val="never"/>
        <w:jc w:val="center"/>
        <w:tblLayout w:type="fixed"/>
      </w:tblPr>
      <w:tblGrid>
        <w:gridCol w:w="1680"/>
        <w:gridCol w:w="1560"/>
        <w:gridCol w:w="1483"/>
        <w:gridCol w:w="1526"/>
        <w:gridCol w:w="1699"/>
        <w:gridCol w:w="1517"/>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形成原因</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1,329,830.39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1,070,169.61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详见下表</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2,400,000.00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1,329,830.39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1,070,169.61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r>
    </w:tbl>
    <w:p>
      <w:pPr>
        <w:pStyle w:val="Style30"/>
        <w:keepNext w:val="0"/>
        <w:keepLines w:val="0"/>
        <w:widowControl w:val="0"/>
        <w:shd w:val="clear" w:color="auto" w:fill="auto"/>
        <w:bidi w:val="0"/>
        <w:spacing w:before="0" w:after="0" w:line="240" w:lineRule="auto"/>
        <w:ind w:left="360" w:right="0" w:firstLine="0"/>
        <w:jc w:val="left"/>
        <w:rPr>
          <w:sz w:val="22"/>
          <w:szCs w:val="22"/>
        </w:rPr>
      </w:pPr>
      <w:r>
        <w:rPr>
          <w:color w:val="000000"/>
          <w:spacing w:val="0"/>
          <w:w w:val="100"/>
          <w:position w:val="0"/>
          <w:sz w:val="22"/>
          <w:szCs w:val="22"/>
        </w:rPr>
        <w:t>其中，涉及政府补助的项目:</w:t>
      </w:r>
    </w:p>
    <w:p>
      <w:pPr>
        <w:widowControl w:val="0"/>
        <w:spacing w:after="79" w:line="1" w:lineRule="exact"/>
      </w:pPr>
    </w:p>
    <w:p>
      <w:pPr>
        <w:widowControl w:val="0"/>
        <w:spacing w:line="1" w:lineRule="exact"/>
      </w:pPr>
    </w:p>
    <w:tbl>
      <w:tblPr>
        <w:tblOverlap w:val="never"/>
        <w:jc w:val="center"/>
        <w:tblLayout w:type="fixed"/>
      </w:tblPr>
      <w:tblGrid>
        <w:gridCol w:w="1939"/>
        <w:gridCol w:w="542"/>
        <w:gridCol w:w="1282"/>
        <w:gridCol w:w="802"/>
        <w:gridCol w:w="1344"/>
        <w:gridCol w:w="859"/>
        <w:gridCol w:w="542"/>
        <w:gridCol w:w="1214"/>
        <w:gridCol w:w="1195"/>
      </w:tblGrid>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期初</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本期新增 补助金额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b/>
                <w:bCs/>
                <w:color w:val="000000"/>
                <w:spacing w:val="0"/>
                <w:w w:val="100"/>
                <w:position w:val="0"/>
                <w:sz w:val="20"/>
                <w:szCs w:val="20"/>
              </w:rPr>
              <w:t>本期计 入营业 外收入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本期计入其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他收益金额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本期冲 减成本 费用金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b/>
                <w:bCs/>
                <w:color w:val="000000"/>
                <w:spacing w:val="0"/>
                <w:w w:val="100"/>
                <w:position w:val="0"/>
                <w:sz w:val="20"/>
                <w:szCs w:val="20"/>
              </w:rPr>
              <w:t>其他</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与资产相 关</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与收益相 关</w:t>
            </w:r>
          </w:p>
        </w:tc>
      </w:tr>
      <w:tr>
        <w:trPr>
          <w:trHeight w:val="4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83" w:lineRule="exact"/>
              <w:ind w:left="180" w:right="0" w:firstLine="0"/>
              <w:jc w:val="left"/>
              <w:rPr>
                <w:sz w:val="20"/>
                <w:szCs w:val="20"/>
              </w:rPr>
            </w:pPr>
            <w:r>
              <w:rPr>
                <w:color w:val="000000"/>
                <w:spacing w:val="0"/>
                <w:w w:val="100"/>
                <w:position w:val="0"/>
                <w:sz w:val="20"/>
                <w:szCs w:val="20"/>
              </w:rPr>
              <w:t>锂离子电池石墨 负极材料的研究 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1,070,169.61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1,329,830.39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1,070,169.61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3" w:right="0" w:firstLine="0"/>
        <w:jc w:val="left"/>
        <w:rPr>
          <w:sz w:val="22"/>
          <w:szCs w:val="22"/>
        </w:rPr>
      </w:pPr>
      <w:r>
        <w:rPr>
          <w:rFonts w:ascii="Times New Roman" w:eastAsia="Times New Roman" w:hAnsi="Times New Roman" w:cs="Times New Roman"/>
          <w:b/>
          <w:bCs/>
          <w:color w:val="000000"/>
          <w:spacing w:val="0"/>
          <w:w w:val="100"/>
          <w:position w:val="0"/>
          <w:sz w:val="22"/>
          <w:szCs w:val="22"/>
        </w:rPr>
        <w:t>34</w:t>
      </w:r>
      <w:r>
        <w:rPr>
          <w:b/>
          <w:bCs/>
          <w:color w:val="000000"/>
          <w:spacing w:val="0"/>
          <w:w w:val="100"/>
          <w:position w:val="0"/>
          <w:sz w:val="22"/>
          <w:szCs w:val="22"/>
        </w:rPr>
        <w:t>、股本</w:t>
      </w:r>
    </w:p>
    <w:p>
      <w:pPr>
        <w:widowControl w:val="0"/>
        <w:spacing w:line="1" w:lineRule="exact"/>
      </w:pPr>
      <w:r>
        <w:br w:type="page"/>
      </w:r>
    </w:p>
    <w:tbl>
      <w:tblPr>
        <w:tblOverlap w:val="never"/>
        <w:jc w:val="center"/>
        <w:tblLayout w:type="fixed"/>
      </w:tblPr>
      <w:tblGrid>
        <w:gridCol w:w="1306"/>
        <w:gridCol w:w="1603"/>
        <w:gridCol w:w="1498"/>
        <w:gridCol w:w="514"/>
        <w:gridCol w:w="739"/>
        <w:gridCol w:w="1186"/>
        <w:gridCol w:w="1022"/>
        <w:gridCol w:w="1642"/>
      </w:tblGrid>
      <w:tr>
        <w:trPr>
          <w:trHeight w:val="86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发行新股</w:t>
            </w:r>
          </w:p>
        </w:tc>
        <w:tc>
          <w:tcPr>
            <w:tcBorders>
              <w:top w:val="single" w:sz="4"/>
              <w:left w:val="single" w:sz="4"/>
            </w:tcBorders>
            <w:shd w:val="clear" w:color="auto" w:fill="FFFFFF"/>
            <w:textDirection w:val="tbRlV"/>
            <w:vAlign w:val="bottom"/>
          </w:tcPr>
          <w:p>
            <w:pPr>
              <w:pStyle w:val="Style8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6" w:lineRule="exact"/>
              <w:ind w:left="0" w:right="0" w:firstLine="0"/>
              <w:jc w:val="center"/>
              <w:rPr>
                <w:sz w:val="20"/>
                <w:szCs w:val="20"/>
              </w:rPr>
            </w:pPr>
            <w:r>
              <w:rPr>
                <w:b/>
                <w:bCs/>
                <w:color w:val="000000"/>
                <w:spacing w:val="0"/>
                <w:w w:val="100"/>
                <w:position w:val="0"/>
                <w:sz w:val="20"/>
                <w:szCs w:val="20"/>
              </w:rPr>
              <w:t>公积 金转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20"/>
                <w:szCs w:val="20"/>
              </w:rPr>
            </w:pPr>
            <w:r>
              <w:rPr>
                <w:b/>
                <w:bCs/>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20"/>
                <w:szCs w:val="20"/>
              </w:rPr>
            </w:pPr>
            <w:r>
              <w:rPr>
                <w:b/>
                <w:bCs/>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有限售条件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境内自然人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12,560,625.00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45,029,800.00</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境外自然人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2,561,000.00</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有限售条件 股份合计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12,560,625.00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47,590,800.00</w:t>
            </w:r>
          </w:p>
        </w:tc>
      </w:tr>
      <w:tr>
        <w:trPr>
          <w:trHeight w:val="5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无限售条件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人民币普通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545,054,375.00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545,055,200.00</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无限售条件 股份合计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545,054,375.00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545,055,200.00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557,615,000.00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35,049,000.00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592,646,000.00</w:t>
            </w:r>
          </w:p>
        </w:tc>
      </w:tr>
    </w:tbl>
    <w:p>
      <w:pPr>
        <w:pStyle w:val="Style13"/>
        <w:keepNext w:val="0"/>
        <w:keepLines w:val="0"/>
        <w:widowControl w:val="0"/>
        <w:shd w:val="clear" w:color="auto" w:fill="auto"/>
        <w:bidi w:val="0"/>
        <w:spacing w:before="0" w:after="0" w:line="469" w:lineRule="exact"/>
        <w:ind w:left="26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日国民技术公司召开第五届董事会第三次会议，审议通过了《关于公司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 xml:space="preserve">及其摘要的议案向激励对象首次授予限制性股票的议案》，并于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年第一次临时股东大会会议决议，向激励对象授予限制性股票</w:t>
      </w:r>
      <w:r>
        <w:rPr>
          <w:rFonts w:ascii="Times New Roman" w:eastAsia="Times New Roman" w:hAnsi="Times New Roman" w:cs="Times New Roman"/>
          <w:color w:val="000000"/>
          <w:spacing w:val="0"/>
          <w:w w:val="100"/>
          <w:position w:val="0"/>
        </w:rPr>
        <w:t>3,830.90</w:t>
      </w:r>
      <w:r>
        <w:rPr>
          <w:color w:val="000000"/>
          <w:spacing w:val="0"/>
          <w:w w:val="100"/>
          <w:position w:val="0"/>
        </w:rPr>
        <w:t>万 股，其中首次授予</w:t>
      </w:r>
      <w:r>
        <w:rPr>
          <w:rFonts w:ascii="Times New Roman" w:eastAsia="Times New Roman" w:hAnsi="Times New Roman" w:cs="Times New Roman"/>
          <w:color w:val="000000"/>
          <w:spacing w:val="0"/>
          <w:w w:val="100"/>
          <w:position w:val="0"/>
        </w:rPr>
        <w:t>3,530.9</w:t>
      </w:r>
      <w:r>
        <w:rPr>
          <w:rFonts w:ascii="Times New Roman" w:eastAsia="Times New Roman" w:hAnsi="Times New Roman" w:cs="Times New Roman"/>
          <w:color w:val="000000"/>
          <w:spacing w:val="0"/>
          <w:w w:val="100"/>
          <w:position w:val="0"/>
        </w:rPr>
        <w:t>0</w:t>
      </w:r>
      <w:r>
        <w:rPr>
          <w:color w:val="000000"/>
          <w:spacing w:val="0"/>
          <w:w w:val="100"/>
          <w:position w:val="0"/>
        </w:rPr>
        <w:t>万股，预留</w:t>
      </w:r>
      <w:r>
        <w:rPr>
          <w:rFonts w:ascii="Times New Roman" w:eastAsia="Times New Roman" w:hAnsi="Times New Roman" w:cs="Times New Roman"/>
          <w:color w:val="000000"/>
          <w:spacing w:val="0"/>
          <w:w w:val="100"/>
          <w:position w:val="0"/>
        </w:rPr>
        <w:t>300.00</w:t>
      </w:r>
      <w:r>
        <w:rPr>
          <w:color w:val="000000"/>
          <w:spacing w:val="0"/>
          <w:w w:val="100"/>
          <w:position w:val="0"/>
        </w:rPr>
        <w:t>万股。首次授予价格</w:t>
      </w:r>
      <w:r>
        <w:rPr>
          <w:rFonts w:ascii="Times New Roman" w:eastAsia="Times New Roman" w:hAnsi="Times New Roman" w:cs="Times New Roman"/>
          <w:color w:val="000000"/>
          <w:spacing w:val="0"/>
          <w:w w:val="100"/>
          <w:position w:val="0"/>
        </w:rPr>
        <w:t>6.10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日国民 技术公司召开第五届董事会第四次会议，审议通过了《关于向激励对象首次授予限制性股票的议 案》。因在缴款登记过程中，部分激励对象因个人原因全部或部分放弃其拟获授的限制性股票合 计</w:t>
      </w:r>
      <w:r>
        <w:rPr>
          <w:rFonts w:ascii="Times New Roman" w:eastAsia="Times New Roman" w:hAnsi="Times New Roman" w:cs="Times New Roman"/>
          <w:color w:val="000000"/>
          <w:spacing w:val="0"/>
          <w:w w:val="100"/>
          <w:position w:val="0"/>
        </w:rPr>
        <w:t>26.00</w:t>
      </w:r>
      <w:r>
        <w:rPr>
          <w:color w:val="000000"/>
          <w:spacing w:val="0"/>
          <w:w w:val="100"/>
          <w:position w:val="0"/>
        </w:rPr>
        <w:t>万股，公司实际收到股权激励对象缴纳的认购款人民币</w:t>
      </w:r>
      <w:r>
        <w:rPr>
          <w:rFonts w:ascii="Times New Roman" w:eastAsia="Times New Roman" w:hAnsi="Times New Roman" w:cs="Times New Roman"/>
          <w:color w:val="000000"/>
          <w:spacing w:val="0"/>
          <w:w w:val="100"/>
          <w:position w:val="0"/>
        </w:rPr>
        <w:t>21,379.89</w:t>
      </w:r>
      <w:r>
        <w:rPr>
          <w:color w:val="000000"/>
          <w:spacing w:val="0"/>
          <w:w w:val="100"/>
          <w:position w:val="0"/>
        </w:rPr>
        <w:t>万元。其中注册资本（股 本）为人民币</w:t>
      </w:r>
      <w:r>
        <w:rPr>
          <w:rFonts w:ascii="Times New Roman" w:eastAsia="Times New Roman" w:hAnsi="Times New Roman" w:cs="Times New Roman"/>
          <w:color w:val="000000"/>
          <w:spacing w:val="0"/>
          <w:w w:val="100"/>
          <w:position w:val="0"/>
        </w:rPr>
        <w:t>3,504.9</w:t>
      </w:r>
      <w:r>
        <w:rPr>
          <w:rFonts w:ascii="Times New Roman" w:eastAsia="Times New Roman" w:hAnsi="Times New Roman" w:cs="Times New Roman"/>
          <w:color w:val="000000"/>
          <w:spacing w:val="0"/>
          <w:w w:val="100"/>
          <w:position w:val="0"/>
        </w:rPr>
        <w:t>0</w:t>
      </w:r>
      <w:r>
        <w:rPr>
          <w:color w:val="000000"/>
          <w:spacing w:val="0"/>
          <w:w w:val="100"/>
          <w:position w:val="0"/>
        </w:rPr>
        <w:t>万元，资本公积为人民币</w:t>
      </w:r>
      <w:r>
        <w:rPr>
          <w:rFonts w:ascii="Times New Roman" w:eastAsia="Times New Roman" w:hAnsi="Times New Roman" w:cs="Times New Roman"/>
          <w:color w:val="000000"/>
          <w:spacing w:val="0"/>
          <w:w w:val="100"/>
          <w:position w:val="0"/>
        </w:rPr>
        <w:t>17,874.99</w:t>
      </w:r>
      <w:r>
        <w:rPr>
          <w:color w:val="000000"/>
          <w:spacing w:val="0"/>
          <w:w w:val="100"/>
          <w:position w:val="0"/>
        </w:rPr>
        <w:t>万元。上述出资业经中兴财光华会计师 事务所（特殊普通合伙）审验并出具了中兴财光华审验字（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318007</w:t>
      </w:r>
      <w:r>
        <w:rPr>
          <w:color w:val="000000"/>
          <w:spacing w:val="0"/>
          <w:w w:val="100"/>
          <w:position w:val="0"/>
        </w:rPr>
        <w:t>号验资报告。</w:t>
      </w:r>
    </w:p>
    <w:p>
      <w:pPr>
        <w:pStyle w:val="Style13"/>
        <w:keepNext w:val="0"/>
        <w:keepLines w:val="0"/>
        <w:widowControl w:val="0"/>
        <w:shd w:val="clear" w:color="auto" w:fill="auto"/>
        <w:bidi w:val="0"/>
        <w:spacing w:before="0" w:after="420" w:line="469" w:lineRule="exact"/>
        <w:ind w:left="26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名股权激励对象因个人原因已不符合股权激励对象条件，公司将回 购注销其已获授但尚未解锁的限制性股票</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.80</w:t>
      </w:r>
      <w:r>
        <w:rPr>
          <w:color w:val="000000"/>
          <w:spacing w:val="0"/>
          <w:w w:val="100"/>
          <w:position w:val="0"/>
        </w:rPr>
        <w:t>万股，减少股本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.80</w:t>
      </w:r>
      <w:r>
        <w:rPr>
          <w:color w:val="000000"/>
          <w:spacing w:val="0"/>
          <w:w w:val="100"/>
          <w:position w:val="0"/>
        </w:rPr>
        <w:t>万元，减少资本公积</w:t>
      </w:r>
      <w:r>
        <w:rPr>
          <w:rFonts w:ascii="Times New Roman" w:eastAsia="Times New Roman" w:hAnsi="Times New Roman" w:cs="Times New Roman"/>
          <w:color w:val="000000"/>
          <w:spacing w:val="0"/>
          <w:w w:val="100"/>
          <w:position w:val="0"/>
        </w:rPr>
        <w:t>9.18</w:t>
      </w:r>
      <w:r>
        <w:rPr>
          <w:color w:val="000000"/>
          <w:spacing w:val="0"/>
          <w:w w:val="100"/>
          <w:position w:val="0"/>
        </w:rPr>
        <w:t>万元。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日，上述事项尚未办理工商变更手续。</w:t>
      </w:r>
    </w:p>
    <w:p>
      <w:pPr>
        <w:pStyle w:val="Style30"/>
        <w:keepNext w:val="0"/>
        <w:keepLines w:val="0"/>
        <w:widowControl w:val="0"/>
        <w:shd w:val="clear" w:color="auto" w:fill="auto"/>
        <w:bidi w:val="0"/>
        <w:spacing w:before="0" w:after="0" w:line="240" w:lineRule="auto"/>
        <w:ind w:left="53" w:right="0" w:firstLine="0"/>
        <w:jc w:val="left"/>
        <w:rPr>
          <w:sz w:val="22"/>
          <w:szCs w:val="22"/>
        </w:rPr>
      </w:pPr>
      <w:r>
        <w:rPr>
          <w:rFonts w:ascii="Times New Roman" w:eastAsia="Times New Roman" w:hAnsi="Times New Roman" w:cs="Times New Roman"/>
          <w:b/>
          <w:bCs/>
          <w:color w:val="000000"/>
          <w:spacing w:val="0"/>
          <w:w w:val="100"/>
          <w:position w:val="0"/>
          <w:sz w:val="22"/>
          <w:szCs w:val="22"/>
        </w:rPr>
        <w:t>35</w:t>
      </w:r>
      <w:r>
        <w:rPr>
          <w:b/>
          <w:bCs/>
          <w:color w:val="000000"/>
          <w:spacing w:val="0"/>
          <w:w w:val="100"/>
          <w:position w:val="0"/>
          <w:sz w:val="22"/>
          <w:szCs w:val="22"/>
        </w:rPr>
        <w:t>、资本公积</w:t>
      </w:r>
    </w:p>
    <w:tbl>
      <w:tblPr>
        <w:tblOverlap w:val="never"/>
        <w:jc w:val="center"/>
        <w:tblLayout w:type="fixed"/>
      </w:tblPr>
      <w:tblGrid>
        <w:gridCol w:w="1877"/>
        <w:gridCol w:w="1829"/>
        <w:gridCol w:w="1824"/>
        <w:gridCol w:w="1829"/>
        <w:gridCol w:w="1858"/>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rPr>
              <w:t>2021.01.01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2,069,693,298.27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178,749,900.00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93,442,742.32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2,155,000,455.95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1,822,382.59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220,505,979.83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222,328,362.42</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2,071,515,680.86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399,255,879.83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b/>
                <w:bCs/>
                <w:color w:val="000000"/>
                <w:spacing w:val="0"/>
                <w:w w:val="100"/>
                <w:position w:val="0"/>
                <w:sz w:val="20"/>
                <w:szCs w:val="20"/>
              </w:rPr>
              <w:t>93,442,742.32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2,377,328,818.37</w:t>
            </w:r>
          </w:p>
        </w:tc>
      </w:tr>
    </w:tbl>
    <w:p>
      <w:pPr>
        <w:pStyle w:val="Style13"/>
        <w:keepNext w:val="0"/>
        <w:keepLines w:val="0"/>
        <w:widowControl w:val="0"/>
        <w:shd w:val="clear" w:color="auto" w:fill="auto"/>
        <w:bidi w:val="0"/>
        <w:spacing w:before="0" w:after="0" w:line="470" w:lineRule="exact"/>
        <w:ind w:left="260" w:right="0" w:firstLine="460"/>
        <w:jc w:val="both"/>
      </w:pPr>
      <w:r>
        <w:rPr>
          <w:color w:val="000000"/>
          <w:spacing w:val="0"/>
          <w:w w:val="100"/>
          <w:position w:val="0"/>
        </w:rPr>
        <w:t>注：</w:t>
      </w:r>
    </w:p>
    <w:p>
      <w:pPr>
        <w:pStyle w:val="Style13"/>
        <w:keepNext w:val="0"/>
        <w:keepLines w:val="0"/>
        <w:widowControl w:val="0"/>
        <w:shd w:val="clear" w:color="auto" w:fill="auto"/>
        <w:tabs>
          <w:tab w:pos="1317" w:val="left"/>
        </w:tabs>
        <w:bidi w:val="0"/>
        <w:spacing w:before="0" w:after="0" w:line="470" w:lineRule="exact"/>
        <w:ind w:left="260" w:right="0" w:firstLine="46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日，本公司之全资子公司国民科技、深圳前海国民投资管理有限公司（以 下简称“国民投资”）在广东省深圳市中级人民法院于阿里拍卖平台开展的“被执行人鲍海友持 有的深圳市斯诺实业发展有限公司</w:t>
      </w:r>
      <w:r>
        <w:rPr>
          <w:rFonts w:ascii="Times New Roman" w:eastAsia="Times New Roman" w:hAnsi="Times New Roman" w:cs="Times New Roman"/>
          <w:color w:val="000000"/>
          <w:spacing w:val="0"/>
          <w:w w:val="100"/>
          <w:position w:val="0"/>
        </w:rPr>
        <w:t>25%</w:t>
      </w:r>
      <w:r>
        <w:rPr>
          <w:color w:val="000000"/>
          <w:spacing w:val="0"/>
          <w:w w:val="100"/>
          <w:position w:val="0"/>
        </w:rPr>
        <w:t>的股权”项目公开竞价中各获取</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的股权，减少资 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9,335.09</w:t>
      </w:r>
      <w:r>
        <w:rPr>
          <w:color w:val="000000"/>
          <w:spacing w:val="0"/>
          <w:w w:val="100"/>
          <w:position w:val="0"/>
        </w:rPr>
        <w:t>万元。该事项详见本附注七、</w:t>
      </w:r>
      <w:r>
        <w:rPr>
          <w:rFonts w:ascii="Times New Roman" w:eastAsia="Times New Roman" w:hAnsi="Times New Roman" w:cs="Times New Roman"/>
          <w:color w:val="000000"/>
          <w:spacing w:val="0"/>
          <w:w w:val="100"/>
          <w:position w:val="0"/>
        </w:rPr>
        <w:t>2</w:t>
      </w:r>
      <w:r>
        <w:rPr>
          <w:color w:val="000000"/>
          <w:spacing w:val="0"/>
          <w:w w:val="100"/>
          <w:position w:val="0"/>
        </w:rPr>
        <w:t>之说明。</w:t>
      </w:r>
    </w:p>
    <w:p>
      <w:pPr>
        <w:pStyle w:val="Style13"/>
        <w:keepNext w:val="0"/>
        <w:keepLines w:val="0"/>
        <w:widowControl w:val="0"/>
        <w:shd w:val="clear" w:color="auto" w:fill="auto"/>
        <w:tabs>
          <w:tab w:pos="1317" w:val="left"/>
        </w:tabs>
        <w:bidi w:val="0"/>
        <w:spacing w:before="0" w:after="0" w:line="470" w:lineRule="exact"/>
        <w:ind w:left="260" w:right="0" w:firstLine="46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月公司授予限制性股票</w:t>
      </w:r>
      <w:r>
        <w:rPr>
          <w:rFonts w:ascii="Times New Roman" w:eastAsia="Times New Roman" w:hAnsi="Times New Roman" w:cs="Times New Roman"/>
          <w:color w:val="000000"/>
          <w:spacing w:val="0"/>
          <w:w w:val="100"/>
          <w:position w:val="0"/>
        </w:rPr>
        <w:t>3,504.90</w:t>
      </w:r>
      <w:r>
        <w:rPr>
          <w:color w:val="000000"/>
          <w:spacing w:val="0"/>
          <w:w w:val="100"/>
          <w:position w:val="0"/>
        </w:rPr>
        <w:t>万股，增加资本公积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股本溢价人民币</w:t>
      </w:r>
      <w:r>
        <w:rPr>
          <w:rFonts w:ascii="Times New Roman" w:eastAsia="Times New Roman" w:hAnsi="Times New Roman" w:cs="Times New Roman"/>
          <w:color w:val="000000"/>
          <w:spacing w:val="0"/>
          <w:w w:val="100"/>
          <w:position w:val="0"/>
        </w:rPr>
        <w:t xml:space="preserve">17,874.99 </w:t>
      </w:r>
      <w:r>
        <w:rPr>
          <w:color w:val="000000"/>
          <w:spacing w:val="0"/>
          <w:w w:val="100"/>
          <w:position w:val="0"/>
        </w:rPr>
        <w:t>万元，承担股权激励费用增加资本公积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8,288.8</w:t>
      </w:r>
      <w:r>
        <w:rPr>
          <w:rFonts w:ascii="Times New Roman" w:eastAsia="Times New Roman" w:hAnsi="Times New Roman" w:cs="Times New Roman"/>
          <w:color w:val="000000"/>
          <w:spacing w:val="0"/>
          <w:w w:val="100"/>
          <w:position w:val="0"/>
        </w:rPr>
        <w:t>0</w:t>
      </w:r>
      <w:r>
        <w:rPr>
          <w:color w:val="000000"/>
          <w:spacing w:val="0"/>
          <w:w w:val="100"/>
          <w:position w:val="0"/>
        </w:rPr>
        <w:t>万元，确认递延所得税资产增加资 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1,168.84</w:t>
      </w:r>
      <w:r>
        <w:rPr>
          <w:color w:val="000000"/>
          <w:spacing w:val="0"/>
          <w:w w:val="100"/>
          <w:position w:val="0"/>
        </w:rPr>
        <w:t>万元。</w:t>
      </w:r>
    </w:p>
    <w:p>
      <w:pPr>
        <w:pStyle w:val="Style13"/>
        <w:keepNext w:val="0"/>
        <w:keepLines w:val="0"/>
        <w:widowControl w:val="0"/>
        <w:shd w:val="clear" w:color="auto" w:fill="auto"/>
        <w:bidi w:val="0"/>
        <w:spacing w:before="0" w:after="0" w:line="470" w:lineRule="exact"/>
        <w:ind w:left="26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名股权激励对象因个人原因已不符合股权激励对象条件，公司将回购注销其已 获授但尚未解锁的限制性股票</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.80</w:t>
      </w:r>
      <w:r>
        <w:rPr>
          <w:color w:val="000000"/>
          <w:spacing w:val="0"/>
          <w:w w:val="100"/>
          <w:position w:val="0"/>
        </w:rPr>
        <w:t>万股，减少资本公积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9.18</w:t>
      </w:r>
      <w:r>
        <w:rPr>
          <w:color w:val="000000"/>
          <w:spacing w:val="0"/>
          <w:w w:val="100"/>
          <w:position w:val="0"/>
        </w:rPr>
        <w:t>万元。</w:t>
      </w:r>
    </w:p>
    <w:p>
      <w:pPr>
        <w:pStyle w:val="Style13"/>
        <w:keepNext w:val="0"/>
        <w:keepLines w:val="0"/>
        <w:widowControl w:val="0"/>
        <w:shd w:val="clear" w:color="auto" w:fill="auto"/>
        <w:tabs>
          <w:tab w:pos="1322" w:val="left"/>
        </w:tabs>
        <w:bidi w:val="0"/>
        <w:spacing w:before="0" w:after="420" w:line="470" w:lineRule="exact"/>
        <w:ind w:left="260" w:right="0" w:firstLine="46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年公司收回深圳市富源机电设备有限公司及深圳市德世科通讯科技有限公司应收 款</w:t>
      </w:r>
      <w:r>
        <w:rPr>
          <w:rFonts w:ascii="Times New Roman" w:eastAsia="Times New Roman" w:hAnsi="Times New Roman" w:cs="Times New Roman"/>
          <w:color w:val="000000"/>
          <w:spacing w:val="0"/>
          <w:w w:val="100"/>
          <w:position w:val="0"/>
        </w:rPr>
        <w:t>12,592.96</w:t>
      </w:r>
      <w:r>
        <w:rPr>
          <w:color w:val="000000"/>
          <w:spacing w:val="0"/>
          <w:w w:val="100"/>
          <w:position w:val="0"/>
        </w:rPr>
        <w:t>万元，增加资本公积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12,592.96</w:t>
      </w:r>
      <w:r>
        <w:rPr>
          <w:color w:val="000000"/>
          <w:spacing w:val="0"/>
          <w:w w:val="100"/>
          <w:position w:val="0"/>
        </w:rPr>
        <w:t>万元。该事项详见本附注十四、（二）之 说明。</w:t>
      </w:r>
    </w:p>
    <w:p>
      <w:pPr>
        <w:pStyle w:val="Style30"/>
        <w:keepNext w:val="0"/>
        <w:keepLines w:val="0"/>
        <w:widowControl w:val="0"/>
        <w:shd w:val="clear" w:color="auto" w:fill="auto"/>
        <w:bidi w:val="0"/>
        <w:spacing w:before="0" w:after="0" w:line="240" w:lineRule="auto"/>
        <w:ind w:left="53" w:right="0" w:firstLine="0"/>
        <w:jc w:val="left"/>
        <w:rPr>
          <w:sz w:val="22"/>
          <w:szCs w:val="22"/>
        </w:rPr>
      </w:pPr>
      <w:r>
        <w:rPr>
          <w:rFonts w:ascii="Times New Roman" w:eastAsia="Times New Roman" w:hAnsi="Times New Roman" w:cs="Times New Roman"/>
          <w:b/>
          <w:bCs/>
          <w:color w:val="000000"/>
          <w:spacing w:val="0"/>
          <w:w w:val="100"/>
          <w:position w:val="0"/>
          <w:sz w:val="22"/>
          <w:szCs w:val="22"/>
        </w:rPr>
        <w:t>36</w:t>
      </w:r>
      <w:r>
        <w:rPr>
          <w:b/>
          <w:bCs/>
          <w:color w:val="000000"/>
          <w:spacing w:val="0"/>
          <w:w w:val="100"/>
          <w:position w:val="0"/>
          <w:sz w:val="22"/>
          <w:szCs w:val="22"/>
        </w:rPr>
        <w:t>、库存股</w:t>
      </w:r>
    </w:p>
    <w:tbl>
      <w:tblPr>
        <w:tblOverlap w:val="never"/>
        <w:jc w:val="center"/>
        <w:tblLayout w:type="fixed"/>
      </w:tblPr>
      <w:tblGrid>
        <w:gridCol w:w="1877"/>
        <w:gridCol w:w="1829"/>
        <w:gridCol w:w="1824"/>
        <w:gridCol w:w="1829"/>
        <w:gridCol w:w="1858"/>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rPr>
              <w:t>2021.01.01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213,798,900.00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213,689,100.00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213,798,900.00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109,800.00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213,689,100.00</w:t>
            </w:r>
          </w:p>
        </w:tc>
      </w:tr>
    </w:tbl>
    <w:p>
      <w:pPr>
        <w:pStyle w:val="Style13"/>
        <w:keepNext w:val="0"/>
        <w:keepLines w:val="0"/>
        <w:widowControl w:val="0"/>
        <w:shd w:val="clear" w:color="auto" w:fill="auto"/>
        <w:bidi w:val="0"/>
        <w:spacing w:before="0" w:after="220" w:line="472" w:lineRule="exact"/>
        <w:ind w:left="260" w:right="0" w:firstLine="460"/>
        <w:jc w:val="both"/>
      </w:pPr>
      <w:r>
        <w:rPr>
          <w:color w:val="000000"/>
          <w:spacing w:val="0"/>
          <w:w w:val="100"/>
          <w:position w:val="0"/>
        </w:rPr>
        <w:t xml:space="preserve">注: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月公司实际授予限制性股票</w:t>
      </w:r>
      <w:r>
        <w:rPr>
          <w:rFonts w:ascii="Times New Roman" w:eastAsia="Times New Roman" w:hAnsi="Times New Roman" w:cs="Times New Roman"/>
          <w:color w:val="000000"/>
          <w:spacing w:val="0"/>
          <w:w w:val="100"/>
          <w:position w:val="0"/>
        </w:rPr>
        <w:t>3,504.9</w:t>
      </w:r>
      <w:r>
        <w:rPr>
          <w:rFonts w:ascii="Times New Roman" w:eastAsia="Times New Roman" w:hAnsi="Times New Roman" w:cs="Times New Roman"/>
          <w:color w:val="000000"/>
          <w:spacing w:val="0"/>
          <w:w w:val="100"/>
          <w:position w:val="0"/>
        </w:rPr>
        <w:t>0</w:t>
      </w:r>
      <w:r>
        <w:rPr>
          <w:color w:val="000000"/>
          <w:spacing w:val="0"/>
          <w:w w:val="100"/>
          <w:position w:val="0"/>
        </w:rPr>
        <w:t>万股，首次授予价格</w:t>
      </w:r>
      <w:r>
        <w:rPr>
          <w:rFonts w:ascii="Times New Roman" w:eastAsia="Times New Roman" w:hAnsi="Times New Roman" w:cs="Times New Roman"/>
          <w:color w:val="000000"/>
          <w:spacing w:val="0"/>
          <w:w w:val="100"/>
          <w:position w:val="0"/>
        </w:rPr>
        <w:t>6.10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股，增加限制性 股票回购义务</w:t>
      </w:r>
      <w:r>
        <w:rPr>
          <w:rFonts w:ascii="Times New Roman" w:eastAsia="Times New Roman" w:hAnsi="Times New Roman" w:cs="Times New Roman"/>
          <w:color w:val="000000"/>
          <w:spacing w:val="0"/>
          <w:w w:val="100"/>
          <w:position w:val="0"/>
        </w:rPr>
        <w:t>21,379.89</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名股权激励对象因个人原因已不符合股权激励对象条件， 公司将回购注销其已获授但尚未解锁的限制性股票</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.80</w:t>
      </w:r>
      <w:r>
        <w:rPr>
          <w:color w:val="000000"/>
          <w:spacing w:val="0"/>
          <w:w w:val="100"/>
          <w:position w:val="0"/>
        </w:rPr>
        <w:t>万股，减少限制性股权回购义务</w:t>
      </w:r>
      <w:r>
        <w:rPr>
          <w:rFonts w:ascii="Times New Roman" w:eastAsia="Times New Roman" w:hAnsi="Times New Roman" w:cs="Times New Roman"/>
          <w:color w:val="000000"/>
          <w:spacing w:val="0"/>
          <w:w w:val="100"/>
          <w:position w:val="0"/>
        </w:rPr>
        <w:t>10.98</w:t>
      </w:r>
      <w:r>
        <w:rPr>
          <w:color w:val="000000"/>
          <w:spacing w:val="0"/>
          <w:w w:val="100"/>
          <w:position w:val="0"/>
        </w:rPr>
        <w:t>万 元。</w:t>
      </w:r>
    </w:p>
    <w:p>
      <w:pPr>
        <w:pStyle w:val="Style13"/>
        <w:keepNext w:val="0"/>
        <w:keepLines w:val="0"/>
        <w:widowControl w:val="0"/>
        <w:shd w:val="clear" w:color="auto" w:fill="auto"/>
        <w:bidi w:val="0"/>
        <w:spacing w:before="0" w:after="320" w:line="472" w:lineRule="exact"/>
        <w:ind w:left="0" w:right="0" w:firstLine="260"/>
        <w:jc w:val="both"/>
      </w:pPr>
      <w:r>
        <w:rPr>
          <w:rFonts w:ascii="Times New Roman" w:eastAsia="Times New Roman" w:hAnsi="Times New Roman" w:cs="Times New Roman"/>
          <w:b/>
          <w:bCs/>
          <w:color w:val="000000"/>
          <w:spacing w:val="0"/>
          <w:w w:val="100"/>
          <w:position w:val="0"/>
        </w:rPr>
        <w:t>37</w:t>
      </w:r>
      <w:r>
        <w:rPr>
          <w:b/>
          <w:bCs/>
          <w:color w:val="000000"/>
          <w:spacing w:val="0"/>
          <w:w w:val="100"/>
          <w:position w:val="0"/>
        </w:rPr>
        <w:t>、其他综合收益</w:t>
      </w:r>
    </w:p>
    <w:tbl>
      <w:tblPr>
        <w:tblOverlap w:val="never"/>
        <w:jc w:val="center"/>
        <w:tblLayout w:type="fixed"/>
      </w:tblPr>
      <w:tblGrid>
        <w:gridCol w:w="1325"/>
        <w:gridCol w:w="1589"/>
        <w:gridCol w:w="1517"/>
        <w:gridCol w:w="898"/>
        <w:gridCol w:w="816"/>
        <w:gridCol w:w="1546"/>
        <w:gridCol w:w="859"/>
        <w:gridCol w:w="1627"/>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1891"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本年所得税 前发生额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20"/>
                <w:szCs w:val="20"/>
              </w:rPr>
            </w:pPr>
            <w:r>
              <w:rPr>
                <w:b/>
                <w:bCs/>
                <w:color w:val="000000"/>
                <w:spacing w:val="0"/>
                <w:w w:val="100"/>
                <w:position w:val="0"/>
                <w:sz w:val="20"/>
                <w:szCs w:val="20"/>
              </w:rPr>
              <w:t>减：前 期计入 其他综 合收益 当期转 入损益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减：所 得税 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税后归属于母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20"/>
                <w:szCs w:val="20"/>
              </w:rPr>
            </w:pPr>
            <w:r>
              <w:rPr>
                <w:b/>
                <w:bCs/>
                <w:color w:val="000000"/>
                <w:spacing w:val="0"/>
                <w:w w:val="100"/>
                <w:position w:val="0"/>
                <w:sz w:val="20"/>
                <w:szCs w:val="20"/>
              </w:rPr>
              <w:t>税后 归属 于少 数股 东</w:t>
            </w:r>
          </w:p>
        </w:tc>
        <w:tc>
          <w:tcPr>
            <w:vMerge/>
            <w:tcBorders>
              <w:left w:val="single" w:sz="4"/>
              <w:bottom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339"/>
        <w:gridCol w:w="1589"/>
        <w:gridCol w:w="1517"/>
        <w:gridCol w:w="898"/>
        <w:gridCol w:w="816"/>
        <w:gridCol w:w="1546"/>
        <w:gridCol w:w="859"/>
        <w:gridCol w:w="1627"/>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期末余额</w:t>
            </w:r>
          </w:p>
        </w:tc>
      </w:tr>
      <w:tr>
        <w:trPr>
          <w:trHeight w:val="188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本年所得税 前发生额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减：前 期计入 其他综 合收益 当期转</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减：所 得税 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税后归属于母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20"/>
                <w:szCs w:val="20"/>
              </w:rPr>
            </w:pPr>
            <w:r>
              <w:rPr>
                <w:b/>
                <w:bCs/>
                <w:color w:val="000000"/>
                <w:spacing w:val="0"/>
                <w:w w:val="100"/>
                <w:position w:val="0"/>
                <w:sz w:val="20"/>
                <w:szCs w:val="20"/>
              </w:rPr>
              <w:t>税后 归属 于少 数股 东</w:t>
            </w:r>
          </w:p>
        </w:tc>
        <w:tc>
          <w:tcPr>
            <w:vMerge/>
            <w:tcBorders>
              <w:left w:val="single" w:sz="4"/>
            </w:tcBorders>
            <w:shd w:val="clear" w:color="auto" w:fill="FFFFFF"/>
            <w:vAlign w:val="center"/>
          </w:tcPr>
          <w:p>
            <w:pPr/>
          </w:p>
        </w:tc>
      </w:tr>
      <w:tr>
        <w:trPr>
          <w:trHeight w:val="15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260"/>
              <w:jc w:val="both"/>
              <w:rPr>
                <w:sz w:val="20"/>
                <w:szCs w:val="20"/>
              </w:rPr>
            </w:pPr>
            <w:r>
              <w:rPr>
                <w:color w:val="000000"/>
                <w:spacing w:val="0"/>
                <w:w w:val="100"/>
                <w:position w:val="0"/>
                <w:sz w:val="20"/>
                <w:szCs w:val="20"/>
              </w:rPr>
              <w:t>一、不能</w:t>
            </w:r>
          </w:p>
          <w:p>
            <w:pPr>
              <w:pStyle w:val="Style2"/>
              <w:keepNext w:val="0"/>
              <w:keepLines w:val="0"/>
              <w:widowControl w:val="0"/>
              <w:shd w:val="clear" w:color="auto" w:fill="auto"/>
              <w:bidi w:val="0"/>
              <w:spacing w:before="0" w:after="60" w:line="240" w:lineRule="auto"/>
              <w:ind w:left="0" w:right="0" w:firstLine="260"/>
              <w:jc w:val="both"/>
              <w:rPr>
                <w:sz w:val="20"/>
                <w:szCs w:val="20"/>
              </w:rPr>
            </w:pPr>
            <w:r>
              <w:rPr>
                <w:color w:val="000000"/>
                <w:spacing w:val="0"/>
                <w:w w:val="100"/>
                <w:position w:val="0"/>
                <w:sz w:val="20"/>
                <w:szCs w:val="20"/>
              </w:rPr>
              <w:t>重分类进</w:t>
            </w:r>
          </w:p>
          <w:p>
            <w:pPr>
              <w:pStyle w:val="Style2"/>
              <w:keepNext w:val="0"/>
              <w:keepLines w:val="0"/>
              <w:widowControl w:val="0"/>
              <w:shd w:val="clear" w:color="auto" w:fill="auto"/>
              <w:bidi w:val="0"/>
              <w:spacing w:before="0" w:after="60" w:line="240" w:lineRule="auto"/>
              <w:ind w:left="0" w:right="0" w:firstLine="260"/>
              <w:jc w:val="both"/>
              <w:rPr>
                <w:sz w:val="20"/>
                <w:szCs w:val="20"/>
              </w:rPr>
            </w:pPr>
            <w:r>
              <w:rPr>
                <w:color w:val="000000"/>
                <w:spacing w:val="0"/>
                <w:w w:val="100"/>
                <w:position w:val="0"/>
                <w:sz w:val="20"/>
                <w:szCs w:val="20"/>
              </w:rPr>
              <w:t>损益的其</w:t>
            </w:r>
          </w:p>
          <w:p>
            <w:pPr>
              <w:pStyle w:val="Style2"/>
              <w:keepNext w:val="0"/>
              <w:keepLines w:val="0"/>
              <w:widowControl w:val="0"/>
              <w:shd w:val="clear" w:color="auto" w:fill="auto"/>
              <w:bidi w:val="0"/>
              <w:spacing w:before="0" w:after="60" w:line="240" w:lineRule="auto"/>
              <w:ind w:left="0" w:right="0" w:firstLine="260"/>
              <w:jc w:val="both"/>
              <w:rPr>
                <w:sz w:val="20"/>
                <w:szCs w:val="20"/>
              </w:rPr>
            </w:pPr>
            <w:r>
              <w:rPr>
                <w:color w:val="000000"/>
                <w:spacing w:val="0"/>
                <w:w w:val="100"/>
                <w:position w:val="0"/>
                <w:sz w:val="20"/>
                <w:szCs w:val="20"/>
              </w:rPr>
              <w:t>他综合收</w:t>
            </w:r>
          </w:p>
          <w:p>
            <w:pPr>
              <w:pStyle w:val="Style2"/>
              <w:keepNext w:val="0"/>
              <w:keepLines w:val="0"/>
              <w:widowControl w:val="0"/>
              <w:shd w:val="clear" w:color="auto" w:fill="auto"/>
              <w:bidi w:val="0"/>
              <w:spacing w:before="0" w:after="60" w:line="240" w:lineRule="auto"/>
              <w:ind w:left="0" w:right="0" w:firstLine="64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-3,070,711.85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156,909.81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-2,913,802.04</w:t>
            </w:r>
          </w:p>
        </w:tc>
      </w:tr>
      <w:tr>
        <w:trPr>
          <w:trHeight w:val="15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60" w:right="0" w:firstLine="20"/>
              <w:jc w:val="both"/>
              <w:rPr>
                <w:sz w:val="20"/>
                <w:szCs w:val="20"/>
              </w:rPr>
            </w:pPr>
            <w:r>
              <w:rPr>
                <w:color w:val="000000"/>
                <w:spacing w:val="0"/>
                <w:w w:val="100"/>
                <w:position w:val="0"/>
                <w:sz w:val="20"/>
                <w:szCs w:val="20"/>
              </w:rPr>
              <w:t>其中：其 他权益工 具投资公 允价值变</w:t>
            </w:r>
          </w:p>
          <w:p>
            <w:pPr>
              <w:pStyle w:val="Style2"/>
              <w:keepNext w:val="0"/>
              <w:keepLines w:val="0"/>
              <w:widowControl w:val="0"/>
              <w:shd w:val="clear" w:color="auto" w:fill="auto"/>
              <w:bidi w:val="0"/>
              <w:spacing w:before="0" w:after="0" w:line="312" w:lineRule="exact"/>
              <w:ind w:left="0" w:right="0" w:firstLine="260"/>
              <w:jc w:val="left"/>
              <w:rPr>
                <w:sz w:val="20"/>
                <w:szCs w:val="20"/>
              </w:rPr>
            </w:pPr>
            <w:r>
              <w:rPr>
                <w:color w:val="000000"/>
                <w:spacing w:val="0"/>
                <w:w w:val="100"/>
                <w:position w:val="0"/>
                <w:sz w:val="20"/>
                <w:szCs w:val="20"/>
              </w:rPr>
              <w:t>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-3,070,711.85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156,909.81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-2,913,802.04</w:t>
            </w:r>
          </w:p>
        </w:tc>
      </w:tr>
      <w:tr>
        <w:trPr>
          <w:trHeight w:val="12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6" w:lineRule="exact"/>
              <w:ind w:left="260" w:right="0" w:firstLine="20"/>
              <w:jc w:val="both"/>
              <w:rPr>
                <w:sz w:val="20"/>
                <w:szCs w:val="20"/>
              </w:rPr>
            </w:pPr>
            <w:r>
              <w:rPr>
                <w:color w:val="000000"/>
                <w:spacing w:val="0"/>
                <w:w w:val="100"/>
                <w:position w:val="0"/>
                <w:sz w:val="20"/>
                <w:szCs w:val="20"/>
              </w:rPr>
              <w:t>二、将重 分类进损 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137,344,912.13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-3,211,645.60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-3,211,645.60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134,133,266.53</w:t>
            </w:r>
          </w:p>
        </w:tc>
      </w:tr>
      <w:tr>
        <w:trPr>
          <w:trHeight w:val="15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60" w:right="0" w:firstLine="20"/>
              <w:jc w:val="both"/>
              <w:rPr>
                <w:sz w:val="20"/>
                <w:szCs w:val="20"/>
              </w:rPr>
            </w:pPr>
            <w:r>
              <w:rPr>
                <w:color w:val="000000"/>
                <w:spacing w:val="0"/>
                <w:w w:val="100"/>
                <w:position w:val="0"/>
                <w:sz w:val="20"/>
                <w:szCs w:val="20"/>
              </w:rPr>
              <w:t>其中：权 益法下可 转损益的 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1,828,385.41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-1,828,385.41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-1,828,385.41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260"/>
              <w:jc w:val="left"/>
              <w:rPr>
                <w:sz w:val="20"/>
                <w:szCs w:val="20"/>
              </w:rPr>
            </w:pPr>
            <w:r>
              <w:rPr>
                <w:color w:val="000000"/>
                <w:spacing w:val="0"/>
                <w:w w:val="100"/>
                <w:position w:val="0"/>
                <w:sz w:val="20"/>
                <w:szCs w:val="20"/>
              </w:rPr>
              <w:t>外币财务</w:t>
            </w:r>
          </w:p>
          <w:p>
            <w:pPr>
              <w:pStyle w:val="Style2"/>
              <w:keepNext w:val="0"/>
              <w:keepLines w:val="0"/>
              <w:widowControl w:val="0"/>
              <w:shd w:val="clear" w:color="auto" w:fill="auto"/>
              <w:bidi w:val="0"/>
              <w:spacing w:before="0" w:after="60" w:line="240" w:lineRule="auto"/>
              <w:ind w:left="0" w:right="0" w:firstLine="260"/>
              <w:jc w:val="left"/>
              <w:rPr>
                <w:sz w:val="20"/>
                <w:szCs w:val="20"/>
              </w:rPr>
            </w:pPr>
            <w:r>
              <w:rPr>
                <w:color w:val="000000"/>
                <w:spacing w:val="0"/>
                <w:w w:val="100"/>
                <w:position w:val="0"/>
                <w:sz w:val="20"/>
                <w:szCs w:val="20"/>
              </w:rPr>
              <w:t>报表折算</w:t>
            </w:r>
          </w:p>
          <w:p>
            <w:pPr>
              <w:pStyle w:val="Style2"/>
              <w:keepNext w:val="0"/>
              <w:keepLines w:val="0"/>
              <w:widowControl w:val="0"/>
              <w:shd w:val="clear" w:color="auto" w:fill="auto"/>
              <w:bidi w:val="0"/>
              <w:spacing w:before="0" w:after="60" w:line="240" w:lineRule="auto"/>
              <w:ind w:left="0" w:right="0" w:firstLine="260"/>
              <w:jc w:val="left"/>
              <w:rPr>
                <w:sz w:val="20"/>
                <w:szCs w:val="20"/>
              </w:rPr>
            </w:pPr>
            <w:r>
              <w:rPr>
                <w:color w:val="000000"/>
                <w:spacing w:val="0"/>
                <w:w w:val="100"/>
                <w:position w:val="0"/>
                <w:sz w:val="20"/>
                <w:szCs w:val="20"/>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973,048.28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-1,383,260.19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-1,383,260.19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-410,211.91</w:t>
            </w:r>
          </w:p>
        </w:tc>
      </w:tr>
      <w:tr>
        <w:trPr>
          <w:trHeight w:val="188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10" w:lineRule="exact"/>
              <w:ind w:left="260" w:right="0" w:firstLine="20"/>
              <w:jc w:val="both"/>
              <w:rPr>
                <w:sz w:val="20"/>
                <w:szCs w:val="20"/>
              </w:rPr>
            </w:pPr>
            <w:r>
              <w:rPr>
                <w:color w:val="000000"/>
                <w:spacing w:val="0"/>
                <w:w w:val="100"/>
                <w:position w:val="0"/>
                <w:sz w:val="20"/>
                <w:szCs w:val="20"/>
              </w:rPr>
              <w:t>其他资产 转换为公 允价值模 式计量的 投资性房 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134,543,478.44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134,543,478.44</w:t>
            </w:r>
          </w:p>
        </w:tc>
      </w:tr>
      <w:tr>
        <w:trPr>
          <w:trHeight w:val="65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60" w:right="0" w:firstLine="20"/>
              <w:jc w:val="left"/>
              <w:rPr>
                <w:sz w:val="20"/>
                <w:szCs w:val="20"/>
              </w:rPr>
            </w:pPr>
            <w:r>
              <w:rPr>
                <w:b/>
                <w:bCs/>
                <w:color w:val="000000"/>
                <w:spacing w:val="0"/>
                <w:w w:val="100"/>
                <w:position w:val="0"/>
                <w:sz w:val="20"/>
                <w:szCs w:val="20"/>
              </w:rPr>
              <w:t>其他综合 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134,274,200.28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-3,054,735.79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-3,054,735.79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131,219,464.49</w:t>
            </w:r>
          </w:p>
        </w:tc>
      </w:tr>
    </w:tbl>
    <w:p>
      <w:pPr>
        <w:widowControl w:val="0"/>
        <w:spacing w:after="2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30" w:right="0" w:firstLine="0"/>
        <w:jc w:val="left"/>
        <w:rPr>
          <w:sz w:val="22"/>
          <w:szCs w:val="22"/>
        </w:rPr>
      </w:pPr>
      <w:r>
        <w:rPr>
          <w:rFonts w:ascii="Times New Roman" w:eastAsia="Times New Roman" w:hAnsi="Times New Roman" w:cs="Times New Roman"/>
          <w:b/>
          <w:bCs/>
          <w:color w:val="000000"/>
          <w:spacing w:val="0"/>
          <w:w w:val="100"/>
          <w:position w:val="0"/>
          <w:sz w:val="22"/>
          <w:szCs w:val="22"/>
        </w:rPr>
        <w:t>38</w:t>
      </w:r>
      <w:r>
        <w:rPr>
          <w:b/>
          <w:bCs/>
          <w:color w:val="000000"/>
          <w:spacing w:val="0"/>
          <w:w w:val="100"/>
          <w:position w:val="0"/>
          <w:sz w:val="22"/>
          <w:szCs w:val="22"/>
        </w:rPr>
        <w:t>、专项储备</w:t>
      </w:r>
    </w:p>
    <w:tbl>
      <w:tblPr>
        <w:tblOverlap w:val="never"/>
        <w:jc w:val="left"/>
        <w:tblLayout w:type="fixed"/>
      </w:tblPr>
      <w:tblGrid>
        <w:gridCol w:w="1872"/>
        <w:gridCol w:w="1829"/>
        <w:gridCol w:w="1829"/>
        <w:gridCol w:w="1824"/>
        <w:gridCol w:w="1858"/>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tabs>
                <w:tab w:pos="1175" w:val="left"/>
              </w:tabs>
              <w:bidi w:val="0"/>
              <w:spacing w:before="0" w:after="0" w:line="240" w:lineRule="auto"/>
              <w:ind w:left="0" w:right="0" w:firstLine="700"/>
              <w:jc w:val="left"/>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rPr>
              <w:t>2021.01.01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安全生产费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2,590,777.77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2,590,777.77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72"/>
        <w:gridCol w:w="1829"/>
        <w:gridCol w:w="1829"/>
        <w:gridCol w:w="1824"/>
        <w:gridCol w:w="1858"/>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b/>
                <w:bCs/>
                <w:color w:val="000000"/>
                <w:spacing w:val="0"/>
                <w:w w:val="100"/>
                <w:position w:val="0"/>
                <w:sz w:val="20"/>
                <w:szCs w:val="20"/>
              </w:rPr>
              <w:t>2,590,777.77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0"/>
                <w:szCs w:val="20"/>
              </w:rPr>
              <w:t>2,590,777.77</w:t>
            </w:r>
          </w:p>
        </w:tc>
        <w:tc>
          <w:tcPr>
            <w:tcBorders>
              <w:top w:val="single" w:sz="4"/>
              <w:left w:val="single" w:sz="4"/>
            </w:tcBorders>
            <w:shd w:val="clear" w:color="auto" w:fill="FFFFFF"/>
            <w:vAlign w:val="top"/>
          </w:tcPr>
          <w:p>
            <w:pPr>
              <w:widowControl w:val="0"/>
              <w:rPr>
                <w:sz w:val="10"/>
                <w:szCs w:val="10"/>
              </w:rPr>
            </w:pPr>
          </w:p>
        </w:tc>
      </w:tr>
      <w:tr>
        <w:trPr>
          <w:trHeight w:val="931"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39</w:t>
            </w:r>
            <w:r>
              <w:rPr>
                <w:b/>
                <w:bCs/>
                <w:color w:val="000000"/>
                <w:spacing w:val="0"/>
                <w:w w:val="100"/>
                <w:position w:val="0"/>
              </w:rPr>
              <w:t>、盈余公积</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rPr>
              <w:t>2021.01.01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68,560,890.84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68,560,890.84</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b/>
                <w:bCs/>
                <w:color w:val="000000"/>
                <w:spacing w:val="0"/>
                <w:w w:val="100"/>
                <w:position w:val="0"/>
                <w:sz w:val="20"/>
                <w:szCs w:val="20"/>
              </w:rPr>
              <w:t>68,560,890.84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b/>
                <w:bCs/>
                <w:color w:val="000000"/>
                <w:spacing w:val="0"/>
                <w:w w:val="100"/>
                <w:position w:val="0"/>
                <w:sz w:val="20"/>
                <w:szCs w:val="20"/>
              </w:rPr>
              <w:t>68,560,890.84</w:t>
            </w:r>
          </w:p>
        </w:tc>
      </w:tr>
    </w:tbl>
    <w:p>
      <w:pPr>
        <w:pStyle w:val="Style30"/>
        <w:keepNext w:val="0"/>
        <w:keepLines w:val="0"/>
        <w:widowControl w:val="0"/>
        <w:shd w:val="clear" w:color="auto" w:fill="auto"/>
        <w:bidi w:val="0"/>
        <w:spacing w:before="0" w:after="0" w:line="240" w:lineRule="auto"/>
        <w:ind w:left="130" w:right="0" w:firstLine="0"/>
        <w:jc w:val="left"/>
        <w:rPr>
          <w:sz w:val="22"/>
          <w:szCs w:val="22"/>
        </w:rPr>
      </w:pPr>
      <w:r>
        <w:rPr>
          <w:rFonts w:ascii="Times New Roman" w:eastAsia="Times New Roman" w:hAnsi="Times New Roman" w:cs="Times New Roman"/>
          <w:b/>
          <w:bCs/>
          <w:color w:val="000000"/>
          <w:spacing w:val="0"/>
          <w:w w:val="100"/>
          <w:position w:val="0"/>
          <w:sz w:val="22"/>
          <w:szCs w:val="22"/>
        </w:rPr>
        <w:t>40</w:t>
      </w:r>
      <w:r>
        <w:rPr>
          <w:b/>
          <w:bCs/>
          <w:color w:val="000000"/>
          <w:spacing w:val="0"/>
          <w:w w:val="100"/>
          <w:position w:val="0"/>
          <w:sz w:val="22"/>
          <w:szCs w:val="22"/>
        </w:rPr>
        <w:t>、未分配利润</w:t>
      </w:r>
    </w:p>
    <w:p>
      <w:pPr>
        <w:widowControl w:val="0"/>
        <w:spacing w:after="279" w:line="1" w:lineRule="exact"/>
      </w:pPr>
    </w:p>
    <w:p>
      <w:pPr>
        <w:widowControl w:val="0"/>
        <w:spacing w:line="1" w:lineRule="exact"/>
      </w:pPr>
    </w:p>
    <w:tbl>
      <w:tblPr>
        <w:tblOverlap w:val="never"/>
        <w:jc w:val="center"/>
        <w:tblLayout w:type="fixed"/>
      </w:tblPr>
      <w:tblGrid>
        <w:gridCol w:w="5011"/>
        <w:gridCol w:w="2122"/>
        <w:gridCol w:w="2078"/>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提取或分配比例</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-1,632,336,889.59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调整期初未分配利润合计数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-1,632,336,889.59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218,975,957.10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提取一般风险准备金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-1,413,360,932.49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130" w:right="0" w:firstLine="0"/>
        <w:jc w:val="left"/>
        <w:rPr>
          <w:sz w:val="22"/>
          <w:szCs w:val="22"/>
        </w:rPr>
      </w:pPr>
      <w:r>
        <w:rPr>
          <w:rFonts w:ascii="Times New Roman" w:eastAsia="Times New Roman" w:hAnsi="Times New Roman" w:cs="Times New Roman"/>
          <w:b/>
          <w:bCs/>
          <w:color w:val="000000"/>
          <w:spacing w:val="0"/>
          <w:w w:val="100"/>
          <w:position w:val="0"/>
          <w:sz w:val="22"/>
          <w:szCs w:val="22"/>
        </w:rPr>
        <w:t>41</w:t>
      </w:r>
      <w:r>
        <w:rPr>
          <w:b/>
          <w:bCs/>
          <w:color w:val="000000"/>
          <w:spacing w:val="0"/>
          <w:w w:val="100"/>
          <w:position w:val="0"/>
          <w:sz w:val="22"/>
          <w:szCs w:val="22"/>
        </w:rPr>
        <w:t>、营业收入和营业成本</w:t>
      </w:r>
    </w:p>
    <w:p>
      <w:pPr>
        <w:widowControl w:val="0"/>
        <w:spacing w:after="3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）营业收入及成本列示如下:</w:t>
      </w:r>
    </w:p>
    <w:tbl>
      <w:tblPr>
        <w:tblOverlap w:val="never"/>
        <w:jc w:val="center"/>
        <w:tblLayout w:type="fixed"/>
      </w:tblPr>
      <w:tblGrid>
        <w:gridCol w:w="1747"/>
        <w:gridCol w:w="1958"/>
        <w:gridCol w:w="1838"/>
        <w:gridCol w:w="1838"/>
        <w:gridCol w:w="1867"/>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项 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成本</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993,820,021.66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525,018,353.61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359,657,138.46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215,477,739.78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23,788,692.38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4,347,759.67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20,050,064.84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4,901,544.87</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1,017,608,714.04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529,366,113.28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379,707,203.30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b/>
                <w:bCs/>
                <w:color w:val="000000"/>
                <w:spacing w:val="0"/>
                <w:w w:val="100"/>
                <w:position w:val="0"/>
                <w:sz w:val="20"/>
                <w:szCs w:val="20"/>
              </w:rPr>
              <w:t>220,379,284.65</w:t>
            </w:r>
          </w:p>
        </w:tc>
      </w:tr>
    </w:tbl>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）主营业务收入及成本（分行业）列示如下:</w:t>
      </w:r>
    </w:p>
    <w:p>
      <w:pPr>
        <w:widowControl w:val="0"/>
        <w:spacing w:after="199" w:line="1" w:lineRule="exact"/>
      </w:pPr>
    </w:p>
    <w:p>
      <w:pPr>
        <w:pStyle w:val="Style13"/>
        <w:keepNext w:val="0"/>
        <w:keepLines w:val="0"/>
        <w:widowControl w:val="0"/>
        <w:shd w:val="clear" w:color="auto" w:fill="auto"/>
        <w:tabs>
          <w:tab w:pos="3426" w:val="left"/>
          <w:tab w:pos="7098" w:val="left"/>
        </w:tabs>
        <w:bidi w:val="0"/>
        <w:spacing w:before="0" w:after="280" w:line="240" w:lineRule="auto"/>
        <w:ind w:left="0" w:right="0" w:firstLine="680"/>
        <w:jc w:val="left"/>
        <w:rPr>
          <w:sz w:val="20"/>
          <w:szCs w:val="20"/>
        </w:rPr>
      </w:pPr>
      <w:r>
        <w:rPr>
          <w:b/>
          <w:bCs/>
          <w:color w:val="000000"/>
          <w:spacing w:val="0"/>
          <w:w w:val="100"/>
          <w:position w:val="0"/>
          <w:sz w:val="20"/>
          <w:szCs w:val="20"/>
        </w:rPr>
        <w:t>行业名称</w:t>
        <w:tab/>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r>
        <w:br w:type="page"/>
      </w:r>
    </w:p>
    <w:tbl>
      <w:tblPr>
        <w:tblOverlap w:val="never"/>
        <w:jc w:val="center"/>
        <w:tblLayout w:type="fixed"/>
      </w:tblPr>
      <w:tblGrid>
        <w:gridCol w:w="2030"/>
        <w:gridCol w:w="1843"/>
        <w:gridCol w:w="1786"/>
        <w:gridCol w:w="1834"/>
        <w:gridCol w:w="1862"/>
      </w:tblGrid>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成本</w:t>
            </w:r>
          </w:p>
        </w:tc>
      </w:tr>
      <w:tr>
        <w:trPr>
          <w:trHeight w:val="5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320" w:right="0" w:firstLine="0"/>
              <w:jc w:val="left"/>
              <w:rPr>
                <w:sz w:val="20"/>
                <w:szCs w:val="20"/>
              </w:rPr>
            </w:pPr>
            <w:r>
              <w:rPr>
                <w:color w:val="000000"/>
                <w:spacing w:val="0"/>
                <w:w w:val="100"/>
                <w:position w:val="0"/>
                <w:sz w:val="20"/>
                <w:szCs w:val="20"/>
              </w:rPr>
              <w:t>集成电路和关键 元器件等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621,598,844.56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257,616,564.92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226,078,278.75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108,880,182.08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372,221,177.10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267,401,788.69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133,578,859.71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106,597,557.70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993,820,021.66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525,018,353.61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359,657,138.46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215,477,739.78</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700"/>
        <w:jc w:val="left"/>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3</w:t>
      </w:r>
      <w:r>
        <w:rPr>
          <w:color w:val="000000"/>
          <w:spacing w:val="0"/>
          <w:w w:val="100"/>
          <w:position w:val="0"/>
        </w:rPr>
        <w:t>）主营业务收入及成本（分产品）列示如下:</w:t>
      </w:r>
    </w:p>
    <w:tbl>
      <w:tblPr>
        <w:tblOverlap w:val="never"/>
        <w:jc w:val="left"/>
        <w:tblLayout w:type="fixed"/>
      </w:tblPr>
      <w:tblGrid>
        <w:gridCol w:w="1891"/>
        <w:gridCol w:w="1843"/>
        <w:gridCol w:w="1781"/>
        <w:gridCol w:w="1834"/>
        <w:gridCol w:w="1862"/>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产品名称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成本</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芯片类产品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589,162,179.68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239,439,108.33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157,322,194.70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85,949,867.49</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负极材料销售</w:t>
            </w:r>
          </w:p>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及加工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372,221,177.10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267,401,788.69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133,578,859.71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106,597,557.70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技术服务业务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9,201,952.84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1,963,079.51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42,980,793.27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2,431,090.45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23,234,712.04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16,214,377.08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25,775,290.78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20,499,224.14</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993,820,021.66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525,018,353.61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359,657,138.46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215,477,739.78</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700"/>
        <w:jc w:val="left"/>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4</w:t>
      </w:r>
      <w:r>
        <w:rPr>
          <w:color w:val="000000"/>
          <w:spacing w:val="0"/>
          <w:w w:val="100"/>
          <w:position w:val="0"/>
        </w:rPr>
        <w:t>）主营业务收入及成本（分地区）列示如下:</w:t>
      </w:r>
    </w:p>
    <w:tbl>
      <w:tblPr>
        <w:tblOverlap w:val="never"/>
        <w:jc w:val="left"/>
        <w:tblLayout w:type="fixed"/>
      </w:tblPr>
      <w:tblGrid>
        <w:gridCol w:w="1853"/>
        <w:gridCol w:w="1834"/>
        <w:gridCol w:w="1829"/>
        <w:gridCol w:w="1834"/>
        <w:gridCol w:w="1862"/>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地区名称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成本</w:t>
            </w:r>
          </w:p>
        </w:tc>
      </w:tr>
      <w:tr>
        <w:trPr>
          <w:trHeight w:val="51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一、境内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875,864,110.52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478,361,578.78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336,978,784.61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210,797,225.40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6,602,088.49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5,953,494.84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1,064,840.69</w:t>
            </w:r>
          </w:p>
        </w:tc>
      </w:tr>
      <w:tr>
        <w:trPr>
          <w:trHeight w:val="5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136,622,350.00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89,238,093.79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107,952,253.98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80,882,454.43</w:t>
            </w:r>
          </w:p>
        </w:tc>
      </w:tr>
      <w:tr>
        <w:trPr>
          <w:trHeight w:val="51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华东地区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199,533,890.92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119,116,021.26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73,858,103.58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48,546,141.84</w:t>
            </w:r>
          </w:p>
        </w:tc>
      </w:tr>
      <w:tr>
        <w:trPr>
          <w:trHeight w:val="5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476,618,099.72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236,582,689.07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107,148,945.36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67,156,682.90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41,173,903.87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16,585,588.75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8,825,833.58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7,385,151.74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14,109,237.71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10,088,379.23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36,172,949.02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4,037,504.69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1,204,539.81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797,311.84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2,201,628.30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1,724,449.11</w:t>
            </w:r>
          </w:p>
        </w:tc>
      </w:tr>
      <w:tr>
        <w:trPr>
          <w:trHeight w:val="51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二、境外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117,955,911.14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46,656,774.83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22,678,353.85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4,680,514.38</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993,820,021.66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525,018,353.61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359,657,138.46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215,477,739.78</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700"/>
        <w:jc w:val="left"/>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年度营业收入按收入确认时间列示如下:</w:t>
      </w:r>
    </w:p>
    <w:tbl>
      <w:tblPr>
        <w:tblOverlap w:val="never"/>
        <w:jc w:val="center"/>
        <w:tblLayout w:type="fixed"/>
      </w:tblPr>
      <w:tblGrid>
        <w:gridCol w:w="1877"/>
        <w:gridCol w:w="1704"/>
        <w:gridCol w:w="1560"/>
        <w:gridCol w:w="1675"/>
        <w:gridCol w:w="1440"/>
        <w:gridCol w:w="1858"/>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产品销售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640"/>
              <w:jc w:val="left"/>
              <w:rPr>
                <w:sz w:val="20"/>
                <w:szCs w:val="20"/>
              </w:rPr>
            </w:pPr>
            <w:r>
              <w:rPr>
                <w:b/>
                <w:bCs/>
                <w:color w:val="000000"/>
                <w:spacing w:val="0"/>
                <w:w w:val="100"/>
                <w:position w:val="0"/>
                <w:sz w:val="20"/>
                <w:szCs w:val="20"/>
              </w:rPr>
              <w:t>租赁</w:t>
            </w:r>
          </w:p>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合计</w:t>
            </w:r>
          </w:p>
        </w:tc>
      </w:tr>
      <w:tr>
        <w:trPr>
          <w:trHeight w:val="60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93" w:lineRule="exact"/>
              <w:ind w:left="240" w:right="0" w:firstLine="0"/>
              <w:jc w:val="left"/>
              <w:rPr>
                <w:sz w:val="20"/>
                <w:szCs w:val="20"/>
              </w:rPr>
            </w:pPr>
            <w:r>
              <w:rPr>
                <w:color w:val="000000"/>
                <w:spacing w:val="0"/>
                <w:w w:val="100"/>
                <w:position w:val="0"/>
                <w:sz w:val="20"/>
                <w:szCs w:val="20"/>
              </w:rPr>
              <w:t>在某一时点确认 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848,049,759.61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153,995,015.99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1,002,044,775.60</w:t>
            </w:r>
          </w:p>
        </w:tc>
      </w:tr>
    </w:tbl>
    <w:p>
      <w:pPr>
        <w:widowControl w:val="0"/>
        <w:spacing w:line="1" w:lineRule="exact"/>
      </w:pPr>
      <w:r>
        <w:br w:type="page"/>
      </w:r>
    </w:p>
    <w:tbl>
      <w:tblPr>
        <w:tblOverlap w:val="never"/>
        <w:jc w:val="center"/>
        <w:tblLayout w:type="fixed"/>
      </w:tblPr>
      <w:tblGrid>
        <w:gridCol w:w="1877"/>
        <w:gridCol w:w="1704"/>
        <w:gridCol w:w="1560"/>
        <w:gridCol w:w="1675"/>
        <w:gridCol w:w="1440"/>
        <w:gridCol w:w="1858"/>
      </w:tblGrid>
      <w:tr>
        <w:trPr>
          <w:trHeight w:val="60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98" w:lineRule="exact"/>
              <w:ind w:left="240" w:right="0" w:firstLine="0"/>
              <w:jc w:val="left"/>
              <w:rPr>
                <w:sz w:val="20"/>
                <w:szCs w:val="20"/>
              </w:rPr>
            </w:pPr>
            <w:r>
              <w:rPr>
                <w:color w:val="000000"/>
                <w:spacing w:val="0"/>
                <w:w w:val="100"/>
                <w:position w:val="0"/>
                <w:sz w:val="20"/>
                <w:szCs w:val="20"/>
              </w:rPr>
              <w:t>在某一时段确认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11,743,454.27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3,820,484.17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15,563,938.44</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848,049,759.61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11,743,454.27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153,995,015.99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3,820,484.17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1,017,608,714.04</w:t>
            </w:r>
          </w:p>
        </w:tc>
      </w:tr>
    </w:tbl>
    <w:p>
      <w:pPr>
        <w:widowControl w:val="0"/>
        <w:spacing w:after="79" w:line="1" w:lineRule="exact"/>
      </w:pPr>
    </w:p>
    <w:p>
      <w:pPr>
        <w:pStyle w:val="Style13"/>
        <w:keepNext w:val="0"/>
        <w:keepLines w:val="0"/>
        <w:widowControl w:val="0"/>
        <w:shd w:val="clear" w:color="auto" w:fill="auto"/>
        <w:bidi w:val="0"/>
        <w:spacing w:before="0" w:after="200" w:line="240" w:lineRule="auto"/>
        <w:ind w:left="0" w:right="0" w:firstLine="700"/>
        <w:jc w:val="left"/>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6</w:t>
      </w:r>
      <w:r>
        <w:rPr>
          <w:color w:val="000000"/>
          <w:spacing w:val="0"/>
          <w:w w:val="100"/>
          <w:position w:val="0"/>
        </w:rPr>
        <w:t>）履约义务相关的信息</w:t>
      </w:r>
    </w:p>
    <w:p>
      <w:pPr>
        <w:pStyle w:val="Style13"/>
        <w:keepNext w:val="0"/>
        <w:keepLines w:val="0"/>
        <w:widowControl w:val="0"/>
        <w:shd w:val="clear" w:color="auto" w:fill="auto"/>
        <w:bidi w:val="0"/>
        <w:spacing w:before="0" w:after="200" w:line="240" w:lineRule="auto"/>
        <w:ind w:left="0" w:right="0" w:firstLine="700"/>
        <w:jc w:val="left"/>
      </w:pPr>
      <w:r>
        <w:rPr>
          <w:color w:val="000000"/>
          <w:spacing w:val="0"/>
          <w:w w:val="100"/>
          <w:position w:val="0"/>
        </w:rPr>
        <w:t>本公司收入确认政策详见附注三、</w:t>
      </w:r>
      <w:r>
        <w:rPr>
          <w:rFonts w:ascii="Times New Roman" w:eastAsia="Times New Roman" w:hAnsi="Times New Roman" w:cs="Times New Roman"/>
          <w:color w:val="000000"/>
          <w:spacing w:val="0"/>
          <w:w w:val="100"/>
          <w:position w:val="0"/>
        </w:rPr>
        <w:t>24</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公司芯片类产品、负极材料形成的产品收入均属于销售商品收入，对于不包含安装的销售商</w:t>
      </w:r>
    </w:p>
    <w:p>
      <w:pPr>
        <w:pStyle w:val="Style13"/>
        <w:keepNext w:val="0"/>
        <w:keepLines w:val="0"/>
        <w:widowControl w:val="0"/>
        <w:shd w:val="clear" w:color="auto" w:fill="auto"/>
        <w:bidi w:val="0"/>
        <w:spacing w:before="0" w:after="0" w:line="504" w:lineRule="exact"/>
        <w:ind w:left="240" w:right="0" w:firstLine="0"/>
        <w:jc w:val="left"/>
      </w:pPr>
      <w:r>
        <w:rPr>
          <w:color w:val="000000"/>
          <w:spacing w:val="0"/>
          <w:w w:val="100"/>
          <w:position w:val="0"/>
        </w:rPr>
        <w:t>品收入，本公司收入确认时点，以公司将商品控制权转移给购买方（内销收入即客户签收时点， 外销收入即货物报关离岸时点）确认商品销售收入实现。</w:t>
      </w:r>
    </w:p>
    <w:p>
      <w:pPr>
        <w:pStyle w:val="Style13"/>
        <w:keepNext w:val="0"/>
        <w:keepLines w:val="0"/>
        <w:widowControl w:val="0"/>
        <w:shd w:val="clear" w:color="auto" w:fill="auto"/>
        <w:bidi w:val="0"/>
        <w:spacing w:before="0" w:after="200" w:line="461" w:lineRule="exact"/>
        <w:ind w:left="240" w:right="0" w:firstLine="460"/>
        <w:jc w:val="both"/>
      </w:pPr>
      <w:r>
        <w:rPr>
          <w:color w:val="000000"/>
          <w:spacing w:val="0"/>
          <w:w w:val="100"/>
          <w:position w:val="0"/>
        </w:rPr>
        <w:t>对于包含安装的销售商品收入，销售商品部分和提供劳务部分不能够区分，或虽能区分但不 能够单独计量的，将销售商品部分和提供劳务部分全部作为销售商品处理。将购买方验收时点作</w:t>
      </w:r>
    </w:p>
    <w:tbl>
      <w:tblPr>
        <w:tblOverlap w:val="never"/>
        <w:jc w:val="center"/>
        <w:tblLayout w:type="fixed"/>
      </w:tblPr>
      <w:tblGrid>
        <w:gridCol w:w="5942"/>
        <w:gridCol w:w="3998"/>
      </w:tblGrid>
      <w:tr>
        <w:trPr>
          <w:trHeight w:val="840" w:hRule="exact"/>
        </w:trPr>
        <w:tc>
          <w:tcPr>
            <w:gridSpan w:val="2"/>
            <w:tcBorders/>
            <w:shd w:val="clear" w:color="auto" w:fill="FFFFFF"/>
            <w:vAlign w:val="top"/>
          </w:tcPr>
          <w:p>
            <w:pPr>
              <w:pStyle w:val="Style2"/>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为控制权转移时点，确认收入。</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）分摊至剩余履约义务交易价格相关信息</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8" w:lineRule="exact"/>
              <w:ind w:left="320" w:right="0" w:firstLine="0"/>
              <w:jc w:val="left"/>
              <w:rPr>
                <w:sz w:val="20"/>
                <w:szCs w:val="20"/>
              </w:rPr>
            </w:pPr>
            <w:r>
              <w:rPr>
                <w:color w:val="000000"/>
                <w:spacing w:val="0"/>
                <w:w w:val="100"/>
                <w:position w:val="0"/>
                <w:sz w:val="20"/>
                <w:szCs w:val="20"/>
              </w:rPr>
              <w:t>期末已签订合同、但尚未履行或尚未履行完毕的履约义务 所对应的收入金额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1,037,939,867.70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其中：预计将于</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年度确认收入的金额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919,712,133.57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预计将于</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sz w:val="20"/>
                <w:szCs w:val="20"/>
              </w:rPr>
              <w:t>年度确认收入的金额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15,577,215.89</w:t>
            </w:r>
          </w:p>
        </w:tc>
      </w:tr>
      <w:tr>
        <w:trPr>
          <w:trHeight w:val="59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83" w:lineRule="exact"/>
              <w:ind w:left="320" w:right="0" w:firstLine="0"/>
              <w:jc w:val="left"/>
              <w:rPr>
                <w:sz w:val="20"/>
                <w:szCs w:val="20"/>
              </w:rPr>
            </w:pPr>
            <w:r>
              <w:rPr>
                <w:color w:val="000000"/>
                <w:spacing w:val="0"/>
                <w:w w:val="100"/>
                <w:position w:val="0"/>
                <w:sz w:val="20"/>
                <w:szCs w:val="20"/>
              </w:rPr>
              <w:t>预计将于</w:t>
            </w:r>
            <w:r>
              <w:rPr>
                <w:rFonts w:ascii="Times New Roman" w:eastAsia="Times New Roman" w:hAnsi="Times New Roman" w:cs="Times New Roman"/>
                <w:color w:val="000000"/>
                <w:spacing w:val="0"/>
                <w:w w:val="100"/>
                <w:position w:val="0"/>
                <w:sz w:val="22"/>
                <w:szCs w:val="22"/>
              </w:rPr>
              <w:t>2024</w:t>
            </w:r>
            <w:r>
              <w:rPr>
                <w:color w:val="000000"/>
                <w:spacing w:val="0"/>
                <w:w w:val="100"/>
                <w:position w:val="0"/>
                <w:sz w:val="20"/>
                <w:szCs w:val="20"/>
              </w:rPr>
              <w:t>年及以后年度确认收 入的金额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102,650,518.24</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）本年度作为出租人相关损益情况列示如下:</w:t>
      </w:r>
    </w:p>
    <w:tbl>
      <w:tblPr>
        <w:tblOverlap w:val="never"/>
        <w:jc w:val="center"/>
        <w:tblLayout w:type="fixed"/>
      </w:tblPr>
      <w:tblGrid>
        <w:gridCol w:w="5544"/>
        <w:gridCol w:w="3782"/>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经营租赁：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11,743,454.27</w:t>
            </w:r>
          </w:p>
        </w:tc>
      </w:tr>
    </w:tbl>
    <w:p>
      <w:pPr>
        <w:widowControl w:val="0"/>
        <w:spacing w:after="2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30" w:right="0" w:firstLine="0"/>
        <w:jc w:val="left"/>
        <w:rPr>
          <w:sz w:val="22"/>
          <w:szCs w:val="22"/>
        </w:rPr>
      </w:pPr>
      <w:r>
        <w:rPr>
          <w:rFonts w:ascii="Times New Roman" w:eastAsia="Times New Roman" w:hAnsi="Times New Roman" w:cs="Times New Roman"/>
          <w:b/>
          <w:bCs/>
          <w:color w:val="000000"/>
          <w:spacing w:val="0"/>
          <w:w w:val="100"/>
          <w:position w:val="0"/>
          <w:sz w:val="22"/>
          <w:szCs w:val="22"/>
        </w:rPr>
        <w:t>42</w:t>
      </w:r>
      <w:r>
        <w:rPr>
          <w:b/>
          <w:bCs/>
          <w:color w:val="000000"/>
          <w:spacing w:val="0"/>
          <w:w w:val="100"/>
          <w:position w:val="0"/>
          <w:sz w:val="22"/>
          <w:szCs w:val="22"/>
        </w:rPr>
        <w:t>、税金及附加</w:t>
      </w:r>
    </w:p>
    <w:tbl>
      <w:tblPr>
        <w:tblOverlap w:val="never"/>
        <w:jc w:val="center"/>
        <w:tblLayout w:type="fixed"/>
      </w:tblPr>
      <w:tblGrid>
        <w:gridCol w:w="3139"/>
        <w:gridCol w:w="3096"/>
        <w:gridCol w:w="3125"/>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tabs>
                <w:tab w:pos="1815" w:val="left"/>
              </w:tabs>
              <w:bidi w:val="0"/>
              <w:spacing w:before="0" w:after="0" w:line="240" w:lineRule="auto"/>
              <w:ind w:left="1340" w:right="0" w:firstLine="0"/>
              <w:jc w:val="left"/>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2,295,566.10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185,202.18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1,640,689.89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133,798.55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1,032,631.06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84,350.59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242,271.23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158,623.99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965,878.34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285,937.39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53,642.78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56,253.30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b/>
                <w:bCs/>
                <w:color w:val="000000"/>
                <w:spacing w:val="0"/>
                <w:w w:val="100"/>
                <w:position w:val="0"/>
                <w:sz w:val="20"/>
                <w:szCs w:val="20"/>
              </w:rPr>
              <w:t>6,230,679.40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b/>
                <w:bCs/>
                <w:color w:val="000000"/>
                <w:spacing w:val="0"/>
                <w:w w:val="100"/>
                <w:position w:val="0"/>
                <w:sz w:val="20"/>
                <w:szCs w:val="20"/>
              </w:rPr>
              <w:t>904,166.00</w:t>
            </w:r>
          </w:p>
        </w:tc>
      </w:tr>
    </w:tbl>
    <w:p>
      <w:pPr>
        <w:spacing w:lineRule="exact" w:line="1"/>
        <w:rPr>
          <w:sz w:val="2"/>
          <w:szCs w:val="2"/>
        </w:rPr>
      </w:pPr>
      <w:r>
        <w:br w:type="page"/>
      </w:r>
    </w:p>
    <w:p>
      <w:pPr>
        <w:pStyle w:val="Style13"/>
        <w:keepNext w:val="0"/>
        <w:keepLines w:val="0"/>
        <w:widowControl w:val="0"/>
        <w:shd w:val="clear" w:color="auto" w:fill="auto"/>
        <w:bidi w:val="0"/>
        <w:spacing w:before="0" w:after="320" w:line="240" w:lineRule="auto"/>
        <w:ind w:left="0" w:right="0" w:firstLine="240"/>
        <w:jc w:val="left"/>
      </w:pPr>
      <w:r>
        <w:rPr>
          <w:rFonts w:ascii="Times New Roman" w:eastAsia="Times New Roman" w:hAnsi="Times New Roman" w:cs="Times New Roman"/>
          <w:b/>
          <w:bCs/>
          <w:color w:val="000000"/>
          <w:spacing w:val="0"/>
          <w:w w:val="100"/>
          <w:position w:val="0"/>
        </w:rPr>
        <w:t>43</w:t>
      </w:r>
      <w:r>
        <w:rPr>
          <w:b/>
          <w:bCs/>
          <w:color w:val="000000"/>
          <w:spacing w:val="0"/>
          <w:w w:val="100"/>
          <w:position w:val="0"/>
        </w:rPr>
        <w:t>、销售费用</w:t>
      </w:r>
    </w:p>
    <w:tbl>
      <w:tblPr>
        <w:tblOverlap w:val="never"/>
        <w:jc w:val="center"/>
        <w:tblLayout w:type="fixed"/>
      </w:tblPr>
      <w:tblGrid>
        <w:gridCol w:w="3240"/>
        <w:gridCol w:w="2899"/>
        <w:gridCol w:w="3077"/>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18,728,820.24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14,115,539.37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2,731,840.84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1,257,869.44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3,250,650.75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2,564,228.91</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1,034,028.21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市场咨询费及知识产权费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11,701,411.09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7,372,063.19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2,311,556.88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2,119,772.47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差旅费及其他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3,095,095.86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2,889,118.23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10,797,300.00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b/>
                <w:bCs/>
                <w:color w:val="000000"/>
                <w:spacing w:val="0"/>
                <w:w w:val="100"/>
                <w:position w:val="0"/>
                <w:sz w:val="20"/>
                <w:szCs w:val="20"/>
              </w:rPr>
              <w:t>52,630,933.66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b/>
                <w:bCs/>
                <w:color w:val="000000"/>
                <w:spacing w:val="0"/>
                <w:w w:val="100"/>
                <w:position w:val="0"/>
                <w:sz w:val="20"/>
                <w:szCs w:val="20"/>
              </w:rPr>
              <w:t>31,352,619.82</w:t>
            </w:r>
          </w:p>
        </w:tc>
      </w:tr>
      <w:tr>
        <w:trPr>
          <w:trHeight w:val="936"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44</w:t>
            </w:r>
            <w:r>
              <w:rPr>
                <w:b/>
                <w:bCs/>
                <w:color w:val="000000"/>
                <w:spacing w:val="0"/>
                <w:w w:val="100"/>
                <w:position w:val="0"/>
              </w:rPr>
              <w:t>、管理费用</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tabs>
                <w:tab w:pos="1875" w:val="left"/>
              </w:tabs>
              <w:bidi w:val="0"/>
              <w:spacing w:before="0" w:after="0" w:line="240" w:lineRule="auto"/>
              <w:ind w:left="1400" w:right="0" w:firstLine="0"/>
              <w:jc w:val="left"/>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41,285,066.02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28,852,896.74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办公场地费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2,275,640.26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4,569,379.42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9,494,774.33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8,874,049.29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9,539,010.68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4,087,565.06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28,321,751.89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12,811,233.79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办公费用及其他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10,383,212.37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7,466,916.49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30,782,100.00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132,081,555.55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b/>
                <w:bCs/>
                <w:color w:val="000000"/>
                <w:spacing w:val="0"/>
                <w:w w:val="100"/>
                <w:position w:val="0"/>
                <w:sz w:val="20"/>
                <w:szCs w:val="20"/>
              </w:rPr>
              <w:t>66,662,040.79</w:t>
            </w:r>
          </w:p>
        </w:tc>
      </w:tr>
    </w:tbl>
    <w:p>
      <w:pPr>
        <w:widowControl w:val="0"/>
        <w:spacing w:after="319" w:line="1" w:lineRule="exact"/>
      </w:pPr>
    </w:p>
    <w:p>
      <w:pPr>
        <w:pStyle w:val="Style13"/>
        <w:keepNext w:val="0"/>
        <w:keepLines w:val="0"/>
        <w:widowControl w:val="0"/>
        <w:shd w:val="clear" w:color="auto" w:fill="auto"/>
        <w:bidi w:val="0"/>
        <w:spacing w:before="0" w:after="320" w:line="240" w:lineRule="auto"/>
        <w:ind w:left="0" w:right="0" w:firstLine="240"/>
        <w:jc w:val="left"/>
      </w:pPr>
      <w:r>
        <w:rPr>
          <w:rFonts w:ascii="Times New Roman" w:eastAsia="Times New Roman" w:hAnsi="Times New Roman" w:cs="Times New Roman"/>
          <w:b/>
          <w:bCs/>
          <w:color w:val="000000"/>
          <w:spacing w:val="0"/>
          <w:w w:val="100"/>
          <w:position w:val="0"/>
        </w:rPr>
        <w:t>45</w:t>
      </w:r>
      <w:r>
        <w:rPr>
          <w:b/>
          <w:bCs/>
          <w:color w:val="000000"/>
          <w:spacing w:val="0"/>
          <w:w w:val="100"/>
          <w:position w:val="0"/>
        </w:rPr>
        <w:t>、研发费用</w:t>
      </w:r>
    </w:p>
    <w:tbl>
      <w:tblPr>
        <w:tblOverlap w:val="never"/>
        <w:jc w:val="center"/>
        <w:tblLayout w:type="fixed"/>
      </w:tblPr>
      <w:tblGrid>
        <w:gridCol w:w="3240"/>
        <w:gridCol w:w="2899"/>
        <w:gridCol w:w="3077"/>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tabs>
                <w:tab w:pos="1875" w:val="left"/>
              </w:tabs>
              <w:bidi w:val="0"/>
              <w:spacing w:before="0" w:after="0" w:line="240" w:lineRule="auto"/>
              <w:ind w:left="1400" w:right="0" w:firstLine="0"/>
              <w:jc w:val="left"/>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98,013,085.63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68,007,164.82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办公场地费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3,989,772.06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5,165,919.32</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52,335,056.53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45,043,611.84</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研发领料及验证费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11,365,655.27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1,885,593.88</w:t>
            </w:r>
          </w:p>
        </w:tc>
      </w:tr>
    </w:tbl>
    <w:p>
      <w:pPr>
        <w:sectPr>
          <w:footnotePr>
            <w:pos w:val="pageBottom"/>
            <w:numFmt w:val="decimal"/>
            <w:numRestart w:val="continuous"/>
          </w:footnotePr>
          <w:pgSz w:w="11900" w:h="16840"/>
          <w:pgMar w:top="1340" w:right="928" w:bottom="1474" w:left="781" w:header="0" w:footer="3" w:gutter="0"/>
          <w:cols w:space="720"/>
          <w:noEndnote/>
          <w:rtlGutter w:val="0"/>
          <w:docGrid w:linePitch="360"/>
        </w:sectPr>
      </w:pPr>
    </w:p>
    <w:tbl>
      <w:tblPr>
        <w:tblOverlap w:val="never"/>
        <w:jc w:val="center"/>
        <w:tblLayout w:type="fixed"/>
      </w:tblPr>
      <w:tblGrid>
        <w:gridCol w:w="3240"/>
        <w:gridCol w:w="2899"/>
        <w:gridCol w:w="3077"/>
      </w:tblGrid>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专利申请维护费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1,596,595.00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1,414,420.13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委托外部研究开发费用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11,294,692.68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4,012,270.64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4,644,173.67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3,017,325.45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2,705,817.03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3,958,563.82</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41,308,590.00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227,253,437.87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132,504,869.90</w:t>
            </w:r>
          </w:p>
        </w:tc>
      </w:tr>
      <w:tr>
        <w:trPr>
          <w:trHeight w:val="931"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46</w:t>
            </w:r>
            <w:r>
              <w:rPr>
                <w:b/>
                <w:bCs/>
                <w:color w:val="000000"/>
                <w:spacing w:val="0"/>
                <w:w w:val="100"/>
                <w:position w:val="0"/>
              </w:rPr>
              <w:t>、财务费用</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40,350,378.21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41,763,303.96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3,833,280.84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2,013,984.26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1,711,118.91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-854,618.51</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181,885.77</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b/>
                <w:bCs/>
                <w:color w:val="000000"/>
                <w:spacing w:val="0"/>
                <w:w w:val="100"/>
                <w:position w:val="0"/>
                <w:sz w:val="20"/>
                <w:szCs w:val="20"/>
              </w:rPr>
              <w:t>38,366,467.08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b/>
                <w:bCs/>
                <w:color w:val="000000"/>
                <w:spacing w:val="0"/>
                <w:w w:val="100"/>
                <w:position w:val="0"/>
                <w:sz w:val="20"/>
                <w:szCs w:val="20"/>
              </w:rPr>
              <w:t>39,076,586.96</w:t>
            </w:r>
          </w:p>
        </w:tc>
      </w:tr>
    </w:tbl>
    <w:p>
      <w:pPr>
        <w:pStyle w:val="Style30"/>
        <w:keepNext w:val="0"/>
        <w:keepLines w:val="0"/>
        <w:widowControl w:val="0"/>
        <w:shd w:val="clear" w:color="auto" w:fill="auto"/>
        <w:bidi w:val="0"/>
        <w:spacing w:before="0" w:after="0" w:line="240" w:lineRule="auto"/>
        <w:ind w:left="518" w:right="0" w:firstLine="0"/>
        <w:jc w:val="left"/>
        <w:rPr>
          <w:sz w:val="22"/>
          <w:szCs w:val="22"/>
        </w:rPr>
      </w:pPr>
      <w:r>
        <w:rPr>
          <w:color w:val="000000"/>
          <w:spacing w:val="0"/>
          <w:w w:val="100"/>
          <w:position w:val="0"/>
          <w:sz w:val="22"/>
          <w:szCs w:val="22"/>
        </w:rPr>
        <w:t>财务费用中本年度确认租赁负债利息费用为</w:t>
      </w:r>
      <w:r>
        <w:rPr>
          <w:rFonts w:ascii="Times New Roman" w:eastAsia="Times New Roman" w:hAnsi="Times New Roman" w:cs="Times New Roman"/>
          <w:color w:val="000000"/>
          <w:spacing w:val="0"/>
          <w:w w:val="100"/>
          <w:position w:val="0"/>
          <w:sz w:val="22"/>
          <w:szCs w:val="22"/>
        </w:rPr>
        <w:t>3,696,638.48</w:t>
      </w:r>
      <w:r>
        <w:rPr>
          <w:color w:val="000000"/>
          <w:spacing w:val="0"/>
          <w:w w:val="100"/>
          <w:position w:val="0"/>
          <w:sz w:val="22"/>
          <w:szCs w:val="22"/>
        </w:rPr>
        <w:t>元。</w:t>
      </w:r>
    </w:p>
    <w:p>
      <w:pPr>
        <w:widowControl w:val="0"/>
        <w:spacing w:after="379" w:line="1" w:lineRule="exact"/>
      </w:pPr>
    </w:p>
    <w:p>
      <w:pPr>
        <w:pStyle w:val="Style30"/>
        <w:keepNext w:val="0"/>
        <w:keepLines w:val="0"/>
        <w:widowControl w:val="0"/>
        <w:shd w:val="clear" w:color="auto" w:fill="auto"/>
        <w:bidi w:val="0"/>
        <w:spacing w:before="0" w:after="0" w:line="240" w:lineRule="auto"/>
        <w:ind w:left="53" w:right="0" w:firstLine="0"/>
        <w:jc w:val="left"/>
        <w:rPr>
          <w:sz w:val="22"/>
          <w:szCs w:val="22"/>
        </w:rPr>
      </w:pPr>
      <w:r>
        <w:rPr>
          <w:rFonts w:ascii="Times New Roman" w:eastAsia="Times New Roman" w:hAnsi="Times New Roman" w:cs="Times New Roman"/>
          <w:b/>
          <w:bCs/>
          <w:color w:val="000000"/>
          <w:spacing w:val="0"/>
          <w:w w:val="100"/>
          <w:position w:val="0"/>
          <w:sz w:val="22"/>
          <w:szCs w:val="22"/>
        </w:rPr>
        <w:t>47</w:t>
      </w:r>
      <w:r>
        <w:rPr>
          <w:b/>
          <w:bCs/>
          <w:color w:val="000000"/>
          <w:spacing w:val="0"/>
          <w:w w:val="100"/>
          <w:position w:val="0"/>
          <w:sz w:val="22"/>
          <w:szCs w:val="22"/>
        </w:rPr>
        <w:t>、其他收益</w:t>
      </w:r>
    </w:p>
    <w:tbl>
      <w:tblPr>
        <w:tblOverlap w:val="never"/>
        <w:jc w:val="center"/>
        <w:tblLayout w:type="fixed"/>
      </w:tblPr>
      <w:tblGrid>
        <w:gridCol w:w="3312"/>
        <w:gridCol w:w="2832"/>
        <w:gridCol w:w="3154"/>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36,635,924.89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27,372,665.69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1,507,360.78</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36,791,236.93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28,880,026.47</w:t>
            </w:r>
          </w:p>
        </w:tc>
      </w:tr>
    </w:tbl>
    <w:p>
      <w:pPr>
        <w:widowControl w:val="0"/>
        <w:spacing w:after="99" w:line="1" w:lineRule="exact"/>
      </w:pPr>
    </w:p>
    <w:p>
      <w:pPr>
        <w:pStyle w:val="Style13"/>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计入当期其他收益的政府补助：</w:t>
      </w:r>
    </w:p>
    <w:p>
      <w:pPr>
        <w:pStyle w:val="Style13"/>
        <w:keepNext w:val="0"/>
        <w:keepLines w:val="0"/>
        <w:widowControl w:val="0"/>
        <w:shd w:val="clear" w:color="auto" w:fill="auto"/>
        <w:bidi w:val="0"/>
        <w:spacing w:before="0" w:after="440" w:line="240" w:lineRule="auto"/>
        <w:ind w:left="0" w:right="0" w:firstLine="700"/>
        <w:jc w:val="left"/>
      </w:pPr>
      <w:r>
        <w:rPr>
          <w:color w:val="000000"/>
          <w:spacing w:val="0"/>
          <w:w w:val="100"/>
          <w:position w:val="0"/>
        </w:rPr>
        <w:t>明细见附注五、</w:t>
      </w:r>
      <w:r>
        <w:rPr>
          <w:rFonts w:ascii="Times New Roman" w:eastAsia="Times New Roman" w:hAnsi="Times New Roman" w:cs="Times New Roman"/>
          <w:color w:val="000000"/>
          <w:spacing w:val="0"/>
          <w:w w:val="100"/>
          <w:position w:val="0"/>
        </w:rPr>
        <w:t>60</w:t>
      </w:r>
      <w:r>
        <w:rPr>
          <w:color w:val="000000"/>
          <w:spacing w:val="0"/>
          <w:w w:val="100"/>
          <w:position w:val="0"/>
        </w:rPr>
        <w:t>政府补助（</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）计入当期损益的政府补助情况。</w:t>
      </w:r>
    </w:p>
    <w:p>
      <w:pPr>
        <w:pStyle w:val="Style30"/>
        <w:keepNext w:val="0"/>
        <w:keepLines w:val="0"/>
        <w:widowControl w:val="0"/>
        <w:shd w:val="clear" w:color="auto" w:fill="auto"/>
        <w:bidi w:val="0"/>
        <w:spacing w:before="0" w:after="0" w:line="240" w:lineRule="auto"/>
        <w:ind w:left="53" w:right="0" w:firstLine="0"/>
        <w:jc w:val="left"/>
        <w:rPr>
          <w:sz w:val="22"/>
          <w:szCs w:val="22"/>
        </w:rPr>
      </w:pPr>
      <w:r>
        <w:rPr>
          <w:rFonts w:ascii="Times New Roman" w:eastAsia="Times New Roman" w:hAnsi="Times New Roman" w:cs="Times New Roman"/>
          <w:b/>
          <w:bCs/>
          <w:color w:val="000000"/>
          <w:spacing w:val="0"/>
          <w:w w:val="100"/>
          <w:position w:val="0"/>
          <w:sz w:val="22"/>
          <w:szCs w:val="22"/>
        </w:rPr>
        <w:t>48</w:t>
      </w:r>
      <w:r>
        <w:rPr>
          <w:b/>
          <w:bCs/>
          <w:color w:val="000000"/>
          <w:spacing w:val="0"/>
          <w:w w:val="100"/>
          <w:position w:val="0"/>
          <w:sz w:val="22"/>
          <w:szCs w:val="22"/>
        </w:rPr>
        <w:t>、投资收益</w:t>
      </w:r>
    </w:p>
    <w:tbl>
      <w:tblPr>
        <w:tblOverlap w:val="never"/>
        <w:jc w:val="center"/>
        <w:tblLayout w:type="fixed"/>
      </w:tblPr>
      <w:tblGrid>
        <w:gridCol w:w="4728"/>
        <w:gridCol w:w="2294"/>
        <w:gridCol w:w="2323"/>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-9,994,213.49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处置划分为持有待售的长期股权投资投资收益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69,074,708.63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1,342,025.68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325,065.74</w:t>
            </w:r>
          </w:p>
        </w:tc>
      </w:tr>
      <w:tr>
        <w:trPr>
          <w:trHeight w:val="653"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w:t>
            </w:r>
          </w:p>
        </w:tc>
      </w:tr>
    </w:tbl>
    <w:p>
      <w:pPr>
        <w:sectPr>
          <w:footnotePr>
            <w:pos w:val="pageBottom"/>
            <w:numFmt w:val="decimal"/>
            <w:numRestart w:val="continuous"/>
          </w:footnotePr>
          <w:pgSz w:w="11900" w:h="16840"/>
          <w:pgMar w:top="1436" w:right="903" w:bottom="1215" w:left="884" w:header="0" w:footer="3" w:gutter="0"/>
          <w:cols w:space="720"/>
          <w:noEndnote/>
          <w:rtlGutter w:val="0"/>
          <w:docGrid w:linePitch="360"/>
        </w:sectPr>
      </w:pPr>
    </w:p>
    <w:tbl>
      <w:tblPr>
        <w:tblOverlap w:val="never"/>
        <w:jc w:val="center"/>
        <w:tblLayout w:type="fixed"/>
      </w:tblPr>
      <w:tblGrid>
        <w:gridCol w:w="4728"/>
        <w:gridCol w:w="2294"/>
        <w:gridCol w:w="2323"/>
      </w:tblGrid>
      <w:tr>
        <w:trPr>
          <w:trHeight w:val="60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8" w:lineRule="exact"/>
              <w:ind w:left="240" w:right="0" w:firstLine="0"/>
              <w:jc w:val="left"/>
              <w:rPr>
                <w:sz w:val="20"/>
                <w:szCs w:val="20"/>
              </w:rPr>
            </w:pPr>
            <w:r>
              <w:rPr>
                <w:color w:val="000000"/>
                <w:spacing w:val="0"/>
                <w:w w:val="100"/>
                <w:position w:val="0"/>
                <w:sz w:val="20"/>
                <w:szCs w:val="20"/>
              </w:rPr>
              <w:t>以公允价值计量且其变动计入当期损益的金融 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167,468.80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70,584,203.11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-9,669,147.75</w:t>
            </w:r>
          </w:p>
        </w:tc>
      </w:tr>
    </w:tbl>
    <w:p>
      <w:pPr>
        <w:pStyle w:val="Style30"/>
        <w:keepNext w:val="0"/>
        <w:keepLines w:val="0"/>
        <w:widowControl w:val="0"/>
        <w:shd w:val="clear" w:color="auto" w:fill="auto"/>
        <w:bidi w:val="0"/>
        <w:spacing w:before="0" w:after="0" w:line="240" w:lineRule="auto"/>
        <w:ind w:left="53" w:right="0" w:firstLine="0"/>
        <w:jc w:val="left"/>
        <w:rPr>
          <w:sz w:val="22"/>
          <w:szCs w:val="22"/>
        </w:rPr>
      </w:pPr>
      <w:r>
        <w:rPr>
          <w:rFonts w:ascii="Times New Roman" w:eastAsia="Times New Roman" w:hAnsi="Times New Roman" w:cs="Times New Roman"/>
          <w:b/>
          <w:bCs/>
          <w:color w:val="000000"/>
          <w:spacing w:val="0"/>
          <w:w w:val="100"/>
          <w:position w:val="0"/>
          <w:sz w:val="22"/>
          <w:szCs w:val="22"/>
        </w:rPr>
        <w:t>49</w:t>
      </w:r>
      <w:r>
        <w:rPr>
          <w:b/>
          <w:bCs/>
          <w:color w:val="000000"/>
          <w:spacing w:val="0"/>
          <w:w w:val="100"/>
          <w:position w:val="0"/>
          <w:sz w:val="22"/>
          <w:szCs w:val="22"/>
        </w:rPr>
        <w:t>、公允价值变动损益</w:t>
      </w:r>
    </w:p>
    <w:p>
      <w:pPr>
        <w:widowControl w:val="0"/>
        <w:spacing w:after="279" w:line="1" w:lineRule="exact"/>
      </w:pPr>
    </w:p>
    <w:tbl>
      <w:tblPr>
        <w:tblOverlap w:val="never"/>
        <w:jc w:val="center"/>
        <w:tblLayout w:type="fixed"/>
      </w:tblPr>
      <w:tblGrid>
        <w:gridCol w:w="5563"/>
        <w:gridCol w:w="1886"/>
        <w:gridCol w:w="1766"/>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产生公允价值变动收益的来源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220" w:right="0" w:firstLine="0"/>
              <w:jc w:val="left"/>
              <w:rPr>
                <w:sz w:val="20"/>
                <w:szCs w:val="20"/>
              </w:rPr>
            </w:pPr>
            <w:r>
              <w:rPr>
                <w:color w:val="000000"/>
                <w:spacing w:val="0"/>
                <w:w w:val="100"/>
                <w:position w:val="0"/>
                <w:sz w:val="20"/>
                <w:szCs w:val="20"/>
              </w:rPr>
              <w:t>以公允价值计量且其变动计入当期损益的金融资产产生 的公允价值变动损益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83,551,416.25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21,082,447.88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-5,700,876.40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投资性房地产产生的公允价值变动损益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-6,070,349.00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-2,632,342.00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0"/>
                <w:szCs w:val="20"/>
              </w:rPr>
              <w:t>77,432,708.47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12,749,229.48</w:t>
            </w:r>
          </w:p>
        </w:tc>
      </w:tr>
    </w:tbl>
    <w:p>
      <w:pPr>
        <w:pStyle w:val="Style30"/>
        <w:keepNext w:val="0"/>
        <w:keepLines w:val="0"/>
        <w:widowControl w:val="0"/>
        <w:shd w:val="clear" w:color="auto" w:fill="auto"/>
        <w:bidi w:val="0"/>
        <w:spacing w:before="0" w:after="0" w:line="240" w:lineRule="auto"/>
        <w:ind w:left="24" w:right="0" w:firstLine="0"/>
        <w:jc w:val="left"/>
        <w:rPr>
          <w:sz w:val="22"/>
          <w:szCs w:val="22"/>
        </w:rPr>
      </w:pPr>
      <w:r>
        <w:rPr>
          <w:rFonts w:ascii="Times New Roman" w:eastAsia="Times New Roman" w:hAnsi="Times New Roman" w:cs="Times New Roman"/>
          <w:b/>
          <w:bCs/>
          <w:color w:val="000000"/>
          <w:spacing w:val="0"/>
          <w:w w:val="100"/>
          <w:position w:val="0"/>
          <w:sz w:val="22"/>
          <w:szCs w:val="22"/>
        </w:rPr>
        <w:t>50</w:t>
      </w:r>
      <w:r>
        <w:rPr>
          <w:b/>
          <w:bCs/>
          <w:color w:val="000000"/>
          <w:spacing w:val="0"/>
          <w:w w:val="100"/>
          <w:position w:val="0"/>
          <w:sz w:val="22"/>
          <w:szCs w:val="22"/>
        </w:rPr>
        <w:t>、信用减值损失</w:t>
      </w:r>
    </w:p>
    <w:p>
      <w:pPr>
        <w:widowControl w:val="0"/>
        <w:spacing w:after="279" w:line="1" w:lineRule="exact"/>
      </w:pPr>
    </w:p>
    <w:tbl>
      <w:tblPr>
        <w:tblOverlap w:val="never"/>
        <w:jc w:val="center"/>
        <w:tblLayout w:type="fixed"/>
      </w:tblPr>
      <w:tblGrid>
        <w:gridCol w:w="3595"/>
        <w:gridCol w:w="2832"/>
        <w:gridCol w:w="2678"/>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应收票据信用减值损失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142,771.55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-99,939.96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应收账款信用减值损失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6,287,662.83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29,278,685.14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其他应收款信用减值损失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3,381,726.86</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6,426,460.59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32,560,472.04</w:t>
            </w:r>
          </w:p>
        </w:tc>
      </w:tr>
    </w:tbl>
    <w:p>
      <w:pPr>
        <w:pStyle w:val="Style30"/>
        <w:keepNext w:val="0"/>
        <w:keepLines w:val="0"/>
        <w:widowControl w:val="0"/>
        <w:shd w:val="clear" w:color="auto" w:fill="auto"/>
        <w:bidi w:val="0"/>
        <w:spacing w:before="0" w:after="0" w:line="240" w:lineRule="auto"/>
        <w:ind w:left="24" w:right="0" w:firstLine="0"/>
        <w:jc w:val="left"/>
        <w:rPr>
          <w:sz w:val="22"/>
          <w:szCs w:val="22"/>
        </w:rPr>
      </w:pPr>
      <w:r>
        <w:rPr>
          <w:rFonts w:ascii="Times New Roman" w:eastAsia="Times New Roman" w:hAnsi="Times New Roman" w:cs="Times New Roman"/>
          <w:b/>
          <w:bCs/>
          <w:color w:val="000000"/>
          <w:spacing w:val="0"/>
          <w:w w:val="100"/>
          <w:position w:val="0"/>
          <w:sz w:val="22"/>
          <w:szCs w:val="22"/>
        </w:rPr>
        <w:t>51</w:t>
      </w:r>
      <w:r>
        <w:rPr>
          <w:b/>
          <w:bCs/>
          <w:color w:val="000000"/>
          <w:spacing w:val="0"/>
          <w:w w:val="100"/>
          <w:position w:val="0"/>
          <w:sz w:val="22"/>
          <w:szCs w:val="22"/>
        </w:rPr>
        <w:t>、资产减值损失</w:t>
      </w:r>
    </w:p>
    <w:p>
      <w:pPr>
        <w:widowControl w:val="0"/>
        <w:spacing w:after="279" w:line="1" w:lineRule="exact"/>
      </w:pPr>
    </w:p>
    <w:tbl>
      <w:tblPr>
        <w:tblOverlap w:val="never"/>
        <w:jc w:val="center"/>
        <w:tblLayout w:type="fixed"/>
      </w:tblPr>
      <w:tblGrid>
        <w:gridCol w:w="3595"/>
        <w:gridCol w:w="2832"/>
        <w:gridCol w:w="2846"/>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-12,450,967.47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-25,396,965.73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-991,501.42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-615,342.96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-652.30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-429,245.17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-7,722,065.65</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-13,443,121.19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-34,163,619.51</w:t>
            </w:r>
          </w:p>
        </w:tc>
      </w:tr>
    </w:tbl>
    <w:p>
      <w:pPr>
        <w:pStyle w:val="Style30"/>
        <w:keepNext w:val="0"/>
        <w:keepLines w:val="0"/>
        <w:widowControl w:val="0"/>
        <w:shd w:val="clear" w:color="auto" w:fill="auto"/>
        <w:bidi w:val="0"/>
        <w:spacing w:before="0" w:after="0" w:line="240" w:lineRule="auto"/>
        <w:ind w:left="24" w:right="0" w:firstLine="0"/>
        <w:jc w:val="left"/>
        <w:rPr>
          <w:sz w:val="22"/>
          <w:szCs w:val="22"/>
        </w:rPr>
      </w:pPr>
      <w:r>
        <w:rPr>
          <w:rFonts w:ascii="Times New Roman" w:eastAsia="Times New Roman" w:hAnsi="Times New Roman" w:cs="Times New Roman"/>
          <w:b/>
          <w:bCs/>
          <w:color w:val="000000"/>
          <w:spacing w:val="0"/>
          <w:w w:val="100"/>
          <w:position w:val="0"/>
          <w:sz w:val="22"/>
          <w:szCs w:val="22"/>
        </w:rPr>
        <w:t>52</w:t>
      </w:r>
      <w:r>
        <w:rPr>
          <w:b/>
          <w:bCs/>
          <w:color w:val="000000"/>
          <w:spacing w:val="0"/>
          <w:w w:val="100"/>
          <w:position w:val="0"/>
          <w:sz w:val="22"/>
          <w:szCs w:val="22"/>
        </w:rPr>
        <w:t>、资产处置收益</w:t>
      </w:r>
    </w:p>
    <w:p>
      <w:pPr>
        <w:widowControl w:val="0"/>
        <w:spacing w:after="279" w:line="1" w:lineRule="exact"/>
      </w:pPr>
    </w:p>
    <w:tbl>
      <w:tblPr>
        <w:tblOverlap w:val="never"/>
        <w:jc w:val="center"/>
        <w:tblLayout w:type="fixed"/>
      </w:tblPr>
      <w:tblGrid>
        <w:gridCol w:w="2602"/>
        <w:gridCol w:w="2294"/>
        <w:gridCol w:w="2294"/>
        <w:gridCol w:w="2318"/>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计入当期非经常性损 益的金额</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处置未划分为持有待售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36" w:right="903" w:bottom="1436" w:left="884" w:header="0" w:footer="3" w:gutter="0"/>
          <w:cols w:space="720"/>
          <w:noEndnote/>
          <w:rtlGutter w:val="0"/>
          <w:docGrid w:linePitch="360"/>
        </w:sectPr>
      </w:pPr>
    </w:p>
    <w:tbl>
      <w:tblPr>
        <w:tblOverlap w:val="never"/>
        <w:jc w:val="center"/>
        <w:tblLayout w:type="fixed"/>
      </w:tblPr>
      <w:tblGrid>
        <w:gridCol w:w="2602"/>
        <w:gridCol w:w="2294"/>
        <w:gridCol w:w="2294"/>
        <w:gridCol w:w="2323"/>
      </w:tblGrid>
      <w:tr>
        <w:trPr>
          <w:trHeight w:val="5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220"/>
              <w:jc w:val="both"/>
              <w:rPr>
                <w:sz w:val="20"/>
                <w:szCs w:val="20"/>
              </w:rPr>
            </w:pPr>
            <w:r>
              <w:rPr>
                <w:color w:val="000000"/>
                <w:spacing w:val="0"/>
                <w:w w:val="100"/>
                <w:position w:val="0"/>
                <w:sz w:val="20"/>
                <w:szCs w:val="20"/>
              </w:rPr>
              <w:t>的非流动资产产生的利</w:t>
            </w:r>
          </w:p>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其中：固定资产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330,599.52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106,571.39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330,599.52</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b/>
                <w:bCs/>
                <w:color w:val="000000"/>
                <w:spacing w:val="0"/>
                <w:w w:val="100"/>
                <w:position w:val="0"/>
                <w:sz w:val="20"/>
                <w:szCs w:val="20"/>
              </w:rPr>
              <w:t>330,599.52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b/>
                <w:bCs/>
                <w:color w:val="000000"/>
                <w:spacing w:val="0"/>
                <w:w w:val="100"/>
                <w:position w:val="0"/>
                <w:sz w:val="20"/>
                <w:szCs w:val="20"/>
              </w:rPr>
              <w:t>106,571.39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b/>
                <w:bCs/>
                <w:color w:val="000000"/>
                <w:spacing w:val="0"/>
                <w:w w:val="100"/>
                <w:position w:val="0"/>
                <w:sz w:val="20"/>
                <w:szCs w:val="20"/>
              </w:rPr>
              <w:t>330,599.52</w:t>
            </w:r>
          </w:p>
        </w:tc>
      </w:tr>
    </w:tbl>
    <w:p>
      <w:pPr>
        <w:pStyle w:val="Style30"/>
        <w:keepNext w:val="0"/>
        <w:keepLines w:val="0"/>
        <w:widowControl w:val="0"/>
        <w:shd w:val="clear" w:color="auto" w:fill="auto"/>
        <w:bidi w:val="0"/>
        <w:spacing w:before="0" w:after="0" w:line="240" w:lineRule="auto"/>
        <w:ind w:left="24" w:right="0" w:firstLine="0"/>
        <w:jc w:val="left"/>
        <w:rPr>
          <w:sz w:val="22"/>
          <w:szCs w:val="22"/>
        </w:rPr>
      </w:pPr>
      <w:r>
        <w:rPr>
          <w:rFonts w:ascii="Times New Roman" w:eastAsia="Times New Roman" w:hAnsi="Times New Roman" w:cs="Times New Roman"/>
          <w:b/>
          <w:bCs/>
          <w:color w:val="000000"/>
          <w:spacing w:val="0"/>
          <w:w w:val="100"/>
          <w:position w:val="0"/>
          <w:sz w:val="22"/>
          <w:szCs w:val="22"/>
        </w:rPr>
        <w:t>53</w:t>
      </w:r>
      <w:r>
        <w:rPr>
          <w:b/>
          <w:bCs/>
          <w:color w:val="000000"/>
          <w:spacing w:val="0"/>
          <w:w w:val="100"/>
          <w:position w:val="0"/>
          <w:sz w:val="22"/>
          <w:szCs w:val="22"/>
        </w:rPr>
        <w:t>、营业外收入</w:t>
      </w:r>
    </w:p>
    <w:p>
      <w:pPr>
        <w:widowControl w:val="0"/>
        <w:spacing w:after="299" w:line="1" w:lineRule="exact"/>
      </w:pPr>
    </w:p>
    <w:tbl>
      <w:tblPr>
        <w:tblOverlap w:val="never"/>
        <w:jc w:val="center"/>
        <w:tblLayout w:type="fixed"/>
      </w:tblPr>
      <w:tblGrid>
        <w:gridCol w:w="2602"/>
        <w:gridCol w:w="2294"/>
        <w:gridCol w:w="2294"/>
        <w:gridCol w:w="2323"/>
      </w:tblGrid>
      <w:tr>
        <w:trPr>
          <w:trHeight w:val="60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计入当期非经常性损 益的金额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业绩对赌补偿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471,950.28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74,647,410.84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471,950.28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收到违约金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3,172,436.88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3,172,436.88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保险赔款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705,333.04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705,333.04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185,551.73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595,061.02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185,551.73</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b/>
                <w:bCs/>
                <w:color w:val="000000"/>
                <w:spacing w:val="0"/>
                <w:w w:val="100"/>
                <w:position w:val="0"/>
                <w:sz w:val="20"/>
                <w:szCs w:val="20"/>
              </w:rPr>
              <w:t>4,535,271.93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75,314,857.40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b/>
                <w:bCs/>
                <w:color w:val="000000"/>
                <w:spacing w:val="0"/>
                <w:w w:val="100"/>
                <w:position w:val="0"/>
                <w:sz w:val="20"/>
                <w:szCs w:val="20"/>
              </w:rPr>
              <w:t>4,535,271.93</w:t>
            </w:r>
          </w:p>
        </w:tc>
      </w:tr>
    </w:tbl>
    <w:p>
      <w:pPr>
        <w:pStyle w:val="Style30"/>
        <w:keepNext w:val="0"/>
        <w:keepLines w:val="0"/>
        <w:widowControl w:val="0"/>
        <w:shd w:val="clear" w:color="auto" w:fill="auto"/>
        <w:bidi w:val="0"/>
        <w:spacing w:before="0" w:after="0" w:line="240" w:lineRule="auto"/>
        <w:ind w:left="24" w:right="0" w:firstLine="0"/>
        <w:jc w:val="left"/>
        <w:rPr>
          <w:sz w:val="22"/>
          <w:szCs w:val="22"/>
        </w:rPr>
      </w:pPr>
      <w:r>
        <w:rPr>
          <w:rFonts w:ascii="Times New Roman" w:eastAsia="Times New Roman" w:hAnsi="Times New Roman" w:cs="Times New Roman"/>
          <w:b/>
          <w:bCs/>
          <w:color w:val="000000"/>
          <w:spacing w:val="0"/>
          <w:w w:val="100"/>
          <w:position w:val="0"/>
          <w:sz w:val="22"/>
          <w:szCs w:val="22"/>
        </w:rPr>
        <w:t>54</w:t>
      </w:r>
      <w:r>
        <w:rPr>
          <w:b/>
          <w:bCs/>
          <w:color w:val="000000"/>
          <w:spacing w:val="0"/>
          <w:w w:val="100"/>
          <w:position w:val="0"/>
          <w:sz w:val="22"/>
          <w:szCs w:val="22"/>
        </w:rPr>
        <w:t>、营业外支出</w:t>
      </w:r>
    </w:p>
    <w:p>
      <w:pPr>
        <w:widowControl w:val="0"/>
        <w:spacing w:after="299" w:line="1" w:lineRule="exact"/>
      </w:pPr>
    </w:p>
    <w:tbl>
      <w:tblPr>
        <w:tblOverlap w:val="never"/>
        <w:jc w:val="center"/>
        <w:tblLayout w:type="fixed"/>
      </w:tblPr>
      <w:tblGrid>
        <w:gridCol w:w="3254"/>
        <w:gridCol w:w="2021"/>
        <w:gridCol w:w="2026"/>
        <w:gridCol w:w="2059"/>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tabs>
                <w:tab w:pos="1875" w:val="left"/>
              </w:tabs>
              <w:bidi w:val="0"/>
              <w:spacing w:before="0" w:after="0" w:line="240" w:lineRule="auto"/>
              <w:ind w:left="1400" w:right="0" w:firstLine="0"/>
              <w:jc w:val="left"/>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b/>
                <w:bCs/>
                <w:color w:val="000000"/>
                <w:spacing w:val="0"/>
                <w:w w:val="100"/>
                <w:position w:val="0"/>
                <w:sz w:val="20"/>
                <w:szCs w:val="20"/>
              </w:rPr>
              <w:t>计入当期非经常性 损益</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赔偿款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488,294.65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808,743.09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488,294.65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267,429.48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415,864.00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267,429.48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违约金支出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342,905.66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269,393.00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342,905.66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146,740.76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146,740.76</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1,245,370.55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1,607,106.89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1,245,370.55</w:t>
            </w:r>
          </w:p>
        </w:tc>
      </w:tr>
    </w:tbl>
    <w:p>
      <w:pPr>
        <w:pStyle w:val="Style30"/>
        <w:keepNext w:val="0"/>
        <w:keepLines w:val="0"/>
        <w:widowControl w:val="0"/>
        <w:shd w:val="clear" w:color="auto" w:fill="auto"/>
        <w:bidi w:val="0"/>
        <w:spacing w:before="0" w:after="0" w:line="240" w:lineRule="auto"/>
        <w:ind w:left="24" w:right="0" w:firstLine="0"/>
        <w:jc w:val="left"/>
        <w:rPr>
          <w:sz w:val="22"/>
          <w:szCs w:val="22"/>
        </w:rPr>
      </w:pPr>
      <w:r>
        <w:rPr>
          <w:rFonts w:ascii="Times New Roman" w:eastAsia="Times New Roman" w:hAnsi="Times New Roman" w:cs="Times New Roman"/>
          <w:b/>
          <w:bCs/>
          <w:color w:val="000000"/>
          <w:spacing w:val="0"/>
          <w:w w:val="100"/>
          <w:position w:val="0"/>
          <w:sz w:val="22"/>
          <w:szCs w:val="22"/>
        </w:rPr>
        <w:t>55</w:t>
      </w:r>
      <w:r>
        <w:rPr>
          <w:b/>
          <w:bCs/>
          <w:color w:val="000000"/>
          <w:spacing w:val="0"/>
          <w:w w:val="100"/>
          <w:position w:val="0"/>
          <w:sz w:val="22"/>
          <w:szCs w:val="22"/>
        </w:rPr>
        <w:t>、所得税费用</w:t>
      </w:r>
    </w:p>
    <w:p>
      <w:pPr>
        <w:widowControl w:val="0"/>
        <w:spacing w:after="399" w:line="1" w:lineRule="exact"/>
      </w:pPr>
    </w:p>
    <w:p>
      <w:pPr>
        <w:pStyle w:val="Style30"/>
        <w:keepNext w:val="0"/>
        <w:keepLines w:val="0"/>
        <w:widowControl w:val="0"/>
        <w:shd w:val="clear" w:color="auto" w:fill="auto"/>
        <w:bidi w:val="0"/>
        <w:spacing w:before="0" w:after="0" w:line="240" w:lineRule="auto"/>
        <w:ind w:left="509"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）所得税费用表</w:t>
      </w:r>
    </w:p>
    <w:tbl>
      <w:tblPr>
        <w:tblOverlap w:val="never"/>
        <w:jc w:val="center"/>
        <w:tblLayout w:type="fixed"/>
      </w:tblPr>
      <w:tblGrid>
        <w:gridCol w:w="4128"/>
        <w:gridCol w:w="2578"/>
        <w:gridCol w:w="261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4,871,282.00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-1,556,789.95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-6,976,729.25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1,090,772.10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-2,105,447.25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-466,017.85</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）会计利润与所得税费用调整过程</w:t>
      </w:r>
    </w:p>
    <w:tbl>
      <w:tblPr>
        <w:tblOverlap w:val="never"/>
        <w:jc w:val="center"/>
        <w:tblLayout w:type="fixed"/>
      </w:tblPr>
      <w:tblGrid>
        <w:gridCol w:w="5717"/>
        <w:gridCol w:w="3576"/>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213,091,516.01</w:t>
            </w:r>
          </w:p>
        </w:tc>
      </w:tr>
      <w:tr>
        <w:trPr>
          <w:trHeight w:val="283"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w:t>
            </w:r>
          </w:p>
        </w:tc>
      </w:tr>
    </w:tbl>
    <w:p>
      <w:pPr>
        <w:sectPr>
          <w:footnotePr>
            <w:pos w:val="pageBottom"/>
            <w:numFmt w:val="decimal"/>
            <w:numRestart w:val="continuous"/>
          </w:footnotePr>
          <w:pgSz w:w="11900" w:h="16840"/>
          <w:pgMar w:top="1441" w:right="1306" w:bottom="1215" w:left="1052" w:header="0" w:footer="3" w:gutter="0"/>
          <w:cols w:space="720"/>
          <w:noEndnote/>
          <w:rtlGutter w:val="0"/>
          <w:docGrid w:linePitch="360"/>
        </w:sectPr>
      </w:pPr>
    </w:p>
    <w:tbl>
      <w:tblPr>
        <w:tblOverlap w:val="never"/>
        <w:jc w:val="center"/>
        <w:tblLayout w:type="fixed"/>
      </w:tblPr>
      <w:tblGrid>
        <w:gridCol w:w="5717"/>
        <w:gridCol w:w="3576"/>
      </w:tblGrid>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按法定</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适用税率计算的所得税费用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31,963,727.40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7,444,606.57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非应税收入的影响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4,835.88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研究开发费加计扣除的影响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-17,426,666.00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1,993,578.34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使用前期未确认递延所得税资产的可抵扣亏损的影响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-54,240,770.50</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420" w:right="0" w:firstLine="0"/>
              <w:jc w:val="left"/>
              <w:rPr>
                <w:sz w:val="20"/>
                <w:szCs w:val="20"/>
              </w:rPr>
            </w:pPr>
            <w:r>
              <w:rPr>
                <w:color w:val="000000"/>
                <w:spacing w:val="0"/>
                <w:w w:val="100"/>
                <w:position w:val="0"/>
                <w:sz w:val="20"/>
                <w:szCs w:val="20"/>
              </w:rPr>
              <w:t>本期未确认递延所得税资产的可抵扣暂时性差异或可 抵扣亏损的影响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38,532,970.55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税率调整导致期初递延所得税负债余额的变化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-10,377,729.49</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-2,105,447.25</w:t>
            </w:r>
          </w:p>
        </w:tc>
      </w:tr>
    </w:tbl>
    <w:p>
      <w:pPr>
        <w:widowControl w:val="0"/>
        <w:spacing w:after="299" w:line="1" w:lineRule="exact"/>
      </w:pPr>
    </w:p>
    <w:p>
      <w:pPr>
        <w:pStyle w:val="Style37"/>
        <w:keepNext/>
        <w:keepLines/>
        <w:widowControl w:val="0"/>
        <w:shd w:val="clear" w:color="auto" w:fill="auto"/>
        <w:bidi w:val="0"/>
        <w:spacing w:before="0" w:after="420" w:line="240" w:lineRule="auto"/>
        <w:ind w:left="0" w:right="0" w:firstLine="14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5</w:t>
      </w:r>
      <w:bookmarkEnd w:id="934"/>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932"/>
      <w:bookmarkEnd w:id="933"/>
      <w:bookmarkEnd w:id="935"/>
    </w:p>
    <w:p>
      <w:pPr>
        <w:pStyle w:val="Style1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p>
    <w:tbl>
      <w:tblPr>
        <w:tblOverlap w:val="never"/>
        <w:jc w:val="center"/>
        <w:tblLayout w:type="fixed"/>
      </w:tblPr>
      <w:tblGrid>
        <w:gridCol w:w="4877"/>
        <w:gridCol w:w="2150"/>
        <w:gridCol w:w="2184"/>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票据保证金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5,694,371.47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40,830,994.14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24,759,691.54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23,713,230.71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3,337,171.46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2,013,984.26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租赁收入及其他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22,385,630.02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28,553,035.60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收到富源机电及德世科回款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125,929,622.48</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182,106,486.97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b/>
                <w:bCs/>
                <w:color w:val="000000"/>
                <w:spacing w:val="0"/>
                <w:w w:val="100"/>
                <w:position w:val="0"/>
                <w:sz w:val="20"/>
                <w:szCs w:val="20"/>
              </w:rPr>
              <w:t>95,111,244.71</w:t>
            </w:r>
          </w:p>
        </w:tc>
      </w:tr>
    </w:tbl>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）支付的其他与经营活动有关的现金</w:t>
      </w:r>
    </w:p>
    <w:p>
      <w:pPr>
        <w:widowControl w:val="0"/>
        <w:spacing w:after="79" w:line="1" w:lineRule="exact"/>
      </w:pPr>
    </w:p>
    <w:tbl>
      <w:tblPr>
        <w:tblOverlap w:val="never"/>
        <w:jc w:val="center"/>
        <w:tblLayout w:type="fixed"/>
      </w:tblPr>
      <w:tblGrid>
        <w:gridCol w:w="4877"/>
        <w:gridCol w:w="2150"/>
        <w:gridCol w:w="2184"/>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tabs>
                <w:tab w:pos="2675" w:val="left"/>
              </w:tabs>
              <w:bidi w:val="0"/>
              <w:spacing w:before="0" w:after="0" w:line="240" w:lineRule="auto"/>
              <w:ind w:left="2200" w:right="0" w:firstLine="0"/>
              <w:jc w:val="left"/>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票据保证金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30,699,501.67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26,875,480.37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费用类支出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90,298,598.91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62,005,396.28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往来款及备用金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10,596,731.78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12,220,647.31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1,837,190.97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2,535,661.47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133,432,023.33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103,637,185.43</w:t>
            </w:r>
          </w:p>
        </w:tc>
      </w:tr>
      <w:tr>
        <w:trPr>
          <w:trHeight w:val="49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tabs>
                <w:tab w:pos="2675" w:val="left"/>
              </w:tabs>
              <w:bidi w:val="0"/>
              <w:spacing w:before="0" w:after="0" w:line="240" w:lineRule="auto"/>
              <w:ind w:left="2200" w:right="0" w:firstLine="0"/>
              <w:jc w:val="left"/>
              <w:rPr>
                <w:sz w:val="20"/>
                <w:szCs w:val="20"/>
              </w:rPr>
            </w:pPr>
            <w:r>
              <w:rPr>
                <w:b/>
                <w:bCs/>
                <w:color w:val="000000"/>
                <w:spacing w:val="0"/>
                <w:w w:val="100"/>
                <w:position w:val="0"/>
                <w:sz w:val="20"/>
                <w:szCs w:val="20"/>
              </w:rPr>
              <w:t>项</w:t>
              <w:tab/>
              <w:t>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bl>
    <w:p>
      <w:pPr>
        <w:spacing w:lineRule="exact" w:line="1"/>
        <w:rPr>
          <w:sz w:val="2"/>
          <w:szCs w:val="2"/>
        </w:rPr>
      </w:pPr>
      <w:r>
        <w:br w:type="page"/>
      </w:r>
    </w:p>
    <w:tbl>
      <w:tblPr>
        <w:tblOverlap w:val="never"/>
        <w:jc w:val="center"/>
        <w:tblLayout w:type="fixed"/>
      </w:tblPr>
      <w:tblGrid>
        <w:gridCol w:w="4877"/>
        <w:gridCol w:w="2150"/>
        <w:gridCol w:w="2184"/>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471,950.28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74,647,410.84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471,950.28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b/>
                <w:bCs/>
                <w:color w:val="000000"/>
                <w:spacing w:val="0"/>
                <w:w w:val="100"/>
                <w:position w:val="0"/>
                <w:sz w:val="20"/>
                <w:szCs w:val="20"/>
              </w:rPr>
              <w:t>74,647,410.84</w:t>
            </w:r>
          </w:p>
        </w:tc>
      </w:tr>
      <w:tr>
        <w:trPr>
          <w:trHeight w:val="49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20,034,350.80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归还非金融机构借款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142,709,155.45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支付股权回购款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5,791,800.00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支付租赁款项和租赁保证金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7,744,625.25</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156,245,580.70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b/>
                <w:bCs/>
                <w:color w:val="000000"/>
                <w:spacing w:val="0"/>
                <w:w w:val="100"/>
                <w:position w:val="0"/>
                <w:sz w:val="20"/>
                <w:szCs w:val="20"/>
              </w:rPr>
              <w:t>20,034,350.80</w:t>
            </w:r>
          </w:p>
        </w:tc>
      </w:tr>
    </w:tbl>
    <w:p>
      <w:pPr>
        <w:widowControl w:val="0"/>
        <w:spacing w:after="299" w:line="1" w:lineRule="exact"/>
      </w:pPr>
    </w:p>
    <w:p>
      <w:pPr>
        <w:pStyle w:val="Style13"/>
        <w:keepNext w:val="0"/>
        <w:keepLines w:val="0"/>
        <w:widowControl w:val="0"/>
        <w:shd w:val="clear" w:color="auto" w:fill="auto"/>
        <w:bidi w:val="0"/>
        <w:spacing w:before="0" w:after="420" w:line="240" w:lineRule="auto"/>
        <w:ind w:left="0" w:right="0" w:firstLine="0"/>
        <w:jc w:val="left"/>
      </w:pPr>
      <w:bookmarkStart w:id="936" w:name="bookmark936"/>
      <w:r>
        <w:rPr>
          <w:rFonts w:ascii="Times New Roman" w:eastAsia="Times New Roman" w:hAnsi="Times New Roman" w:cs="Times New Roman"/>
          <w:b/>
          <w:bCs/>
          <w:color w:val="000000"/>
          <w:spacing w:val="0"/>
          <w:w w:val="100"/>
          <w:position w:val="0"/>
        </w:rPr>
        <w:t>5</w:t>
      </w:r>
      <w:bookmarkEnd w:id="936"/>
      <w:r>
        <w:rPr>
          <w:rFonts w:ascii="Times New Roman" w:eastAsia="Times New Roman" w:hAnsi="Times New Roman" w:cs="Times New Roman"/>
          <w:b/>
          <w:bCs/>
          <w:color w:val="000000"/>
          <w:spacing w:val="0"/>
          <w:w w:val="100"/>
          <w:position w:val="0"/>
        </w:rPr>
        <w:t>7</w:t>
      </w:r>
      <w:r>
        <w:rPr>
          <w:b/>
          <w:bCs/>
          <w:color w:val="000000"/>
          <w:spacing w:val="0"/>
          <w:w w:val="100"/>
          <w:position w:val="0"/>
        </w:rPr>
        <w:t>、现金流量表补充资料</w:t>
      </w:r>
    </w:p>
    <w:tbl>
      <w:tblPr>
        <w:tblOverlap w:val="never"/>
        <w:jc w:val="center"/>
        <w:tblLayout w:type="fixed"/>
      </w:tblPr>
      <w:tblGrid>
        <w:gridCol w:w="5722"/>
        <w:gridCol w:w="1838"/>
        <w:gridCol w:w="1790"/>
      </w:tblGrid>
      <w:tr>
        <w:trPr>
          <w:trHeight w:val="374"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20"/>
                <w:szCs w:val="20"/>
              </w:rPr>
            </w:pPr>
            <w:r>
              <w:rPr>
                <w:b/>
                <w:bCs/>
                <w:color w:val="000000"/>
                <w:spacing w:val="0"/>
                <w:w w:val="100"/>
                <w:position w:val="0"/>
                <w:sz w:val="20"/>
                <w:szCs w:val="20"/>
              </w:rPr>
              <w:t>补充资料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215,196,963.26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-6,535,064.34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力加信用减值损失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-6,426,460.59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-32,560,472.04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13,443,121.19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34,163,619.51</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31,093,589.07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24,640,593.80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9,314,179.63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28,972,457.28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22,075,229.38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21,540,066.60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22,645,529.45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资产处置损失（收益以“一”号填列）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-106,571.39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固定资产报废损失（收益以“一”号填列）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267,429.45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415,864.00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公允价值变动损失（收益以“一”号填列）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-77,432,708.47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-12,749,229.48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40,525,715.44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42,870,110.49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-70,584,203.11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9,669,147.75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-4,712,880.65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1,764,463.52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递延所得税负债增加（减少以“一”号填列）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-2,263,848.60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-673,691.42</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存货的减少（增加以“一"号填列）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-167,530,265.73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-42,175,867.76</w:t>
            </w:r>
          </w:p>
        </w:tc>
      </w:tr>
    </w:tbl>
    <w:p>
      <w:pPr>
        <w:spacing w:lineRule="exact" w:line="1"/>
        <w:rPr>
          <w:sz w:val="2"/>
          <w:szCs w:val="2"/>
        </w:rPr>
      </w:pPr>
      <w:r>
        <w:br w:type="page"/>
      </w:r>
    </w:p>
    <w:tbl>
      <w:tblPr>
        <w:tblOverlap w:val="never"/>
        <w:jc w:val="left"/>
        <w:tblLayout w:type="fixed"/>
      </w:tblPr>
      <w:tblGrid>
        <w:gridCol w:w="5722"/>
        <w:gridCol w:w="1838"/>
        <w:gridCol w:w="1790"/>
      </w:tblGrid>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75,361,677.84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147,659,607.59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经营性应付项目的增加(减少以“一”号填列)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10,837,986.00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-111,201,561.13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95,217,572.70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-74,647,410.84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212,489,791.79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25,254,297.09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确认使用权资产的租赁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67,337,070.87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471,964,300.25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258,772,293.84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258,772,293.84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208,612,613.57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213,192,006.41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50,159,680.27</w:t>
            </w:r>
          </w:p>
        </w:tc>
      </w:tr>
    </w:tbl>
    <w:tbl>
      <w:tblPr>
        <w:tblOverlap w:val="never"/>
        <w:jc w:val="left"/>
        <w:tblLayout w:type="fixed"/>
      </w:tblPr>
      <w:tblGrid>
        <w:gridCol w:w="6394"/>
        <w:gridCol w:w="2904"/>
      </w:tblGrid>
      <w:tr>
        <w:trPr>
          <w:trHeight w:val="672"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0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以前期间发生的企业合并于本期支付的现金或现金等价物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47,600,000.00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其中：深圳市斯诺实业发展有限公司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47,600,000.00</w:t>
            </w:r>
          </w:p>
        </w:tc>
      </w:tr>
    </w:tbl>
    <w:p>
      <w:pPr>
        <w:widowControl w:val="0"/>
        <w:spacing w:after="79" w:line="1" w:lineRule="exact"/>
      </w:pPr>
    </w:p>
    <w:p>
      <w:pPr>
        <w:pStyle w:val="Style13"/>
        <w:keepNext w:val="0"/>
        <w:keepLines w:val="0"/>
        <w:widowControl w:val="0"/>
        <w:numPr>
          <w:ilvl w:val="0"/>
          <w:numId w:val="57"/>
        </w:numPr>
        <w:shd w:val="clear" w:color="auto" w:fill="auto"/>
        <w:bidi w:val="0"/>
        <w:spacing w:before="0" w:after="80" w:line="240" w:lineRule="auto"/>
        <w:ind w:left="0" w:right="0" w:firstLine="600"/>
        <w:jc w:val="left"/>
      </w:pPr>
      <w:bookmarkStart w:id="937" w:name="bookmark937"/>
      <w:bookmarkEnd w:id="937"/>
      <w:r>
        <w:rPr>
          <w:color w:val="000000"/>
          <w:spacing w:val="0"/>
          <w:w w:val="100"/>
          <w:position w:val="0"/>
        </w:rPr>
        <w:t>现金和现金等价物的构成</w:t>
      </w:r>
    </w:p>
    <w:tbl>
      <w:tblPr>
        <w:tblOverlap w:val="never"/>
        <w:jc w:val="left"/>
        <w:tblLayout w:type="fixed"/>
      </w:tblPr>
      <w:tblGrid>
        <w:gridCol w:w="5578"/>
        <w:gridCol w:w="1838"/>
        <w:gridCol w:w="1877"/>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471,964,300.25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258,772,293.84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227,590.86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471,622,559.56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258,534,763.40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9,939.58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471,964,300.25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258,772,293.84</w:t>
            </w:r>
          </w:p>
        </w:tc>
      </w:tr>
    </w:tbl>
    <w:p>
      <w:pPr>
        <w:widowControl w:val="0"/>
        <w:spacing w:after="299" w:line="1" w:lineRule="exact"/>
      </w:pPr>
    </w:p>
    <w:p>
      <w:pPr>
        <w:pStyle w:val="Style13"/>
        <w:keepNext w:val="0"/>
        <w:keepLines w:val="0"/>
        <w:widowControl w:val="0"/>
        <w:shd w:val="clear" w:color="auto" w:fill="auto"/>
        <w:bidi w:val="0"/>
        <w:spacing w:before="0" w:after="300" w:line="240" w:lineRule="auto"/>
        <w:ind w:left="0" w:right="0" w:firstLine="0"/>
        <w:jc w:val="left"/>
      </w:pPr>
      <w:bookmarkStart w:id="938" w:name="bookmark938"/>
      <w:r>
        <w:rPr>
          <w:rFonts w:ascii="Times New Roman" w:eastAsia="Times New Roman" w:hAnsi="Times New Roman" w:cs="Times New Roman"/>
          <w:b/>
          <w:bCs/>
          <w:color w:val="000000"/>
          <w:spacing w:val="0"/>
          <w:w w:val="100"/>
          <w:position w:val="0"/>
        </w:rPr>
        <w:t>5</w:t>
      </w:r>
      <w:bookmarkEnd w:id="938"/>
      <w:r>
        <w:rPr>
          <w:rFonts w:ascii="Times New Roman" w:eastAsia="Times New Roman" w:hAnsi="Times New Roman" w:cs="Times New Roman"/>
          <w:b/>
          <w:bCs/>
          <w:color w:val="000000"/>
          <w:spacing w:val="0"/>
          <w:w w:val="100"/>
          <w:position w:val="0"/>
        </w:rPr>
        <w:t>8</w:t>
      </w:r>
      <w:r>
        <w:rPr>
          <w:b/>
          <w:bCs/>
          <w:color w:val="000000"/>
          <w:spacing w:val="0"/>
          <w:w w:val="100"/>
          <w:position w:val="0"/>
        </w:rPr>
        <w:t>、所有权或使用权受到限制的资产</w:t>
      </w:r>
    </w:p>
    <w:tbl>
      <w:tblPr>
        <w:tblOverlap w:val="never"/>
        <w:jc w:val="left"/>
        <w:tblLayout w:type="fixed"/>
      </w:tblPr>
      <w:tblGrid>
        <w:gridCol w:w="3221"/>
        <w:gridCol w:w="2909"/>
        <w:gridCol w:w="2981"/>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受限原因</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62,021,115.84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票据保证金及借款保证金</w:t>
            </w:r>
          </w:p>
        </w:tc>
      </w:tr>
    </w:tbl>
    <w:p>
      <w:pPr>
        <w:spacing w:lineRule="exact" w:line="1"/>
        <w:rPr>
          <w:sz w:val="2"/>
          <w:szCs w:val="2"/>
        </w:rPr>
      </w:pPr>
      <w:r>
        <w:br w:type="page"/>
      </w:r>
    </w:p>
    <w:tbl>
      <w:tblPr>
        <w:tblOverlap w:val="never"/>
        <w:jc w:val="left"/>
        <w:tblLayout w:type="fixed"/>
      </w:tblPr>
      <w:tblGrid>
        <w:gridCol w:w="3221"/>
        <w:gridCol w:w="2909"/>
        <w:gridCol w:w="2981"/>
      </w:tblGrid>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78,077,924.58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票据质押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372,948,961.00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借款抵押</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235,422,457.26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借款抵押</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38,921,544.45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借款抵押</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b/>
                <w:bCs/>
                <w:color w:val="000000"/>
                <w:spacing w:val="0"/>
                <w:w w:val="100"/>
                <w:position w:val="0"/>
                <w:sz w:val="20"/>
                <w:szCs w:val="20"/>
              </w:rPr>
              <w:t>787,392,003.13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after="319" w:line="1" w:lineRule="exact"/>
      </w:pPr>
    </w:p>
    <w:p>
      <w:pPr>
        <w:pStyle w:val="Style13"/>
        <w:keepNext w:val="0"/>
        <w:keepLines w:val="0"/>
        <w:widowControl w:val="0"/>
        <w:shd w:val="clear" w:color="auto" w:fill="auto"/>
        <w:bidi w:val="0"/>
        <w:spacing w:before="0" w:after="320" w:line="240" w:lineRule="auto"/>
        <w:ind w:left="0" w:right="0" w:firstLine="140"/>
        <w:jc w:val="left"/>
      </w:pPr>
      <w:bookmarkStart w:id="939" w:name="bookmark939"/>
      <w:r>
        <w:rPr>
          <w:rFonts w:ascii="Times New Roman" w:eastAsia="Times New Roman" w:hAnsi="Times New Roman" w:cs="Times New Roman"/>
          <w:b/>
          <w:bCs/>
          <w:color w:val="000000"/>
          <w:spacing w:val="0"/>
          <w:w w:val="100"/>
          <w:position w:val="0"/>
        </w:rPr>
        <w:t>5</w:t>
      </w:r>
      <w:bookmarkEnd w:id="939"/>
      <w:r>
        <w:rPr>
          <w:rFonts w:ascii="Times New Roman" w:eastAsia="Times New Roman" w:hAnsi="Times New Roman" w:cs="Times New Roman"/>
          <w:b/>
          <w:bCs/>
          <w:color w:val="000000"/>
          <w:spacing w:val="0"/>
          <w:w w:val="100"/>
          <w:position w:val="0"/>
        </w:rPr>
        <w:t>9</w:t>
      </w:r>
      <w:r>
        <w:rPr>
          <w:b/>
          <w:bCs/>
          <w:color w:val="000000"/>
          <w:spacing w:val="0"/>
          <w:w w:val="100"/>
          <w:position w:val="0"/>
        </w:rPr>
        <w:t>、外币货币性项目</w:t>
      </w:r>
    </w:p>
    <w:tbl>
      <w:tblPr>
        <w:tblOverlap w:val="never"/>
        <w:jc w:val="left"/>
        <w:tblLayout w:type="fixed"/>
      </w:tblPr>
      <w:tblGrid>
        <w:gridCol w:w="3269"/>
        <w:gridCol w:w="1987"/>
        <w:gridCol w:w="1742"/>
        <w:gridCol w:w="2299"/>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tabs>
                <w:tab w:pos="696" w:val="left"/>
              </w:tabs>
              <w:bidi w:val="0"/>
              <w:spacing w:before="0" w:after="0" w:line="240" w:lineRule="auto"/>
              <w:ind w:left="0" w:right="0" w:firstLine="0"/>
              <w:jc w:val="center"/>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b/>
                <w:bCs/>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期末折算人民币余额</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15,951,996.07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2,332,639.22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14,872,207.87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7,569.28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227,266.14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1,072,218.92</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5,368,820.77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842,075.50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5,368,820.77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241,155.57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241,047.18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414,418.71</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414,418.71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737,566.35</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115,683.98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737,566.35</w:t>
            </w:r>
          </w:p>
        </w:tc>
      </w:tr>
    </w:tbl>
    <w:p>
      <w:pPr>
        <w:widowControl w:val="0"/>
        <w:spacing w:after="319" w:line="1" w:lineRule="exact"/>
      </w:pPr>
    </w:p>
    <w:p>
      <w:pPr>
        <w:pStyle w:val="Style37"/>
        <w:keepNext/>
        <w:keepLines/>
        <w:widowControl w:val="0"/>
        <w:shd w:val="clear" w:color="auto" w:fill="auto"/>
        <w:bidi w:val="0"/>
        <w:spacing w:before="0" w:after="420" w:line="240" w:lineRule="auto"/>
        <w:ind w:left="0" w:right="0" w:firstLine="14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6</w:t>
      </w:r>
      <w:bookmarkEnd w:id="942"/>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40"/>
      <w:bookmarkEnd w:id="941"/>
      <w:bookmarkEnd w:id="943"/>
    </w:p>
    <w:p>
      <w:pPr>
        <w:pStyle w:val="Style13"/>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）本期确认的政府补助</w:t>
      </w:r>
    </w:p>
    <w:tbl>
      <w:tblPr>
        <w:tblOverlap w:val="never"/>
        <w:jc w:val="center"/>
        <w:tblLayout w:type="fixed"/>
      </w:tblPr>
      <w:tblGrid>
        <w:gridCol w:w="1498"/>
        <w:gridCol w:w="1555"/>
        <w:gridCol w:w="1421"/>
        <w:gridCol w:w="682"/>
        <w:gridCol w:w="1416"/>
        <w:gridCol w:w="1560"/>
        <w:gridCol w:w="706"/>
        <w:gridCol w:w="715"/>
        <w:gridCol w:w="792"/>
      </w:tblGrid>
      <w:tr>
        <w:trPr>
          <w:trHeight w:val="87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补助项目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与资产相关</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与收益相关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right"/>
              <w:rPr>
                <w:sz w:val="20"/>
                <w:szCs w:val="20"/>
              </w:rPr>
            </w:pPr>
            <w:r>
              <w:rPr>
                <w:b/>
                <w:bCs/>
                <w:color w:val="000000"/>
                <w:spacing w:val="0"/>
                <w:w w:val="100"/>
                <w:position w:val="0"/>
                <w:sz w:val="20"/>
                <w:szCs w:val="20"/>
              </w:rPr>
              <w:t>是否 实际 收到</w:t>
            </w:r>
          </w:p>
        </w:tc>
      </w:tr>
      <w:tr>
        <w:trPr>
          <w:trHeight w:val="11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5" w:lineRule="exact"/>
              <w:ind w:left="200" w:right="0" w:firstLine="0"/>
              <w:jc w:val="both"/>
              <w:rPr>
                <w:sz w:val="20"/>
                <w:szCs w:val="20"/>
              </w:rPr>
            </w:pPr>
            <w:r>
              <w:rPr>
                <w:color w:val="000000"/>
                <w:spacing w:val="0"/>
                <w:w w:val="100"/>
                <w:position w:val="0"/>
                <w:sz w:val="20"/>
                <w:szCs w:val="20"/>
              </w:rPr>
              <w:t>冲减 资产 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营业</w:t>
            </w:r>
          </w:p>
          <w:p>
            <w:pPr>
              <w:pStyle w:val="Style2"/>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外收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冲减</w:t>
            </w:r>
          </w:p>
          <w:p>
            <w:pPr>
              <w:pStyle w:val="Style2"/>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成本</w:t>
            </w:r>
          </w:p>
          <w:p>
            <w:pPr>
              <w:pStyle w:val="Style2"/>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费用</w:t>
            </w: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锂离子电池</w:t>
            </w:r>
          </w:p>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石墨负极材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1498"/>
        <w:gridCol w:w="1555"/>
        <w:gridCol w:w="1421"/>
        <w:gridCol w:w="682"/>
        <w:gridCol w:w="1416"/>
        <w:gridCol w:w="1560"/>
        <w:gridCol w:w="706"/>
        <w:gridCol w:w="715"/>
        <w:gridCol w:w="792"/>
      </w:tblGrid>
      <w:tr>
        <w:trPr>
          <w:trHeight w:val="88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补助项目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b/>
                <w:bCs/>
                <w:color w:val="000000"/>
                <w:spacing w:val="0"/>
                <w:w w:val="100"/>
                <w:position w:val="0"/>
                <w:sz w:val="20"/>
                <w:szCs w:val="20"/>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与资产相关</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与收益相关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6" w:lineRule="exact"/>
              <w:ind w:left="240" w:right="0" w:firstLine="0"/>
              <w:jc w:val="left"/>
              <w:rPr>
                <w:sz w:val="20"/>
                <w:szCs w:val="20"/>
              </w:rPr>
            </w:pPr>
            <w:r>
              <w:rPr>
                <w:b/>
                <w:bCs/>
                <w:color w:val="000000"/>
                <w:spacing w:val="0"/>
                <w:w w:val="100"/>
                <w:position w:val="0"/>
                <w:sz w:val="20"/>
                <w:szCs w:val="20"/>
              </w:rPr>
              <w:t>是否 实际 收到</w:t>
            </w:r>
          </w:p>
        </w:tc>
      </w:tr>
      <w:tr>
        <w:trPr>
          <w:trHeight w:val="11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6" w:lineRule="exact"/>
              <w:ind w:left="200" w:right="0" w:firstLine="0"/>
              <w:jc w:val="both"/>
              <w:rPr>
                <w:sz w:val="20"/>
                <w:szCs w:val="20"/>
              </w:rPr>
            </w:pPr>
            <w:r>
              <w:rPr>
                <w:color w:val="000000"/>
                <w:spacing w:val="0"/>
                <w:w w:val="100"/>
                <w:position w:val="0"/>
                <w:sz w:val="20"/>
                <w:szCs w:val="20"/>
              </w:rPr>
              <w:t>冲减 资产 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营业</w:t>
            </w:r>
          </w:p>
          <w:p>
            <w:pPr>
              <w:pStyle w:val="Style2"/>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外收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冲减</w:t>
            </w:r>
          </w:p>
          <w:p>
            <w:pPr>
              <w:pStyle w:val="Style2"/>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成本</w:t>
            </w:r>
          </w:p>
          <w:p>
            <w:pPr>
              <w:pStyle w:val="Style2"/>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费用</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both"/>
              <w:rPr>
                <w:sz w:val="20"/>
                <w:szCs w:val="20"/>
              </w:rPr>
            </w:pPr>
            <w:r>
              <w:rPr>
                <w:color w:val="000000"/>
                <w:spacing w:val="0"/>
                <w:w w:val="100"/>
                <w:position w:val="0"/>
                <w:sz w:val="20"/>
                <w:szCs w:val="20"/>
              </w:rPr>
              <w:t>料的研究及 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4" w:lineRule="exact"/>
              <w:ind w:left="240" w:right="0" w:firstLine="0"/>
              <w:jc w:val="both"/>
              <w:rPr>
                <w:sz w:val="20"/>
                <w:szCs w:val="20"/>
              </w:rPr>
            </w:pPr>
            <w:r>
              <w:rPr>
                <w:color w:val="000000"/>
                <w:spacing w:val="0"/>
                <w:w w:val="100"/>
                <w:position w:val="0"/>
                <w:sz w:val="20"/>
                <w:szCs w:val="20"/>
              </w:rPr>
              <w:t>增值税即征 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13,101,715.00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13,101,715.00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114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240" w:right="0" w:firstLine="0"/>
              <w:jc w:val="both"/>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年度第</w:t>
            </w:r>
          </w:p>
          <w:p>
            <w:pPr>
              <w:pStyle w:val="Style2"/>
              <w:keepNext w:val="0"/>
              <w:keepLines w:val="0"/>
              <w:widowControl w:val="0"/>
              <w:shd w:val="clear" w:color="auto" w:fill="auto"/>
              <w:bidi w:val="0"/>
              <w:spacing w:before="0" w:after="40" w:line="240" w:lineRule="auto"/>
              <w:ind w:left="240" w:right="0" w:firstLine="0"/>
              <w:jc w:val="both"/>
              <w:rPr>
                <w:sz w:val="20"/>
                <w:szCs w:val="20"/>
              </w:rPr>
            </w:pPr>
            <w:r>
              <w:rPr>
                <w:color w:val="000000"/>
                <w:spacing w:val="0"/>
                <w:w w:val="100"/>
                <w:position w:val="0"/>
                <w:sz w:val="20"/>
                <w:szCs w:val="20"/>
              </w:rPr>
              <w:t>一批国家和</w:t>
            </w:r>
          </w:p>
          <w:p>
            <w:pPr>
              <w:pStyle w:val="Style2"/>
              <w:keepNext w:val="0"/>
              <w:keepLines w:val="0"/>
              <w:widowControl w:val="0"/>
              <w:shd w:val="clear" w:color="auto" w:fill="auto"/>
              <w:bidi w:val="0"/>
              <w:spacing w:before="0" w:after="40" w:line="240" w:lineRule="auto"/>
              <w:ind w:left="240" w:right="0" w:firstLine="0"/>
              <w:jc w:val="both"/>
              <w:rPr>
                <w:sz w:val="20"/>
                <w:szCs w:val="20"/>
              </w:rPr>
            </w:pPr>
            <w:r>
              <w:rPr>
                <w:color w:val="000000"/>
                <w:spacing w:val="0"/>
                <w:w w:val="100"/>
                <w:position w:val="0"/>
                <w:sz w:val="20"/>
                <w:szCs w:val="20"/>
              </w:rPr>
              <w:t>省配套项目</w:t>
            </w:r>
          </w:p>
          <w:p>
            <w:pPr>
              <w:pStyle w:val="Style2"/>
              <w:keepNext w:val="0"/>
              <w:keepLines w:val="0"/>
              <w:widowControl w:val="0"/>
              <w:shd w:val="clear" w:color="auto" w:fill="auto"/>
              <w:bidi w:val="0"/>
              <w:spacing w:before="0" w:after="40" w:line="240" w:lineRule="auto"/>
              <w:ind w:left="240" w:right="0" w:firstLine="0"/>
              <w:jc w:val="both"/>
              <w:rPr>
                <w:sz w:val="20"/>
                <w:szCs w:val="20"/>
              </w:rPr>
            </w:pPr>
            <w:r>
              <w:rPr>
                <w:color w:val="000000"/>
                <w:spacing w:val="0"/>
                <w:w w:val="100"/>
                <w:position w:val="0"/>
                <w:sz w:val="20"/>
                <w:szCs w:val="2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9,782,100.00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9,782,100.00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86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240" w:right="0" w:firstLine="0"/>
              <w:jc w:val="both"/>
              <w:rPr>
                <w:sz w:val="20"/>
                <w:szCs w:val="20"/>
              </w:rPr>
            </w:pPr>
            <w:r>
              <w:rPr>
                <w:color w:val="000000"/>
                <w:spacing w:val="0"/>
                <w:w w:val="100"/>
                <w:position w:val="0"/>
                <w:sz w:val="20"/>
                <w:szCs w:val="20"/>
              </w:rPr>
              <w:t>集成电路年</w:t>
            </w:r>
          </w:p>
          <w:p>
            <w:pPr>
              <w:pStyle w:val="Style2"/>
              <w:keepNext w:val="0"/>
              <w:keepLines w:val="0"/>
              <w:widowControl w:val="0"/>
              <w:shd w:val="clear" w:color="auto" w:fill="auto"/>
              <w:bidi w:val="0"/>
              <w:spacing w:before="0" w:after="40" w:line="240" w:lineRule="auto"/>
              <w:ind w:left="240" w:right="0" w:firstLine="0"/>
              <w:jc w:val="both"/>
              <w:rPr>
                <w:sz w:val="20"/>
                <w:szCs w:val="20"/>
              </w:rPr>
            </w:pPr>
            <w:r>
              <w:rPr>
                <w:color w:val="000000"/>
                <w:spacing w:val="0"/>
                <w:w w:val="100"/>
                <w:position w:val="0"/>
                <w:sz w:val="20"/>
                <w:szCs w:val="20"/>
              </w:rPr>
              <w:t>专项扶持计</w:t>
            </w:r>
          </w:p>
          <w:p>
            <w:pPr>
              <w:pStyle w:val="Style2"/>
              <w:keepNext w:val="0"/>
              <w:keepLines w:val="0"/>
              <w:widowControl w:val="0"/>
              <w:shd w:val="clear" w:color="auto" w:fill="auto"/>
              <w:bidi w:val="0"/>
              <w:spacing w:before="0" w:after="40" w:line="240" w:lineRule="auto"/>
              <w:ind w:left="240" w:right="0" w:firstLine="0"/>
              <w:jc w:val="both"/>
              <w:rPr>
                <w:sz w:val="20"/>
                <w:szCs w:val="20"/>
              </w:rPr>
            </w:pPr>
            <w:r>
              <w:rPr>
                <w:color w:val="000000"/>
                <w:spacing w:val="0"/>
                <w:w w:val="100"/>
                <w:position w:val="0"/>
                <w:sz w:val="20"/>
                <w:szCs w:val="20"/>
              </w:rPr>
              <w:t>划资金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2,569,300.00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2,569,300.00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both"/>
              <w:rPr>
                <w:sz w:val="20"/>
                <w:szCs w:val="20"/>
              </w:rPr>
            </w:pPr>
            <w:r>
              <w:rPr>
                <w:color w:val="000000"/>
                <w:spacing w:val="0"/>
                <w:w w:val="100"/>
                <w:position w:val="0"/>
                <w:sz w:val="20"/>
                <w:szCs w:val="20"/>
              </w:rPr>
              <w:t>科技项目资 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307" w:lineRule="exact"/>
              <w:ind w:left="240" w:right="0" w:firstLine="0"/>
              <w:jc w:val="both"/>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年企业 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115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0" w:lineRule="exact"/>
              <w:ind w:left="240" w:right="0" w:firstLine="0"/>
              <w:jc w:val="both"/>
              <w:rPr>
                <w:sz w:val="20"/>
                <w:szCs w:val="20"/>
              </w:rPr>
            </w:pPr>
            <w:r>
              <w:rPr>
                <w:color w:val="000000"/>
                <w:spacing w:val="0"/>
                <w:w w:val="100"/>
                <w:position w:val="0"/>
                <w:sz w:val="20"/>
                <w:szCs w:val="20"/>
              </w:rPr>
              <w:t>数字芯片设 计的</w:t>
            </w:r>
            <w:r>
              <w:rPr>
                <w:rFonts w:ascii="Times New Roman" w:eastAsia="Times New Roman" w:hAnsi="Times New Roman" w:cs="Times New Roman"/>
                <w:color w:val="000000"/>
                <w:spacing w:val="0"/>
                <w:w w:val="100"/>
                <w:position w:val="0"/>
                <w:sz w:val="22"/>
                <w:szCs w:val="22"/>
              </w:rPr>
              <w:t>EDA</w:t>
            </w:r>
            <w:r>
              <w:rPr>
                <w:color w:val="000000"/>
                <w:spacing w:val="0"/>
                <w:w w:val="100"/>
                <w:position w:val="0"/>
                <w:sz w:val="20"/>
                <w:szCs w:val="20"/>
              </w:rPr>
              <w:t>技 术创新与应 用补助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5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4" w:lineRule="exact"/>
              <w:ind w:left="240" w:right="0" w:firstLine="0"/>
              <w:jc w:val="both"/>
              <w:rPr>
                <w:sz w:val="20"/>
                <w:szCs w:val="20"/>
              </w:rPr>
            </w:pPr>
            <w:r>
              <w:rPr>
                <w:color w:val="000000"/>
                <w:spacing w:val="0"/>
                <w:w w:val="100"/>
                <w:position w:val="0"/>
                <w:sz w:val="20"/>
                <w:szCs w:val="20"/>
              </w:rPr>
              <w:t>政府经济补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783,613.00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783,613.00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144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240" w:right="0" w:firstLine="0"/>
              <w:jc w:val="both"/>
              <w:rPr>
                <w:sz w:val="20"/>
                <w:szCs w:val="20"/>
              </w:rPr>
            </w:pPr>
            <w:r>
              <w:rPr>
                <w:color w:val="000000"/>
                <w:spacing w:val="0"/>
                <w:w w:val="100"/>
                <w:position w:val="0"/>
                <w:sz w:val="20"/>
                <w:szCs w:val="20"/>
              </w:rPr>
              <w:t>深圳市场监</w:t>
            </w:r>
          </w:p>
          <w:p>
            <w:pPr>
              <w:pStyle w:val="Style2"/>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督管理局</w:t>
            </w:r>
          </w:p>
          <w:p>
            <w:pPr>
              <w:pStyle w:val="Style2"/>
              <w:keepNext w:val="0"/>
              <w:keepLines w:val="0"/>
              <w:widowControl w:val="0"/>
              <w:shd w:val="clear" w:color="auto" w:fill="auto"/>
              <w:bidi w:val="0"/>
              <w:spacing w:before="0" w:after="4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年度标</w:t>
            </w:r>
          </w:p>
          <w:p>
            <w:pPr>
              <w:pStyle w:val="Style2"/>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准领域专项</w:t>
            </w:r>
          </w:p>
          <w:p>
            <w:pPr>
              <w:pStyle w:val="Style2"/>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708,884.00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708,884.00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电费补贴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594,676.00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594,676.00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86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自主创新产</w:t>
            </w:r>
          </w:p>
          <w:p>
            <w:pPr>
              <w:pStyle w:val="Style2"/>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业发展专项</w:t>
            </w:r>
          </w:p>
          <w:p>
            <w:pPr>
              <w:pStyle w:val="Style2"/>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3" w:lineRule="exact"/>
              <w:ind w:left="240" w:right="0" w:firstLine="0"/>
              <w:jc w:val="left"/>
              <w:rPr>
                <w:sz w:val="20"/>
                <w:szCs w:val="20"/>
              </w:rPr>
            </w:pPr>
            <w:r>
              <w:rPr>
                <w:color w:val="000000"/>
                <w:spacing w:val="0"/>
                <w:w w:val="100"/>
                <w:position w:val="0"/>
                <w:sz w:val="20"/>
                <w:szCs w:val="20"/>
              </w:rPr>
              <w:t>政府为就业 支持补助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344,089.62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344,089.62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86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240" w:right="0" w:firstLine="0"/>
              <w:jc w:val="left"/>
              <w:rPr>
                <w:sz w:val="20"/>
                <w:szCs w:val="20"/>
              </w:rPr>
            </w:pPr>
            <w:r>
              <w:rPr>
                <w:color w:val="000000"/>
                <w:spacing w:val="0"/>
                <w:w w:val="100"/>
                <w:position w:val="0"/>
                <w:sz w:val="20"/>
                <w:szCs w:val="20"/>
              </w:rPr>
              <w:t>深圳市科技</w:t>
            </w:r>
          </w:p>
          <w:p>
            <w:pPr>
              <w:pStyle w:val="Style2"/>
              <w:keepNext w:val="0"/>
              <w:keepLines w:val="0"/>
              <w:widowControl w:val="0"/>
              <w:shd w:val="clear" w:color="auto" w:fill="auto"/>
              <w:bidi w:val="0"/>
              <w:spacing w:before="0" w:after="40" w:line="240" w:lineRule="auto"/>
              <w:ind w:left="240" w:right="0" w:firstLine="0"/>
              <w:jc w:val="left"/>
              <w:rPr>
                <w:sz w:val="20"/>
                <w:szCs w:val="20"/>
              </w:rPr>
            </w:pPr>
            <w:r>
              <w:rPr>
                <w:color w:val="000000"/>
                <w:spacing w:val="0"/>
                <w:w w:val="100"/>
                <w:position w:val="0"/>
                <w:sz w:val="20"/>
                <w:szCs w:val="20"/>
              </w:rPr>
              <w:t>创新委员会</w:t>
            </w:r>
          </w:p>
          <w:p>
            <w:pPr>
              <w:pStyle w:val="Style2"/>
              <w:keepNext w:val="0"/>
              <w:keepLines w:val="0"/>
              <w:widowControl w:val="0"/>
              <w:shd w:val="clear" w:color="auto" w:fill="auto"/>
              <w:bidi w:val="0"/>
              <w:spacing w:before="0" w:after="40" w:line="240" w:lineRule="auto"/>
              <w:ind w:left="240" w:right="0" w:firstLine="0"/>
              <w:jc w:val="left"/>
              <w:rPr>
                <w:sz w:val="20"/>
                <w:szCs w:val="20"/>
              </w:rPr>
            </w:pPr>
            <w:r>
              <w:rPr>
                <w:color w:val="000000"/>
                <w:spacing w:val="0"/>
                <w:w w:val="100"/>
                <w:position w:val="0"/>
                <w:sz w:val="20"/>
                <w:szCs w:val="20"/>
              </w:rPr>
              <w:t>研发资助款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145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90"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年自治 区认定新材 料首批次项 目政策兑现 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1498"/>
        <w:gridCol w:w="1555"/>
        <w:gridCol w:w="1421"/>
        <w:gridCol w:w="682"/>
        <w:gridCol w:w="1416"/>
        <w:gridCol w:w="1560"/>
        <w:gridCol w:w="706"/>
        <w:gridCol w:w="715"/>
        <w:gridCol w:w="792"/>
      </w:tblGrid>
      <w:tr>
        <w:trPr>
          <w:trHeight w:val="88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补助项目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b/>
                <w:bCs/>
                <w:color w:val="000000"/>
                <w:spacing w:val="0"/>
                <w:w w:val="100"/>
                <w:position w:val="0"/>
                <w:sz w:val="20"/>
                <w:szCs w:val="20"/>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与资产相关</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与收益相关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6" w:lineRule="exact"/>
              <w:ind w:left="240" w:right="0" w:firstLine="0"/>
              <w:jc w:val="left"/>
              <w:rPr>
                <w:sz w:val="20"/>
                <w:szCs w:val="20"/>
              </w:rPr>
            </w:pPr>
            <w:r>
              <w:rPr>
                <w:b/>
                <w:bCs/>
                <w:color w:val="000000"/>
                <w:spacing w:val="0"/>
                <w:w w:val="100"/>
                <w:position w:val="0"/>
                <w:sz w:val="20"/>
                <w:szCs w:val="20"/>
              </w:rPr>
              <w:t>是否 实际 收到</w:t>
            </w:r>
          </w:p>
        </w:tc>
      </w:tr>
      <w:tr>
        <w:trPr>
          <w:trHeight w:val="11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6" w:lineRule="exact"/>
              <w:ind w:left="200" w:right="0" w:firstLine="0"/>
              <w:jc w:val="both"/>
              <w:rPr>
                <w:sz w:val="20"/>
                <w:szCs w:val="20"/>
              </w:rPr>
            </w:pPr>
            <w:r>
              <w:rPr>
                <w:color w:val="000000"/>
                <w:spacing w:val="0"/>
                <w:w w:val="100"/>
                <w:position w:val="0"/>
                <w:sz w:val="20"/>
                <w:szCs w:val="20"/>
              </w:rPr>
              <w:t>冲减 资产 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营业</w:t>
            </w:r>
          </w:p>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外收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冲减</w:t>
            </w:r>
          </w:p>
          <w:p>
            <w:pPr>
              <w:pStyle w:val="Style2"/>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成本</w:t>
            </w:r>
          </w:p>
          <w:p>
            <w:pPr>
              <w:pStyle w:val="Style2"/>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费用</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240" w:right="0" w:firstLine="0"/>
              <w:jc w:val="both"/>
              <w:rPr>
                <w:sz w:val="20"/>
                <w:szCs w:val="20"/>
              </w:rPr>
            </w:pPr>
            <w:r>
              <w:rPr>
                <w:color w:val="000000"/>
                <w:spacing w:val="0"/>
                <w:w w:val="100"/>
                <w:position w:val="0"/>
                <w:sz w:val="20"/>
                <w:szCs w:val="20"/>
              </w:rPr>
              <w:t>专利支持计 划补助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86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年集成</w:t>
            </w:r>
          </w:p>
          <w:p>
            <w:pPr>
              <w:pStyle w:val="Style2"/>
              <w:keepNext w:val="0"/>
              <w:keepLines w:val="0"/>
              <w:widowControl w:val="0"/>
              <w:shd w:val="clear" w:color="auto" w:fill="auto"/>
              <w:bidi w:val="0"/>
              <w:spacing w:before="0" w:after="0" w:line="283" w:lineRule="exact"/>
              <w:ind w:left="240" w:right="0" w:firstLine="0"/>
              <w:jc w:val="both"/>
              <w:rPr>
                <w:sz w:val="20"/>
                <w:szCs w:val="20"/>
              </w:rPr>
            </w:pPr>
            <w:r>
              <w:rPr>
                <w:color w:val="000000"/>
                <w:spacing w:val="0"/>
                <w:w w:val="100"/>
                <w:position w:val="0"/>
                <w:sz w:val="20"/>
                <w:szCs w:val="20"/>
              </w:rPr>
              <w:t>电路专项资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86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年企业</w:t>
            </w:r>
          </w:p>
          <w:p>
            <w:pPr>
              <w:pStyle w:val="Style2"/>
              <w:keepNext w:val="0"/>
              <w:keepLines w:val="0"/>
              <w:widowControl w:val="0"/>
              <w:shd w:val="clear" w:color="auto" w:fill="auto"/>
              <w:bidi w:val="0"/>
              <w:spacing w:before="0" w:after="0" w:line="283" w:lineRule="exact"/>
              <w:ind w:left="240" w:right="0" w:firstLine="0"/>
              <w:jc w:val="both"/>
              <w:rPr>
                <w:sz w:val="20"/>
                <w:szCs w:val="20"/>
              </w:rPr>
            </w:pPr>
            <w:r>
              <w:rPr>
                <w:color w:val="000000"/>
                <w:spacing w:val="0"/>
                <w:w w:val="100"/>
                <w:position w:val="0"/>
                <w:sz w:val="20"/>
                <w:szCs w:val="20"/>
              </w:rPr>
              <w:t>研究开发资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86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240" w:right="0" w:firstLine="0"/>
              <w:jc w:val="both"/>
              <w:rPr>
                <w:sz w:val="20"/>
                <w:szCs w:val="20"/>
              </w:rPr>
            </w:pPr>
            <w:r>
              <w:rPr>
                <w:color w:val="000000"/>
                <w:spacing w:val="0"/>
                <w:w w:val="100"/>
                <w:position w:val="0"/>
                <w:sz w:val="20"/>
                <w:szCs w:val="20"/>
              </w:rPr>
              <w:t>企业研发投</w:t>
            </w:r>
          </w:p>
          <w:p>
            <w:pPr>
              <w:pStyle w:val="Style2"/>
              <w:keepNext w:val="0"/>
              <w:keepLines w:val="0"/>
              <w:widowControl w:val="0"/>
              <w:shd w:val="clear" w:color="auto" w:fill="auto"/>
              <w:bidi w:val="0"/>
              <w:spacing w:before="0" w:after="40" w:line="240" w:lineRule="auto"/>
              <w:ind w:left="240" w:right="0" w:firstLine="0"/>
              <w:jc w:val="both"/>
              <w:rPr>
                <w:sz w:val="20"/>
                <w:szCs w:val="20"/>
              </w:rPr>
            </w:pPr>
            <w:r>
              <w:rPr>
                <w:color w:val="000000"/>
                <w:spacing w:val="0"/>
                <w:w w:val="100"/>
                <w:position w:val="0"/>
                <w:sz w:val="20"/>
                <w:szCs w:val="20"/>
              </w:rPr>
              <w:t>入支持计划</w:t>
            </w:r>
          </w:p>
          <w:p>
            <w:pPr>
              <w:pStyle w:val="Style2"/>
              <w:keepNext w:val="0"/>
              <w:keepLines w:val="0"/>
              <w:widowControl w:val="0"/>
              <w:shd w:val="clear" w:color="auto" w:fill="auto"/>
              <w:bidi w:val="0"/>
              <w:spacing w:before="0" w:after="40" w:line="240" w:lineRule="auto"/>
              <w:ind w:left="0" w:right="0" w:firstLine="240"/>
              <w:jc w:val="both"/>
              <w:rPr>
                <w:sz w:val="20"/>
                <w:szCs w:val="20"/>
              </w:rPr>
            </w:pPr>
            <w:r>
              <w:rPr>
                <w:color w:val="000000"/>
                <w:spacing w:val="0"/>
                <w:w w:val="100"/>
                <w:position w:val="0"/>
                <w:sz w:val="20"/>
                <w:szCs w:val="20"/>
              </w:rPr>
              <w:t>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115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240"/>
              <w:jc w:val="both"/>
              <w:rPr>
                <w:sz w:val="20"/>
                <w:szCs w:val="20"/>
              </w:rPr>
            </w:pPr>
            <w:r>
              <w:rPr>
                <w:color w:val="000000"/>
                <w:spacing w:val="0"/>
                <w:w w:val="100"/>
                <w:position w:val="0"/>
                <w:sz w:val="20"/>
                <w:szCs w:val="20"/>
              </w:rPr>
              <w:t>国家高新技</w:t>
            </w:r>
          </w:p>
          <w:p>
            <w:pPr>
              <w:pStyle w:val="Style2"/>
              <w:keepNext w:val="0"/>
              <w:keepLines w:val="0"/>
              <w:widowControl w:val="0"/>
              <w:shd w:val="clear" w:color="auto" w:fill="auto"/>
              <w:bidi w:val="0"/>
              <w:spacing w:before="0" w:after="0" w:line="288" w:lineRule="exact"/>
              <w:ind w:left="240" w:right="0" w:firstLine="0"/>
              <w:jc w:val="both"/>
              <w:rPr>
                <w:sz w:val="20"/>
                <w:szCs w:val="20"/>
              </w:rPr>
            </w:pPr>
            <w:r>
              <w:rPr>
                <w:color w:val="000000"/>
                <w:spacing w:val="0"/>
                <w:w w:val="100"/>
                <w:position w:val="0"/>
                <w:sz w:val="20"/>
                <w:szCs w:val="20"/>
              </w:rPr>
              <w:t>术企业倍增 支持计划项 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114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6" w:lineRule="exact"/>
              <w:ind w:left="240" w:right="0" w:firstLine="0"/>
              <w:jc w:val="both"/>
              <w:rPr>
                <w:sz w:val="20"/>
                <w:szCs w:val="20"/>
              </w:rPr>
            </w:pPr>
            <w:r>
              <w:rPr>
                <w:color w:val="000000"/>
                <w:spacing w:val="0"/>
                <w:w w:val="100"/>
                <w:position w:val="0"/>
                <w:sz w:val="20"/>
                <w:szCs w:val="20"/>
              </w:rPr>
              <w:t>集成电路芯 片应用验证 平台项目补 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86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240" w:right="0" w:firstLine="0"/>
              <w:jc w:val="left"/>
              <w:rPr>
                <w:sz w:val="20"/>
                <w:szCs w:val="20"/>
              </w:rPr>
            </w:pPr>
            <w:r>
              <w:rPr>
                <w:color w:val="000000"/>
                <w:spacing w:val="0"/>
                <w:w w:val="100"/>
                <w:position w:val="0"/>
                <w:sz w:val="20"/>
                <w:szCs w:val="20"/>
              </w:rPr>
              <w:t>重点支持企</w:t>
            </w:r>
          </w:p>
          <w:p>
            <w:pPr>
              <w:pStyle w:val="Style2"/>
              <w:keepNext w:val="0"/>
              <w:keepLines w:val="0"/>
              <w:widowControl w:val="0"/>
              <w:shd w:val="clear" w:color="auto" w:fill="auto"/>
              <w:bidi w:val="0"/>
              <w:spacing w:before="0" w:after="40" w:line="240" w:lineRule="auto"/>
              <w:ind w:left="240" w:right="0" w:firstLine="0"/>
              <w:jc w:val="left"/>
              <w:rPr>
                <w:sz w:val="20"/>
                <w:szCs w:val="20"/>
              </w:rPr>
            </w:pPr>
            <w:r>
              <w:rPr>
                <w:color w:val="000000"/>
                <w:spacing w:val="0"/>
                <w:w w:val="100"/>
                <w:position w:val="0"/>
                <w:sz w:val="20"/>
                <w:szCs w:val="20"/>
              </w:rPr>
              <w:t>业经费资助</w:t>
            </w:r>
          </w:p>
          <w:p>
            <w:pPr>
              <w:pStyle w:val="Style2"/>
              <w:keepNext w:val="0"/>
              <w:keepLines w:val="0"/>
              <w:widowControl w:val="0"/>
              <w:shd w:val="clear" w:color="auto" w:fill="auto"/>
              <w:bidi w:val="0"/>
              <w:spacing w:before="0" w:after="40" w:line="240" w:lineRule="auto"/>
              <w:ind w:left="240" w:right="0" w:firstLine="0"/>
              <w:jc w:val="left"/>
              <w:rPr>
                <w:sz w:val="20"/>
                <w:szCs w:val="20"/>
              </w:rPr>
            </w:pPr>
            <w:r>
              <w:rPr>
                <w:color w:val="000000"/>
                <w:spacing w:val="0"/>
                <w:w w:val="100"/>
                <w:position w:val="0"/>
                <w:sz w:val="20"/>
                <w:szCs w:val="20"/>
              </w:rPr>
              <w:t>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143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240" w:right="0" w:firstLine="0"/>
              <w:jc w:val="left"/>
              <w:rPr>
                <w:sz w:val="20"/>
                <w:szCs w:val="20"/>
              </w:rPr>
            </w:pPr>
            <w:r>
              <w:rPr>
                <w:color w:val="000000"/>
                <w:spacing w:val="0"/>
                <w:w w:val="100"/>
                <w:position w:val="0"/>
                <w:sz w:val="20"/>
                <w:szCs w:val="20"/>
              </w:rPr>
              <w:t>深圳工业和 信息化局</w:t>
            </w:r>
          </w:p>
          <w:p>
            <w:pPr>
              <w:pStyle w:val="Style2"/>
              <w:keepNext w:val="0"/>
              <w:keepLines w:val="0"/>
              <w:widowControl w:val="0"/>
              <w:shd w:val="clear" w:color="auto" w:fill="auto"/>
              <w:bidi w:val="0"/>
              <w:spacing w:before="0" w:after="0" w:line="288"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年技改 倍增专项资 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115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5"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年国家 高新技术企 业认定奖补 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34,533.74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34,533.74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143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1" w:lineRule="exact"/>
              <w:ind w:left="240" w:right="0" w:firstLine="0"/>
              <w:jc w:val="both"/>
              <w:rPr>
                <w:sz w:val="20"/>
                <w:szCs w:val="20"/>
              </w:rPr>
            </w:pPr>
            <w:r>
              <w:rPr>
                <w:color w:val="000000"/>
                <w:spacing w:val="0"/>
                <w:w w:val="100"/>
                <w:position w:val="0"/>
                <w:sz w:val="20"/>
                <w:szCs w:val="20"/>
              </w:rPr>
              <w:t>深圳市民营 及中小企业 创新发展培 育扶持计划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25,608.00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25,608.00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88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240" w:right="0" w:firstLine="0"/>
              <w:jc w:val="both"/>
              <w:rPr>
                <w:sz w:val="20"/>
                <w:szCs w:val="20"/>
              </w:rPr>
            </w:pPr>
            <w:r>
              <w:rPr>
                <w:color w:val="000000"/>
                <w:spacing w:val="0"/>
                <w:w w:val="100"/>
                <w:position w:val="0"/>
                <w:sz w:val="20"/>
                <w:szCs w:val="20"/>
              </w:rPr>
              <w:t>南山科创专 利支持计划 资助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1498"/>
        <w:gridCol w:w="1555"/>
        <w:gridCol w:w="1421"/>
        <w:gridCol w:w="682"/>
        <w:gridCol w:w="1416"/>
        <w:gridCol w:w="1560"/>
        <w:gridCol w:w="706"/>
        <w:gridCol w:w="715"/>
        <w:gridCol w:w="792"/>
      </w:tblGrid>
      <w:tr>
        <w:trPr>
          <w:trHeight w:val="88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补助项目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与资产相关</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与收益相关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6" w:lineRule="exact"/>
              <w:ind w:left="0" w:right="0" w:firstLine="0"/>
              <w:jc w:val="right"/>
              <w:rPr>
                <w:sz w:val="20"/>
                <w:szCs w:val="20"/>
              </w:rPr>
            </w:pPr>
            <w:r>
              <w:rPr>
                <w:b/>
                <w:bCs/>
                <w:color w:val="000000"/>
                <w:spacing w:val="0"/>
                <w:w w:val="100"/>
                <w:position w:val="0"/>
                <w:sz w:val="20"/>
                <w:szCs w:val="20"/>
              </w:rPr>
              <w:t>是否 实际 收到</w:t>
            </w:r>
          </w:p>
        </w:tc>
      </w:tr>
      <w:tr>
        <w:trPr>
          <w:trHeight w:val="11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6" w:lineRule="exact"/>
              <w:ind w:left="200" w:right="0" w:firstLine="0"/>
              <w:jc w:val="both"/>
              <w:rPr>
                <w:sz w:val="20"/>
                <w:szCs w:val="20"/>
              </w:rPr>
            </w:pPr>
            <w:r>
              <w:rPr>
                <w:color w:val="000000"/>
                <w:spacing w:val="0"/>
                <w:w w:val="100"/>
                <w:position w:val="0"/>
                <w:sz w:val="20"/>
                <w:szCs w:val="20"/>
              </w:rPr>
              <w:t>冲减 资产 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w:t>
            </w:r>
          </w:p>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外收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冲减</w:t>
            </w:r>
          </w:p>
          <w:p>
            <w:pPr>
              <w:pStyle w:val="Style2"/>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成本</w:t>
            </w:r>
          </w:p>
          <w:p>
            <w:pPr>
              <w:pStyle w:val="Style2"/>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费用</w:t>
            </w:r>
          </w:p>
        </w:tc>
        <w:tc>
          <w:tcPr>
            <w:tcBorders>
              <w:top w:val="single" w:sz="4"/>
              <w:left w:val="single" w:sz="4"/>
            </w:tcBorders>
            <w:shd w:val="clear" w:color="auto" w:fill="FFFFFF"/>
            <w:vAlign w:val="top"/>
          </w:tcPr>
          <w:p>
            <w:pPr>
              <w:widowControl w:val="0"/>
              <w:rPr>
                <w:sz w:val="10"/>
                <w:szCs w:val="10"/>
              </w:rPr>
            </w:pPr>
          </w:p>
        </w:tc>
      </w:tr>
      <w:tr>
        <w:trPr>
          <w:trHeight w:val="114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0"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年企业 技术改造扶 持计划资助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86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南山区企业</w:t>
            </w:r>
          </w:p>
          <w:p>
            <w:pPr>
              <w:pStyle w:val="Style2"/>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专利支持计</w:t>
            </w:r>
          </w:p>
          <w:p>
            <w:pPr>
              <w:pStyle w:val="Style2"/>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划补贴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86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5"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年深圳 市</w:t>
            </w:r>
            <w:r>
              <w:rPr>
                <w:rFonts w:ascii="Times New Roman" w:eastAsia="Times New Roman" w:hAnsi="Times New Roman" w:cs="Times New Roman"/>
                <w:color w:val="000000"/>
                <w:spacing w:val="0"/>
                <w:w w:val="100"/>
                <w:position w:val="0"/>
                <w:sz w:val="22"/>
                <w:szCs w:val="22"/>
              </w:rPr>
              <w:t>PCT</w:t>
            </w:r>
            <w:r>
              <w:rPr>
                <w:color w:val="000000"/>
                <w:spacing w:val="0"/>
                <w:w w:val="100"/>
                <w:position w:val="0"/>
                <w:sz w:val="20"/>
                <w:szCs w:val="20"/>
              </w:rPr>
              <w:t>专利 申请资助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115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5"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年国内 发明专利、国 外发明专利 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114,375.14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114,375.14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是</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b/>
                <w:bCs/>
                <w:color w:val="000000"/>
                <w:spacing w:val="0"/>
                <w:w w:val="100"/>
                <w:position w:val="0"/>
                <w:sz w:val="20"/>
                <w:szCs w:val="20"/>
              </w:rPr>
              <w:t>37,706,094.50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1,200,000.00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35,306,094.50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538"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)计入当期损益的政府补助情况</w:t>
      </w:r>
    </w:p>
    <w:tbl>
      <w:tblPr>
        <w:tblOverlap w:val="never"/>
        <w:jc w:val="left"/>
        <w:tblLayout w:type="fixed"/>
      </w:tblPr>
      <w:tblGrid>
        <w:gridCol w:w="2630"/>
        <w:gridCol w:w="1843"/>
        <w:gridCol w:w="1982"/>
        <w:gridCol w:w="1421"/>
        <w:gridCol w:w="1306"/>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与资产</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收益相关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计入 其他收益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计入 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冲减成本 费用</w:t>
            </w:r>
          </w:p>
        </w:tc>
      </w:tr>
      <w:tr>
        <w:trPr>
          <w:trHeight w:val="461"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递延收益转入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13,101,715.00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302"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年度第一批国家和 省配套项目补助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9,782,100.00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集成电路年专项扶持计</w:t>
            </w:r>
          </w:p>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划资金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2,569,300.00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科技项目资助资金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年企业研发资助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240" w:right="0" w:firstLine="0"/>
              <w:jc w:val="both"/>
              <w:rPr>
                <w:sz w:val="20"/>
                <w:szCs w:val="20"/>
              </w:rPr>
            </w:pPr>
            <w:r>
              <w:rPr>
                <w:color w:val="000000"/>
                <w:spacing w:val="0"/>
                <w:w w:val="100"/>
                <w:position w:val="0"/>
                <w:sz w:val="20"/>
                <w:szCs w:val="20"/>
              </w:rPr>
              <w:t>数字芯片设计的</w:t>
            </w:r>
            <w:r>
              <w:rPr>
                <w:rFonts w:ascii="Times New Roman" w:eastAsia="Times New Roman" w:hAnsi="Times New Roman" w:cs="Times New Roman"/>
                <w:color w:val="000000"/>
                <w:spacing w:val="0"/>
                <w:w w:val="100"/>
                <w:position w:val="0"/>
                <w:sz w:val="22"/>
                <w:szCs w:val="22"/>
              </w:rPr>
              <w:t>EDA</w:t>
            </w:r>
            <w:r>
              <w:rPr>
                <w:color w:val="000000"/>
                <w:spacing w:val="0"/>
                <w:w w:val="100"/>
                <w:position w:val="0"/>
                <w:sz w:val="20"/>
                <w:szCs w:val="20"/>
              </w:rPr>
              <w:t>技 术创新与应用补助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政府经济补助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783,613.00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81" w:lineRule="exact"/>
              <w:ind w:left="240" w:right="0" w:firstLine="0"/>
              <w:jc w:val="left"/>
              <w:rPr>
                <w:sz w:val="20"/>
                <w:szCs w:val="20"/>
              </w:rPr>
            </w:pPr>
            <w:r>
              <w:rPr>
                <w:color w:val="000000"/>
                <w:spacing w:val="0"/>
                <w:w w:val="100"/>
                <w:position w:val="0"/>
                <w:sz w:val="20"/>
                <w:szCs w:val="20"/>
              </w:rPr>
              <w:t xml:space="preserve">深圳市场监督管理局 </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年度标准领域专项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708,884.00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36" w:right="633" w:bottom="1599" w:left="847" w:header="0" w:footer="3" w:gutter="0"/>
          <w:cols w:space="720"/>
          <w:noEndnote/>
          <w:rtlGutter w:val="0"/>
          <w:docGrid w:linePitch="360"/>
        </w:sectPr>
      </w:pPr>
    </w:p>
    <w:tbl>
      <w:tblPr>
        <w:tblOverlap w:val="never"/>
        <w:jc w:val="center"/>
        <w:tblLayout w:type="fixed"/>
      </w:tblPr>
      <w:tblGrid>
        <w:gridCol w:w="2630"/>
        <w:gridCol w:w="1843"/>
        <w:gridCol w:w="1982"/>
        <w:gridCol w:w="1421"/>
        <w:gridCol w:w="1306"/>
      </w:tblGrid>
      <w:tr>
        <w:trPr>
          <w:trHeight w:val="60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20"/>
                <w:szCs w:val="20"/>
              </w:rPr>
            </w:pPr>
            <w:r>
              <w:rPr>
                <w:b/>
                <w:bCs/>
                <w:color w:val="000000"/>
                <w:spacing w:val="0"/>
                <w:w w:val="100"/>
                <w:position w:val="0"/>
                <w:sz w:val="20"/>
                <w:szCs w:val="20"/>
              </w:rPr>
              <w:t>与资产</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收益相关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计入 其他收益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计入 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冲减成本 费用</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电费补贴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594,676.00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3" w:lineRule="exact"/>
              <w:ind w:left="240" w:right="0" w:firstLine="0"/>
              <w:jc w:val="left"/>
              <w:rPr>
                <w:sz w:val="20"/>
                <w:szCs w:val="20"/>
              </w:rPr>
            </w:pPr>
            <w:r>
              <w:rPr>
                <w:color w:val="000000"/>
                <w:spacing w:val="0"/>
                <w:w w:val="100"/>
                <w:position w:val="0"/>
                <w:sz w:val="20"/>
                <w:szCs w:val="20"/>
              </w:rPr>
              <w:t>自主创新产业发展专项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543,500.00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政府为就业支持补助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344,089.62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240" w:right="0" w:firstLine="0"/>
              <w:jc w:val="left"/>
              <w:rPr>
                <w:sz w:val="20"/>
                <w:szCs w:val="20"/>
              </w:rPr>
            </w:pPr>
            <w:r>
              <w:rPr>
                <w:color w:val="000000"/>
                <w:spacing w:val="0"/>
                <w:w w:val="100"/>
                <w:position w:val="0"/>
                <w:sz w:val="20"/>
                <w:szCs w:val="20"/>
              </w:rPr>
              <w:t>深圳市科技创新委员会 研发资助款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5"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年自治区认定新材 料首批次项目政策兑现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专利支持计划补助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年集成电路专项资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年企业研究开发资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4" w:lineRule="exact"/>
              <w:ind w:left="240" w:right="0" w:firstLine="0"/>
              <w:jc w:val="left"/>
              <w:rPr>
                <w:sz w:val="20"/>
                <w:szCs w:val="20"/>
              </w:rPr>
            </w:pPr>
            <w:r>
              <w:rPr>
                <w:color w:val="000000"/>
                <w:spacing w:val="0"/>
                <w:w w:val="100"/>
                <w:position w:val="0"/>
                <w:sz w:val="20"/>
                <w:szCs w:val="20"/>
              </w:rPr>
              <w:t>企业研发投入支持计划 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240" w:right="0" w:firstLine="0"/>
              <w:jc w:val="left"/>
              <w:rPr>
                <w:sz w:val="20"/>
                <w:szCs w:val="20"/>
              </w:rPr>
            </w:pPr>
            <w:r>
              <w:rPr>
                <w:color w:val="000000"/>
                <w:spacing w:val="0"/>
                <w:w w:val="100"/>
                <w:position w:val="0"/>
                <w:sz w:val="20"/>
                <w:szCs w:val="20"/>
              </w:rPr>
              <w:t>国家高新技术企业倍增 支持计划项目补助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240" w:right="0" w:firstLine="0"/>
              <w:jc w:val="left"/>
              <w:rPr>
                <w:sz w:val="20"/>
                <w:szCs w:val="20"/>
              </w:rPr>
            </w:pPr>
            <w:r>
              <w:rPr>
                <w:color w:val="000000"/>
                <w:spacing w:val="0"/>
                <w:w w:val="100"/>
                <w:position w:val="0"/>
                <w:sz w:val="20"/>
                <w:szCs w:val="20"/>
              </w:rPr>
              <w:t>集成电路芯片应用验证 平台项目补助资金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重点支持企业经费资助</w:t>
            </w:r>
          </w:p>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1" w:lineRule="exact"/>
              <w:ind w:left="240" w:right="0" w:firstLine="0"/>
              <w:jc w:val="left"/>
              <w:rPr>
                <w:sz w:val="20"/>
                <w:szCs w:val="20"/>
              </w:rPr>
            </w:pPr>
            <w:r>
              <w:rPr>
                <w:color w:val="000000"/>
                <w:spacing w:val="0"/>
                <w:w w:val="100"/>
                <w:position w:val="0"/>
                <w:sz w:val="20"/>
                <w:szCs w:val="20"/>
              </w:rPr>
              <w:t xml:space="preserve">深圳工业和信息化局 </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年技改倍增专项资 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年国家高新技术企 业认定奖补资金项目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34,533.74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6" w:lineRule="exact"/>
              <w:ind w:left="240" w:right="0" w:firstLine="0"/>
              <w:jc w:val="left"/>
              <w:rPr>
                <w:sz w:val="20"/>
                <w:szCs w:val="20"/>
              </w:rPr>
            </w:pPr>
            <w:r>
              <w:rPr>
                <w:color w:val="000000"/>
                <w:spacing w:val="0"/>
                <w:w w:val="100"/>
                <w:position w:val="0"/>
                <w:sz w:val="20"/>
                <w:szCs w:val="20"/>
              </w:rPr>
              <w:t>深圳市民营及中小企业 创新发展培育扶持计划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25,608.00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8" w:lineRule="exact"/>
              <w:ind w:left="240" w:right="0" w:firstLine="0"/>
              <w:jc w:val="left"/>
              <w:rPr>
                <w:sz w:val="20"/>
                <w:szCs w:val="20"/>
              </w:rPr>
            </w:pPr>
            <w:r>
              <w:rPr>
                <w:color w:val="000000"/>
                <w:spacing w:val="0"/>
                <w:w w:val="100"/>
                <w:position w:val="0"/>
                <w:sz w:val="20"/>
                <w:szCs w:val="20"/>
              </w:rPr>
              <w:t>南山科创专利支持计划 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年企业技术改造扶 持计划资助金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left"/>
              <w:rPr>
                <w:sz w:val="20"/>
                <w:szCs w:val="20"/>
              </w:rPr>
            </w:pPr>
            <w:r>
              <w:rPr>
                <w:color w:val="000000"/>
                <w:spacing w:val="0"/>
                <w:w w:val="100"/>
                <w:position w:val="0"/>
                <w:sz w:val="20"/>
                <w:szCs w:val="20"/>
              </w:rPr>
              <w:t>南山区企业专利支持计 划补贴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307"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年深圳市</w:t>
            </w:r>
            <w:r>
              <w:rPr>
                <w:rFonts w:ascii="Times New Roman" w:eastAsia="Times New Roman" w:hAnsi="Times New Roman" w:cs="Times New Roman"/>
                <w:color w:val="000000"/>
                <w:spacing w:val="0"/>
                <w:w w:val="100"/>
                <w:position w:val="0"/>
                <w:sz w:val="22"/>
                <w:szCs w:val="22"/>
              </w:rPr>
              <w:t>PCT</w:t>
            </w:r>
            <w:r>
              <w:rPr>
                <w:color w:val="000000"/>
                <w:spacing w:val="0"/>
                <w:w w:val="100"/>
                <w:position w:val="0"/>
                <w:sz w:val="20"/>
                <w:szCs w:val="20"/>
              </w:rPr>
              <w:t>专利 申请资助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307" w:lineRule="exact"/>
              <w:ind w:left="24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年国内发明专利、 国外发明专利资助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与收益相关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114,375.14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36" w:right="1666" w:bottom="1436" w:left="1052" w:header="0" w:footer="3" w:gutter="0"/>
          <w:cols w:space="720"/>
          <w:noEndnote/>
          <w:rtlGutter w:val="0"/>
          <w:docGrid w:linePitch="360"/>
        </w:sectPr>
      </w:pPr>
    </w:p>
    <w:tbl>
      <w:tblPr>
        <w:tblOverlap w:val="never"/>
        <w:jc w:val="center"/>
        <w:tblLayout w:type="fixed"/>
      </w:tblPr>
      <w:tblGrid>
        <w:gridCol w:w="2630"/>
        <w:gridCol w:w="1843"/>
        <w:gridCol w:w="1982"/>
        <w:gridCol w:w="1421"/>
        <w:gridCol w:w="1306"/>
      </w:tblGrid>
      <w:tr>
        <w:trPr>
          <w:trHeight w:val="60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与资产</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收益相关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计入 其他收益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计入 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冲减成本 费用</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36,635,924.89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8" w:right="0" w:firstLine="0"/>
        <w:jc w:val="left"/>
        <w:rPr>
          <w:sz w:val="22"/>
          <w:szCs w:val="22"/>
        </w:rPr>
      </w:pPr>
      <w:r>
        <w:rPr>
          <w:b/>
          <w:bCs/>
          <w:color w:val="000000"/>
          <w:spacing w:val="0"/>
          <w:w w:val="100"/>
          <w:position w:val="0"/>
          <w:sz w:val="22"/>
          <w:szCs w:val="22"/>
        </w:rPr>
        <w:t>六、合并范围的变更</w:t>
      </w:r>
    </w:p>
    <w:p>
      <w:pPr>
        <w:widowControl w:val="0"/>
        <w:spacing w:after="339" w:line="1" w:lineRule="exact"/>
      </w:pPr>
    </w:p>
    <w:p>
      <w:pPr>
        <w:pStyle w:val="Style30"/>
        <w:keepNext w:val="0"/>
        <w:keepLines w:val="0"/>
        <w:widowControl w:val="0"/>
        <w:shd w:val="clear" w:color="auto" w:fill="auto"/>
        <w:bidi w:val="0"/>
        <w:spacing w:before="0" w:after="0" w:line="240" w:lineRule="auto"/>
        <w:ind w:left="67" w:right="0" w:firstLine="0"/>
        <w:jc w:val="left"/>
        <w:rPr>
          <w:sz w:val="22"/>
          <w:szCs w:val="22"/>
        </w:rPr>
      </w:pP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、新设子公司</w:t>
      </w:r>
    </w:p>
    <w:tbl>
      <w:tblPr>
        <w:tblOverlap w:val="never"/>
        <w:jc w:val="center"/>
        <w:tblLayout w:type="fixed"/>
      </w:tblPr>
      <w:tblGrid>
        <w:gridCol w:w="3557"/>
        <w:gridCol w:w="1618"/>
        <w:gridCol w:w="1709"/>
        <w:gridCol w:w="2107"/>
      </w:tblGrid>
      <w:tr>
        <w:trPr>
          <w:trHeight w:val="9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注册资本 （万元）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出资比例</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广东国民新能源科技有限公司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投资设立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30"/>
        <w:keepNext w:val="0"/>
        <w:keepLines w:val="0"/>
        <w:widowControl w:val="0"/>
        <w:shd w:val="clear" w:color="auto" w:fill="auto"/>
        <w:bidi w:val="0"/>
        <w:spacing w:before="0" w:after="0" w:line="240" w:lineRule="auto"/>
        <w:ind w:left="53" w:right="0" w:firstLine="0"/>
        <w:jc w:val="left"/>
        <w:rPr>
          <w:sz w:val="22"/>
          <w:szCs w:val="22"/>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、处置子公司</w:t>
      </w:r>
    </w:p>
    <w:p>
      <w:pPr>
        <w:widowControl w:val="0"/>
        <w:spacing w:after="399" w:line="1" w:lineRule="exact"/>
      </w:pPr>
    </w:p>
    <w:p>
      <w:pPr>
        <w:pStyle w:val="Style74"/>
        <w:keepNext w:val="0"/>
        <w:keepLines w:val="0"/>
        <w:widowControl w:val="0"/>
        <w:shd w:val="clear" w:color="auto" w:fill="auto"/>
        <w:bidi w:val="0"/>
        <w:spacing w:before="0" w:after="200" w:line="240" w:lineRule="auto"/>
        <w:ind w:left="0" w:right="0" w:firstLine="5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Nations Holdings Limited</w:t>
      </w: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日清算完毕，完成注销。</w:t>
      </w:r>
    </w:p>
    <w:p>
      <w:pPr>
        <w:pStyle w:val="Style13"/>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）江西斯诺石墨新材料有限公司于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日经抚州高新技术产业开发区市场监督管 </w:t>
      </w:r>
      <w:r>
        <w:rPr>
          <w:color w:val="000000"/>
          <w:spacing w:val="0"/>
          <w:w w:val="100"/>
          <w:position w:val="0"/>
        </w:rPr>
        <w:t>理局准予注销登记。</w:t>
      </w:r>
    </w:p>
    <w:p>
      <w:pPr>
        <w:pStyle w:val="Style13"/>
        <w:keepNext w:val="0"/>
        <w:keepLines w:val="0"/>
        <w:widowControl w:val="0"/>
        <w:shd w:val="clear" w:color="auto" w:fill="auto"/>
        <w:bidi w:val="0"/>
        <w:spacing w:before="0" w:after="460" w:line="240" w:lineRule="auto"/>
        <w:ind w:left="0" w:right="0" w:firstLine="520"/>
        <w:jc w:val="left"/>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3</w:t>
      </w:r>
      <w:r>
        <w:rPr>
          <w:color w:val="000000"/>
          <w:spacing w:val="0"/>
          <w:w w:val="100"/>
          <w:position w:val="0"/>
        </w:rPr>
        <w:t>）陕西斯诺新材料科技有限公司于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日经韩城市市场监督管理局准予注销登 </w:t>
      </w:r>
      <w:r>
        <w:rPr>
          <w:color w:val="000000"/>
          <w:spacing w:val="0"/>
          <w:w w:val="100"/>
          <w:position w:val="0"/>
        </w:rPr>
        <w:t>记。</w:t>
      </w:r>
    </w:p>
    <w:p>
      <w:pPr>
        <w:pStyle w:val="Style33"/>
        <w:keepNext/>
        <w:keepLines/>
        <w:widowControl w:val="0"/>
        <w:shd w:val="clear" w:color="auto" w:fill="auto"/>
        <w:bidi w:val="0"/>
        <w:spacing w:before="0" w:after="34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七</w:t>
      </w:r>
      <w:bookmarkEnd w:id="947"/>
      <w:r>
        <w:rPr>
          <w:color w:val="000000"/>
          <w:spacing w:val="0"/>
          <w:w w:val="100"/>
          <w:position w:val="0"/>
        </w:rPr>
        <w:t>、在其他主体中的权益</w:t>
      </w:r>
      <w:bookmarkEnd w:id="945"/>
      <w:bookmarkEnd w:id="946"/>
      <w:bookmarkEnd w:id="948"/>
    </w:p>
    <w:p>
      <w:pPr>
        <w:pStyle w:val="Style37"/>
        <w:keepNext/>
        <w:keepLines/>
        <w:widowControl w:val="0"/>
        <w:shd w:val="clear" w:color="auto" w:fill="auto"/>
        <w:bidi w:val="0"/>
        <w:spacing w:before="0" w:after="400" w:line="240" w:lineRule="auto"/>
        <w:ind w:left="0" w:right="0" w:firstLine="0"/>
        <w:jc w:val="left"/>
      </w:pPr>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949"/>
      <w:bookmarkEnd w:id="950"/>
      <w:bookmarkEnd w:id="951"/>
    </w:p>
    <w:p>
      <w:pPr>
        <w:pStyle w:val="Style30"/>
        <w:keepNext w:val="0"/>
        <w:keepLines w:val="0"/>
        <w:widowControl w:val="0"/>
        <w:shd w:val="clear" w:color="auto" w:fill="auto"/>
        <w:bidi w:val="0"/>
        <w:spacing w:before="0" w:after="0" w:line="240" w:lineRule="auto"/>
        <w:ind w:left="538"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）企业集团的构成</w:t>
      </w:r>
    </w:p>
    <w:tbl>
      <w:tblPr>
        <w:tblOverlap w:val="never"/>
        <w:jc w:val="center"/>
        <w:tblLayout w:type="fixed"/>
      </w:tblPr>
      <w:tblGrid>
        <w:gridCol w:w="2630"/>
        <w:gridCol w:w="994"/>
        <w:gridCol w:w="989"/>
        <w:gridCol w:w="1421"/>
        <w:gridCol w:w="850"/>
        <w:gridCol w:w="850"/>
        <w:gridCol w:w="1594"/>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主要经 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r>
              <w:rPr>
                <w:b/>
                <w:bCs/>
                <w:color w:val="000000"/>
                <w:spacing w:val="0"/>
                <w:w w:val="100"/>
                <w:position w:val="0"/>
                <w:sz w:val="20"/>
                <w:szCs w:val="20"/>
              </w:rPr>
              <w:t>％</w:t>
            </w:r>
            <w:r>
              <w:rPr>
                <w:b/>
                <w:bCs/>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取得方式</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间接</w:t>
            </w:r>
          </w:p>
        </w:tc>
        <w:tc>
          <w:tcPr>
            <w:vMerge/>
            <w:tcBorders>
              <w:left w:val="single" w:sz="4"/>
            </w:tcBorders>
            <w:shd w:val="clear" w:color="auto" w:fill="FFFFFF"/>
            <w:vAlign w:val="center"/>
          </w:tcPr>
          <w:p>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国民科技（深圳）有限公</w:t>
            </w:r>
          </w:p>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280"/>
              <w:jc w:val="both"/>
              <w:rPr>
                <w:sz w:val="20"/>
                <w:szCs w:val="20"/>
              </w:rPr>
            </w:pPr>
            <w:r>
              <w:rPr>
                <w:color w:val="000000"/>
                <w:spacing w:val="0"/>
                <w:w w:val="100"/>
                <w:position w:val="0"/>
                <w:sz w:val="20"/>
                <w:szCs w:val="20"/>
              </w:rPr>
              <w:t>智能产品研</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发及销售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非同一控制下</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民昇智能（深圳）有限公</w:t>
            </w:r>
          </w:p>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280"/>
              <w:jc w:val="both"/>
              <w:rPr>
                <w:sz w:val="20"/>
                <w:szCs w:val="20"/>
              </w:rPr>
            </w:pPr>
            <w:r>
              <w:rPr>
                <w:color w:val="000000"/>
                <w:spacing w:val="0"/>
                <w:w w:val="100"/>
                <w:position w:val="0"/>
                <w:sz w:val="20"/>
                <w:szCs w:val="20"/>
              </w:rPr>
              <w:t>智能产品研</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发及销售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投资设立</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国民技术（香港）有限公</w:t>
            </w:r>
          </w:p>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投资设立</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9" w:lineRule="exact"/>
              <w:ind w:left="240" w:right="0" w:firstLine="0"/>
              <w:jc w:val="left"/>
              <w:rPr>
                <w:sz w:val="20"/>
                <w:szCs w:val="20"/>
              </w:rPr>
            </w:pPr>
            <w:r>
              <w:rPr>
                <w:color w:val="000000"/>
                <w:spacing w:val="0"/>
                <w:w w:val="100"/>
                <w:position w:val="0"/>
                <w:sz w:val="20"/>
                <w:szCs w:val="20"/>
              </w:rPr>
              <w:t>深圳前海国民投资管理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投资设立</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9" w:lineRule="exact"/>
              <w:ind w:left="240" w:right="0" w:firstLine="0"/>
              <w:jc w:val="left"/>
              <w:rPr>
                <w:sz w:val="20"/>
                <w:szCs w:val="20"/>
              </w:rPr>
            </w:pPr>
            <w:r>
              <w:rPr>
                <w:color w:val="000000"/>
                <w:spacing w:val="0"/>
                <w:w w:val="100"/>
                <w:position w:val="0"/>
                <w:sz w:val="20"/>
                <w:szCs w:val="20"/>
              </w:rPr>
              <w:t>福建省星民智联科技有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福建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280"/>
              <w:jc w:val="both"/>
              <w:rPr>
                <w:sz w:val="20"/>
                <w:szCs w:val="20"/>
              </w:rPr>
            </w:pPr>
            <w:r>
              <w:rPr>
                <w:color w:val="000000"/>
                <w:spacing w:val="0"/>
                <w:w w:val="100"/>
                <w:position w:val="0"/>
                <w:sz w:val="20"/>
                <w:szCs w:val="20"/>
              </w:rPr>
              <w:t>运营及软件</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投资设立</w:t>
            </w:r>
          </w:p>
        </w:tc>
      </w:tr>
      <w:tr>
        <w:trPr>
          <w:trHeight w:val="566"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Nations Technologies</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rPr>
              <w:t>USA</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投资设立</w:t>
            </w:r>
          </w:p>
        </w:tc>
      </w:tr>
    </w:tbl>
    <w:p>
      <w:pPr>
        <w:spacing w:lineRule="exact" w:line="1"/>
        <w:rPr>
          <w:sz w:val="2"/>
          <w:szCs w:val="2"/>
        </w:rPr>
      </w:pPr>
      <w:r>
        <w:br w:type="page"/>
      </w:r>
    </w:p>
    <w:tbl>
      <w:tblPr>
        <w:tblOverlap w:val="never"/>
        <w:jc w:val="center"/>
        <w:tblLayout w:type="fixed"/>
      </w:tblPr>
      <w:tblGrid>
        <w:gridCol w:w="2630"/>
        <w:gridCol w:w="994"/>
        <w:gridCol w:w="989"/>
        <w:gridCol w:w="1421"/>
        <w:gridCol w:w="850"/>
        <w:gridCol w:w="850"/>
        <w:gridCol w:w="1594"/>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主要经 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r>
              <w:rPr>
                <w:b/>
                <w:bCs/>
                <w:color w:val="000000"/>
                <w:spacing w:val="0"/>
                <w:w w:val="100"/>
                <w:position w:val="0"/>
                <w:sz w:val="20"/>
                <w:szCs w:val="20"/>
              </w:rPr>
              <w:t>％</w:t>
            </w:r>
            <w:r>
              <w:rPr>
                <w:b/>
                <w:bCs/>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取得方式</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间接</w:t>
            </w:r>
          </w:p>
        </w:tc>
        <w:tc>
          <w:tcPr>
            <w:vMerge/>
            <w:tcBorders>
              <w:left w:val="single" w:sz="4"/>
            </w:tcBorders>
            <w:shd w:val="clear" w:color="auto" w:fill="FFFFFF"/>
            <w:vAlign w:val="center"/>
          </w:tcPr>
          <w:p>
            <w:pPr/>
          </w:p>
        </w:tc>
      </w:tr>
      <w:tr>
        <w:trPr>
          <w:trHeight w:val="5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Nations Innovation</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Technologies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芯片研发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 w:right="0" w:firstLine="0"/>
              <w:jc w:val="left"/>
              <w:rPr>
                <w:sz w:val="20"/>
                <w:szCs w:val="20"/>
              </w:rPr>
            </w:pPr>
            <w:r>
              <w:rPr>
                <w:color w:val="000000"/>
                <w:spacing w:val="0"/>
                <w:w w:val="100"/>
                <w:position w:val="0"/>
                <w:sz w:val="20"/>
                <w:szCs w:val="20"/>
              </w:rPr>
              <w:t>投资设立</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8" w:lineRule="exact"/>
              <w:ind w:left="240" w:right="0" w:firstLine="0"/>
              <w:jc w:val="left"/>
              <w:rPr>
                <w:sz w:val="20"/>
                <w:szCs w:val="20"/>
              </w:rPr>
            </w:pPr>
            <w:r>
              <w:rPr>
                <w:color w:val="000000"/>
                <w:spacing w:val="0"/>
                <w:w w:val="100"/>
                <w:position w:val="0"/>
                <w:sz w:val="20"/>
                <w:szCs w:val="20"/>
              </w:rPr>
              <w:t>广东国民新能源科技有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 w:right="0" w:firstLine="0"/>
              <w:jc w:val="left"/>
              <w:rPr>
                <w:sz w:val="20"/>
                <w:szCs w:val="20"/>
              </w:rPr>
            </w:pPr>
            <w:r>
              <w:rPr>
                <w:color w:val="000000"/>
                <w:spacing w:val="0"/>
                <w:w w:val="100"/>
                <w:position w:val="0"/>
                <w:sz w:val="20"/>
                <w:szCs w:val="20"/>
              </w:rPr>
              <w:t>投资设立</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8" w:lineRule="exact"/>
              <w:ind w:left="240" w:right="0" w:firstLine="0"/>
              <w:jc w:val="left"/>
              <w:rPr>
                <w:sz w:val="20"/>
                <w:szCs w:val="20"/>
              </w:rPr>
            </w:pPr>
            <w:r>
              <w:rPr>
                <w:color w:val="000000"/>
                <w:spacing w:val="0"/>
                <w:w w:val="100"/>
                <w:position w:val="0"/>
                <w:sz w:val="20"/>
                <w:szCs w:val="20"/>
              </w:rPr>
              <w:t>深圳市斯诺实业发展有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200" w:right="0" w:firstLine="0"/>
              <w:jc w:val="left"/>
              <w:rPr>
                <w:sz w:val="20"/>
                <w:szCs w:val="20"/>
              </w:rPr>
            </w:pPr>
            <w:r>
              <w:rPr>
                <w:color w:val="000000"/>
                <w:spacing w:val="0"/>
                <w:w w:val="100"/>
                <w:position w:val="0"/>
                <w:sz w:val="20"/>
                <w:szCs w:val="20"/>
              </w:rPr>
              <w:t>非同一控制下 企业合并</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4" w:lineRule="exact"/>
              <w:ind w:left="240" w:right="0" w:firstLine="0"/>
              <w:jc w:val="left"/>
              <w:rPr>
                <w:sz w:val="20"/>
                <w:szCs w:val="20"/>
              </w:rPr>
            </w:pPr>
            <w:r>
              <w:rPr>
                <w:color w:val="000000"/>
                <w:spacing w:val="0"/>
                <w:w w:val="100"/>
                <w:position w:val="0"/>
                <w:sz w:val="20"/>
                <w:szCs w:val="20"/>
              </w:rPr>
              <w:t>内蒙古斯诺新材料科技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内蒙古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内蒙古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200" w:right="0" w:firstLine="0"/>
              <w:jc w:val="left"/>
              <w:rPr>
                <w:sz w:val="20"/>
                <w:szCs w:val="20"/>
              </w:rPr>
            </w:pPr>
            <w:r>
              <w:rPr>
                <w:color w:val="000000"/>
                <w:spacing w:val="0"/>
                <w:w w:val="100"/>
                <w:position w:val="0"/>
                <w:sz w:val="20"/>
                <w:szCs w:val="20"/>
              </w:rPr>
              <w:t>非同一控制下 企业合并</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9" w:lineRule="exact"/>
              <w:ind w:left="240" w:right="0" w:firstLine="0"/>
              <w:jc w:val="left"/>
              <w:rPr>
                <w:sz w:val="20"/>
                <w:szCs w:val="20"/>
              </w:rPr>
            </w:pPr>
            <w:r>
              <w:rPr>
                <w:color w:val="000000"/>
                <w:spacing w:val="0"/>
                <w:w w:val="100"/>
                <w:position w:val="0"/>
                <w:sz w:val="20"/>
                <w:szCs w:val="20"/>
              </w:rPr>
              <w:t>江西斯诺新能源有限公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200" w:right="0" w:firstLine="0"/>
              <w:jc w:val="left"/>
              <w:rPr>
                <w:sz w:val="20"/>
                <w:szCs w:val="20"/>
              </w:rPr>
            </w:pPr>
            <w:r>
              <w:rPr>
                <w:color w:val="000000"/>
                <w:spacing w:val="0"/>
                <w:w w:val="100"/>
                <w:position w:val="0"/>
                <w:sz w:val="20"/>
                <w:szCs w:val="20"/>
              </w:rPr>
              <w:t>非同一控制下 企业合并</w:t>
            </w:r>
          </w:p>
        </w:tc>
      </w:tr>
      <w:tr>
        <w:trPr>
          <w:trHeight w:val="60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240" w:right="0" w:firstLine="0"/>
              <w:jc w:val="left"/>
              <w:rPr>
                <w:sz w:val="20"/>
                <w:szCs w:val="20"/>
              </w:rPr>
            </w:pPr>
            <w:r>
              <w:rPr>
                <w:color w:val="000000"/>
                <w:spacing w:val="0"/>
                <w:w w:val="100"/>
                <w:position w:val="0"/>
                <w:sz w:val="20"/>
                <w:szCs w:val="20"/>
              </w:rPr>
              <w:t>山西深斯诺新材料有限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临汾市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临汾市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制造业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200" w:right="0" w:firstLine="0"/>
              <w:jc w:val="left"/>
              <w:rPr>
                <w:sz w:val="20"/>
                <w:szCs w:val="20"/>
              </w:rPr>
            </w:pPr>
            <w:r>
              <w:rPr>
                <w:color w:val="000000"/>
                <w:spacing w:val="0"/>
                <w:w w:val="100"/>
                <w:position w:val="0"/>
                <w:sz w:val="20"/>
                <w:szCs w:val="20"/>
              </w:rPr>
              <w:t>非同一控制下 企业合并</w:t>
            </w:r>
          </w:p>
        </w:tc>
      </w:tr>
    </w:tbl>
    <w:p>
      <w:pPr>
        <w:pStyle w:val="Style30"/>
        <w:keepNext w:val="0"/>
        <w:keepLines w:val="0"/>
        <w:widowControl w:val="0"/>
        <w:shd w:val="clear" w:color="auto" w:fill="auto"/>
        <w:bidi w:val="0"/>
        <w:spacing w:before="0" w:after="0" w:line="240" w:lineRule="auto"/>
        <w:ind w:left="538"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）重要的非全资子公司</w:t>
      </w:r>
    </w:p>
    <w:p>
      <w:pPr>
        <w:widowControl w:val="0"/>
        <w:spacing w:after="59" w:line="1" w:lineRule="exact"/>
      </w:pPr>
    </w:p>
    <w:tbl>
      <w:tblPr>
        <w:tblOverlap w:val="never"/>
        <w:jc w:val="center"/>
        <w:tblLayout w:type="fixed"/>
      </w:tblPr>
      <w:tblGrid>
        <w:gridCol w:w="3053"/>
        <w:gridCol w:w="1421"/>
        <w:gridCol w:w="1560"/>
        <w:gridCol w:w="1555"/>
        <w:gridCol w:w="1738"/>
      </w:tblGrid>
      <w:tr>
        <w:trPr>
          <w:trHeight w:val="8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1" w:lineRule="exact"/>
              <w:ind w:left="0" w:right="0" w:firstLine="0"/>
              <w:jc w:val="center"/>
              <w:rPr>
                <w:sz w:val="20"/>
                <w:szCs w:val="20"/>
              </w:rPr>
            </w:pPr>
            <w:r>
              <w:rPr>
                <w:b/>
                <w:bCs/>
                <w:color w:val="000000"/>
                <w:spacing w:val="0"/>
                <w:w w:val="100"/>
                <w:position w:val="0"/>
                <w:sz w:val="20"/>
                <w:szCs w:val="20"/>
              </w:rPr>
              <w:t>少数股东的 持股比例 （</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rPr>
                <w:sz w:val="20"/>
                <w:szCs w:val="20"/>
              </w:rPr>
            </w:pPr>
            <w:r>
              <w:rPr>
                <w:b/>
                <w:bCs/>
                <w:color w:val="000000"/>
                <w:spacing w:val="0"/>
                <w:w w:val="100"/>
                <w:position w:val="0"/>
                <w:sz w:val="20"/>
                <w:szCs w:val="20"/>
              </w:rPr>
              <w:t>本年归属于少</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数股东的损益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right"/>
              <w:rPr>
                <w:sz w:val="20"/>
                <w:szCs w:val="20"/>
              </w:rPr>
            </w:pPr>
            <w:r>
              <w:rPr>
                <w:b/>
                <w:bCs/>
                <w:color w:val="000000"/>
                <w:spacing w:val="0"/>
                <w:w w:val="100"/>
                <w:position w:val="0"/>
                <w:sz w:val="20"/>
                <w:szCs w:val="20"/>
              </w:rPr>
              <w:t>本年向少数股 东分派的股利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年末少数股东 权益余额</w:t>
            </w:r>
          </w:p>
        </w:tc>
      </w:tr>
      <w:tr>
        <w:trPr>
          <w:trHeight w:val="60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left"/>
              <w:rPr>
                <w:sz w:val="20"/>
                <w:szCs w:val="20"/>
              </w:rPr>
            </w:pPr>
            <w:r>
              <w:rPr>
                <w:color w:val="000000"/>
                <w:spacing w:val="0"/>
                <w:w w:val="100"/>
                <w:position w:val="0"/>
                <w:sz w:val="20"/>
                <w:szCs w:val="20"/>
              </w:rPr>
              <w:t>内蒙古斯诺新材料科技有限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3,152,775.67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7,617,507.44</w:t>
            </w:r>
          </w:p>
        </w:tc>
      </w:tr>
    </w:tbl>
    <w:p>
      <w:pPr>
        <w:pStyle w:val="Style30"/>
        <w:keepNext w:val="0"/>
        <w:keepLines w:val="0"/>
        <w:widowControl w:val="0"/>
        <w:shd w:val="clear" w:color="auto" w:fill="auto"/>
        <w:bidi w:val="0"/>
        <w:spacing w:before="0" w:after="0" w:line="240" w:lineRule="auto"/>
        <w:ind w:left="538"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）重要的非全资子公司的主要财务信息</w:t>
      </w:r>
    </w:p>
    <w:p>
      <w:pPr>
        <w:widowControl w:val="0"/>
        <w:spacing w:after="59" w:line="1" w:lineRule="exact"/>
      </w:pPr>
    </w:p>
    <w:tbl>
      <w:tblPr>
        <w:tblOverlap w:val="never"/>
        <w:jc w:val="center"/>
        <w:tblLayout w:type="fixed"/>
      </w:tblPr>
      <w:tblGrid>
        <w:gridCol w:w="2957"/>
        <w:gridCol w:w="2410"/>
        <w:gridCol w:w="1982"/>
        <w:gridCol w:w="1944"/>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b/>
                <w:bCs/>
                <w:color w:val="000000"/>
                <w:spacing w:val="0"/>
                <w:w w:val="100"/>
                <w:position w:val="0"/>
                <w:sz w:val="20"/>
                <w:szCs w:val="20"/>
              </w:rPr>
              <w:t>子公司名称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资产合计</w:t>
            </w:r>
          </w:p>
        </w:tc>
      </w:tr>
      <w:tr>
        <w:trPr>
          <w:trHeight w:val="5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left"/>
              <w:rPr>
                <w:sz w:val="20"/>
                <w:szCs w:val="20"/>
              </w:rPr>
            </w:pPr>
            <w:r>
              <w:rPr>
                <w:color w:val="000000"/>
                <w:spacing w:val="0"/>
                <w:w w:val="100"/>
                <w:position w:val="0"/>
                <w:sz w:val="20"/>
                <w:szCs w:val="20"/>
              </w:rPr>
              <w:t>内蒙古斯诺新材料科技有限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303,858,879.41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255,772,092.84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559,630,972.25</w:t>
            </w:r>
          </w:p>
        </w:tc>
      </w:tr>
      <w:tr>
        <w:trPr>
          <w:trHeight w:val="485"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（续）</w:t>
            </w:r>
          </w:p>
        </w:tc>
      </w:tr>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b/>
                <w:bCs/>
                <w:color w:val="000000"/>
                <w:spacing w:val="0"/>
                <w:w w:val="100"/>
                <w:position w:val="0"/>
                <w:sz w:val="20"/>
                <w:szCs w:val="20"/>
              </w:rPr>
              <w:t>子公司名称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资产合计</w:t>
            </w:r>
          </w:p>
        </w:tc>
      </w:tr>
      <w:tr>
        <w:trPr>
          <w:trHeight w:val="60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left"/>
              <w:rPr>
                <w:sz w:val="20"/>
                <w:szCs w:val="20"/>
              </w:rPr>
            </w:pPr>
            <w:r>
              <w:rPr>
                <w:color w:val="000000"/>
                <w:spacing w:val="0"/>
                <w:w w:val="100"/>
                <w:position w:val="0"/>
                <w:sz w:val="20"/>
                <w:szCs w:val="20"/>
              </w:rPr>
              <w:t>内蒙古斯诺新材料科技有限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241,143,620.17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157,154,598.33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398,298,218.50</w:t>
            </w:r>
          </w:p>
        </w:tc>
      </w:tr>
    </w:tbl>
    <w:p>
      <w:pPr>
        <w:widowControl w:val="0"/>
        <w:spacing w:after="459" w:line="1" w:lineRule="exact"/>
      </w:pPr>
    </w:p>
    <w:tbl>
      <w:tblPr>
        <w:tblOverlap w:val="never"/>
        <w:jc w:val="center"/>
        <w:tblLayout w:type="fixed"/>
      </w:tblPr>
      <w:tblGrid>
        <w:gridCol w:w="2957"/>
        <w:gridCol w:w="2126"/>
        <w:gridCol w:w="2126"/>
        <w:gridCol w:w="2083"/>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b/>
                <w:bCs/>
                <w:color w:val="000000"/>
                <w:spacing w:val="0"/>
                <w:w w:val="100"/>
                <w:position w:val="0"/>
                <w:sz w:val="20"/>
                <w:szCs w:val="20"/>
              </w:rPr>
              <w:t>子公司名称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负债合计</w:t>
            </w:r>
          </w:p>
        </w:tc>
      </w:tr>
      <w:tr>
        <w:trPr>
          <w:trHeight w:val="5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left"/>
              <w:rPr>
                <w:sz w:val="20"/>
                <w:szCs w:val="20"/>
              </w:rPr>
            </w:pPr>
            <w:r>
              <w:rPr>
                <w:color w:val="000000"/>
                <w:spacing w:val="0"/>
                <w:w w:val="100"/>
                <w:position w:val="0"/>
                <w:sz w:val="20"/>
                <w:szCs w:val="20"/>
              </w:rPr>
              <w:t>内蒙古斯诺新材料科技有限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366,206,729.51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41,074,093.92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407,280,823.43</w:t>
            </w:r>
          </w:p>
        </w:tc>
      </w:tr>
      <w:tr>
        <w:trPr>
          <w:trHeight w:val="485"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（续）</w:t>
            </w:r>
          </w:p>
        </w:tc>
      </w:tr>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b/>
                <w:bCs/>
                <w:color w:val="000000"/>
                <w:spacing w:val="0"/>
                <w:w w:val="100"/>
                <w:position w:val="0"/>
                <w:sz w:val="20"/>
                <w:szCs w:val="20"/>
              </w:rPr>
              <w:t>子公司名称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47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负债合计</w:t>
            </w:r>
          </w:p>
        </w:tc>
      </w:tr>
    </w:tbl>
    <w:p>
      <w:pPr>
        <w:sectPr>
          <w:footnotePr>
            <w:pos w:val="pageBottom"/>
            <w:numFmt w:val="decimal"/>
            <w:numRestart w:val="continuous"/>
          </w:footnotePr>
          <w:pgSz w:w="11900" w:h="16840"/>
          <w:pgMar w:top="1436" w:right="1363" w:bottom="1638" w:left="999" w:header="0" w:footer="3" w:gutter="0"/>
          <w:cols w:space="720"/>
          <w:noEndnote/>
          <w:rtlGutter w:val="0"/>
          <w:docGrid w:linePitch="360"/>
        </w:sectPr>
      </w:pPr>
    </w:p>
    <w:tbl>
      <w:tblPr>
        <w:tblOverlap w:val="never"/>
        <w:jc w:val="center"/>
        <w:tblLayout w:type="fixed"/>
      </w:tblPr>
      <w:tblGrid>
        <w:gridCol w:w="2386"/>
        <w:gridCol w:w="571"/>
        <w:gridCol w:w="1128"/>
        <w:gridCol w:w="998"/>
        <w:gridCol w:w="629"/>
        <w:gridCol w:w="1498"/>
        <w:gridCol w:w="158"/>
        <w:gridCol w:w="1925"/>
      </w:tblGrid>
      <w:tr>
        <w:trPr>
          <w:trHeight w:val="48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590"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left"/>
              <w:rPr>
                <w:sz w:val="20"/>
                <w:szCs w:val="20"/>
              </w:rPr>
            </w:pPr>
            <w:r>
              <w:rPr>
                <w:color w:val="000000"/>
                <w:spacing w:val="0"/>
                <w:w w:val="100"/>
                <w:position w:val="0"/>
                <w:sz w:val="20"/>
                <w:szCs w:val="20"/>
              </w:rPr>
              <w:t>内蒙古斯诺新材料科技有限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279,127,892.30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23,902,583.70</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303,030,476.00</w:t>
            </w:r>
          </w:p>
        </w:tc>
      </w:tr>
      <w:tr>
        <w:trPr>
          <w:trHeight w:val="485" w:hRule="exact"/>
        </w:trPr>
        <w:tc>
          <w:tcPr>
            <w:gridSpan w:val="8"/>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子公司名称</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r>
      <w:tr>
        <w:trPr>
          <w:trHeight w:val="581"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营业收入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净利润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综合收益总额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经营活动现金 流量</w:t>
            </w:r>
          </w:p>
        </w:tc>
      </w:tr>
      <w:tr>
        <w:trPr>
          <w:trHeight w:val="5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380" w:right="0" w:firstLine="0"/>
              <w:jc w:val="left"/>
              <w:rPr>
                <w:sz w:val="20"/>
                <w:szCs w:val="20"/>
              </w:rPr>
            </w:pPr>
            <w:r>
              <w:rPr>
                <w:color w:val="000000"/>
                <w:spacing w:val="0"/>
                <w:w w:val="100"/>
                <w:position w:val="0"/>
                <w:sz w:val="20"/>
                <w:szCs w:val="20"/>
              </w:rPr>
              <w:t>内蒙古斯诺新材料 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364,757,559.71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47,290,346.20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47,290,346.20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-128,574,247.84</w:t>
            </w:r>
          </w:p>
        </w:tc>
      </w:tr>
      <w:tr>
        <w:trPr>
          <w:trHeight w:val="485" w:hRule="exact"/>
        </w:trPr>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（续）</w:t>
            </w:r>
          </w:p>
        </w:tc>
      </w:tr>
      <w:tr>
        <w:trPr>
          <w:trHeight w:val="47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子公司名称</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57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营业收入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净利润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综合收益总额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经营活动现金 流量</w:t>
            </w:r>
          </w:p>
        </w:tc>
      </w:tr>
      <w:tr>
        <w:trPr>
          <w:trHeight w:val="60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8" w:lineRule="exact"/>
              <w:ind w:left="380" w:right="0" w:firstLine="0"/>
              <w:jc w:val="left"/>
              <w:rPr>
                <w:sz w:val="20"/>
                <w:szCs w:val="20"/>
              </w:rPr>
            </w:pPr>
            <w:r>
              <w:rPr>
                <w:color w:val="000000"/>
                <w:spacing w:val="0"/>
                <w:w w:val="100"/>
                <w:position w:val="0"/>
                <w:sz w:val="20"/>
                <w:szCs w:val="20"/>
              </w:rPr>
              <w:t>内蒙古斯诺新材料 科技有限公司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138,012,793.50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-23,054,957.64</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-23,054,957.64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-48,252,830.48</w:t>
            </w:r>
          </w:p>
        </w:tc>
      </w:tr>
    </w:tbl>
    <w:p>
      <w:pPr>
        <w:widowControl w:val="0"/>
        <w:spacing w:after="99" w:line="1" w:lineRule="exact"/>
      </w:pPr>
    </w:p>
    <w:p>
      <w:pPr>
        <w:pStyle w:val="Style37"/>
        <w:keepNext/>
        <w:keepLines/>
        <w:widowControl w:val="0"/>
        <w:shd w:val="clear" w:color="auto" w:fill="auto"/>
        <w:bidi w:val="0"/>
        <w:spacing w:before="0" w:after="220" w:line="474" w:lineRule="exact"/>
        <w:ind w:left="0" w:right="0" w:firstLine="0"/>
        <w:jc w:val="left"/>
      </w:pPr>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952"/>
      <w:bookmarkEnd w:id="953"/>
      <w:bookmarkEnd w:id="954"/>
    </w:p>
    <w:p>
      <w:pPr>
        <w:pStyle w:val="Style13"/>
        <w:keepNext w:val="0"/>
        <w:keepLines w:val="0"/>
        <w:widowControl w:val="0"/>
        <w:shd w:val="clear" w:color="auto" w:fill="auto"/>
        <w:tabs>
          <w:tab w:pos="952" w:val="left"/>
        </w:tabs>
        <w:bidi w:val="0"/>
        <w:spacing w:before="0" w:after="0" w:line="474" w:lineRule="exact"/>
        <w:ind w:left="0" w:right="0" w:firstLine="440"/>
        <w:jc w:val="left"/>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p>
    <w:p>
      <w:pPr>
        <w:pStyle w:val="Style13"/>
        <w:keepNext w:val="0"/>
        <w:keepLines w:val="0"/>
        <w:widowControl w:val="0"/>
        <w:numPr>
          <w:ilvl w:val="0"/>
          <w:numId w:val="59"/>
        </w:numPr>
        <w:shd w:val="clear" w:color="auto" w:fill="auto"/>
        <w:tabs>
          <w:tab w:pos="851" w:val="left"/>
        </w:tabs>
        <w:bidi w:val="0"/>
        <w:spacing w:before="0" w:after="0" w:line="474" w:lineRule="exact"/>
        <w:ind w:left="0" w:right="0" w:firstLine="440"/>
        <w:jc w:val="left"/>
      </w:pPr>
      <w:bookmarkStart w:id="956" w:name="bookmark956"/>
      <w:bookmarkEnd w:id="956"/>
      <w:r>
        <w:rPr>
          <w:color w:val="000000"/>
          <w:spacing w:val="0"/>
          <w:w w:val="100"/>
          <w:position w:val="0"/>
        </w:rPr>
        <w:t>收购深圳市斯诺实业发展有限公司新增</w:t>
      </w:r>
      <w:r>
        <w:rPr>
          <w:rFonts w:ascii="Times New Roman" w:eastAsia="Times New Roman" w:hAnsi="Times New Roman" w:cs="Times New Roman"/>
          <w:color w:val="000000"/>
          <w:spacing w:val="0"/>
          <w:w w:val="100"/>
          <w:position w:val="0"/>
        </w:rPr>
        <w:t>25%</w:t>
      </w:r>
      <w:r>
        <w:rPr>
          <w:color w:val="000000"/>
          <w:spacing w:val="0"/>
          <w:w w:val="100"/>
          <w:position w:val="0"/>
        </w:rPr>
        <w:t>股权</w:t>
      </w:r>
    </w:p>
    <w:p>
      <w:pPr>
        <w:pStyle w:val="Style13"/>
        <w:keepNext w:val="0"/>
        <w:keepLines w:val="0"/>
        <w:widowControl w:val="0"/>
        <w:shd w:val="clear" w:color="auto" w:fill="auto"/>
        <w:bidi w:val="0"/>
        <w:spacing w:before="0" w:after="0" w:line="474"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日，本公司之全资子公司国民科技、国民投资在广东省深圳市中级人民法院于 阿里拍卖平台开展的“被执行人鲍海友持有的深圳市斯诺实业发展有限公司</w:t>
      </w:r>
      <w:r>
        <w:rPr>
          <w:rFonts w:ascii="Times New Roman" w:eastAsia="Times New Roman" w:hAnsi="Times New Roman" w:cs="Times New Roman"/>
          <w:color w:val="000000"/>
          <w:spacing w:val="0"/>
          <w:w w:val="100"/>
          <w:position w:val="0"/>
        </w:rPr>
        <w:t>25%</w:t>
      </w:r>
      <w:r>
        <w:rPr>
          <w:color w:val="000000"/>
          <w:spacing w:val="0"/>
          <w:w w:val="100"/>
          <w:position w:val="0"/>
        </w:rPr>
        <w:t>的股权”项目公 开竞价中各获取</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的股权，公司于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日在深圳市市场监督管理局办妥工商变更手 续。</w:t>
      </w:r>
    </w:p>
    <w:p>
      <w:pPr>
        <w:pStyle w:val="Style13"/>
        <w:keepNext w:val="0"/>
        <w:keepLines w:val="0"/>
        <w:widowControl w:val="0"/>
        <w:numPr>
          <w:ilvl w:val="0"/>
          <w:numId w:val="59"/>
        </w:numPr>
        <w:shd w:val="clear" w:color="auto" w:fill="auto"/>
        <w:tabs>
          <w:tab w:pos="871" w:val="left"/>
        </w:tabs>
        <w:bidi w:val="0"/>
        <w:spacing w:before="0" w:after="0" w:line="474" w:lineRule="exact"/>
        <w:ind w:left="0" w:right="0" w:firstLine="460"/>
        <w:jc w:val="both"/>
      </w:pPr>
      <w:bookmarkStart w:id="957" w:name="bookmark957"/>
      <w:bookmarkEnd w:id="957"/>
      <w:r>
        <w:rPr>
          <w:color w:val="000000"/>
          <w:spacing w:val="0"/>
          <w:w w:val="100"/>
          <w:position w:val="0"/>
        </w:rPr>
        <w:t>回购福建省星民智联科技有限公司</w:t>
      </w:r>
      <w:r>
        <w:rPr>
          <w:rFonts w:ascii="Times New Roman" w:eastAsia="Times New Roman" w:hAnsi="Times New Roman" w:cs="Times New Roman"/>
          <w:color w:val="000000"/>
          <w:spacing w:val="0"/>
          <w:w w:val="100"/>
          <w:position w:val="0"/>
        </w:rPr>
        <w:t>14%</w:t>
      </w:r>
      <w:r>
        <w:rPr>
          <w:color w:val="000000"/>
          <w:spacing w:val="0"/>
          <w:w w:val="100"/>
          <w:position w:val="0"/>
        </w:rPr>
        <w:t>股权</w:t>
      </w:r>
    </w:p>
    <w:p>
      <w:pPr>
        <w:pStyle w:val="Style13"/>
        <w:keepNext w:val="0"/>
        <w:keepLines w:val="0"/>
        <w:widowControl w:val="0"/>
        <w:shd w:val="clear" w:color="auto" w:fill="auto"/>
        <w:bidi w:val="0"/>
        <w:spacing w:before="0" w:after="0" w:line="474"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日，公司与福建省星云大数据应用服务有限公司签订《股权转让协议》。福建省 星云大数据应用服务有限公司将其持有的对福建省星民智联科技有限公司（以下简称“星民智 联”）</w:t>
      </w:r>
      <w:r>
        <w:rPr>
          <w:rFonts w:ascii="Times New Roman" w:eastAsia="Times New Roman" w:hAnsi="Times New Roman" w:cs="Times New Roman"/>
          <w:color w:val="000000"/>
          <w:spacing w:val="0"/>
          <w:w w:val="100"/>
          <w:position w:val="0"/>
        </w:rPr>
        <w:t>420</w:t>
      </w:r>
      <w:r>
        <w:rPr>
          <w:color w:val="000000"/>
          <w:spacing w:val="0"/>
          <w:w w:val="100"/>
          <w:position w:val="0"/>
        </w:rPr>
        <w:t>万元出资额以</w:t>
      </w:r>
      <w:r>
        <w:rPr>
          <w:rFonts w:ascii="Times New Roman" w:eastAsia="Times New Roman" w:hAnsi="Times New Roman" w:cs="Times New Roman"/>
          <w:color w:val="000000"/>
          <w:spacing w:val="0"/>
          <w:w w:val="100"/>
          <w:position w:val="0"/>
        </w:rPr>
        <w:t>579.18</w:t>
      </w:r>
      <w:r>
        <w:rPr>
          <w:color w:val="000000"/>
          <w:spacing w:val="0"/>
          <w:w w:val="100"/>
          <w:position w:val="0"/>
        </w:rPr>
        <w:t>万元转让给本公司。公司于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日在福州市长乐区市场监 督管理局办妥工商变更登记手续。</w:t>
      </w:r>
    </w:p>
    <w:p>
      <w:pPr>
        <w:pStyle w:val="Style13"/>
        <w:keepNext w:val="0"/>
        <w:keepLines w:val="0"/>
        <w:widowControl w:val="0"/>
        <w:shd w:val="clear" w:color="auto" w:fill="auto"/>
        <w:tabs>
          <w:tab w:pos="952" w:val="left"/>
        </w:tabs>
        <w:bidi w:val="0"/>
        <w:spacing w:before="0" w:after="100" w:line="474" w:lineRule="exact"/>
        <w:ind w:left="0" w:right="0" w:firstLine="440"/>
        <w:jc w:val="left"/>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p>
    <w:tbl>
      <w:tblPr>
        <w:tblOverlap w:val="never"/>
        <w:jc w:val="center"/>
        <w:tblLayout w:type="fixed"/>
      </w:tblPr>
      <w:tblGrid>
        <w:gridCol w:w="4046"/>
        <w:gridCol w:w="2189"/>
        <w:gridCol w:w="2558"/>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深圳市斯诺实业发 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福建省星民智联科技有 限公司</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购买成本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一</w:t>
            </w:r>
            <w:r>
              <w:rPr>
                <w:color w:val="000000"/>
                <w:spacing w:val="0"/>
                <w:w w:val="100"/>
                <w:position w:val="0"/>
                <w:sz w:val="20"/>
                <w:szCs w:val="2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2"/>
                <w:szCs w:val="22"/>
              </w:rPr>
              <w:t xml:space="preserve">42,564.82 </w:t>
            </w:r>
            <w:r>
              <w:rPr>
                <w:color w:val="000000"/>
                <w:spacing w:val="0"/>
                <w:w w:val="100"/>
                <w:position w:val="0"/>
                <w:sz w:val="20"/>
                <w:szCs w:val="20"/>
              </w:rPr>
              <w:t>注</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购买成本合计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42,564.82</w:t>
            </w:r>
          </w:p>
        </w:tc>
      </w:tr>
      <w:tr>
        <w:trPr>
          <w:trHeight w:val="341"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w:t>
            </w:r>
          </w:p>
        </w:tc>
      </w:tr>
    </w:tbl>
    <w:p>
      <w:pPr>
        <w:sectPr>
          <w:footnotePr>
            <w:pos w:val="pageBottom"/>
            <w:numFmt w:val="decimal"/>
            <w:numRestart w:val="continuous"/>
          </w:footnotePr>
          <w:pgSz w:w="11900" w:h="16840"/>
          <w:pgMar w:top="1436" w:right="1109" w:bottom="1215" w:left="1104" w:header="0" w:footer="3" w:gutter="0"/>
          <w:cols w:space="720"/>
          <w:noEndnote/>
          <w:rtlGutter w:val="0"/>
          <w:docGrid w:linePitch="360"/>
        </w:sectPr>
      </w:pPr>
    </w:p>
    <w:p>
      <w:pPr>
        <w:widowControl w:val="0"/>
        <w:spacing w:after="339" w:line="1" w:lineRule="exact"/>
      </w:pPr>
    </w:p>
    <w:tbl>
      <w:tblPr>
        <w:tblOverlap w:val="never"/>
        <w:jc w:val="center"/>
        <w:tblLayout w:type="fixed"/>
      </w:tblPr>
      <w:tblGrid>
        <w:gridCol w:w="4046"/>
        <w:gridCol w:w="2189"/>
        <w:gridCol w:w="2558"/>
      </w:tblGrid>
      <w:tr>
        <w:trPr>
          <w:trHeight w:val="60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深圳市斯诺实业发 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福建省星民智联科技有 限公司</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240" w:right="0" w:firstLine="0"/>
              <w:jc w:val="left"/>
              <w:rPr>
                <w:sz w:val="20"/>
                <w:szCs w:val="20"/>
              </w:rPr>
            </w:pPr>
            <w:r>
              <w:rPr>
                <w:color w:val="000000"/>
                <w:spacing w:val="0"/>
                <w:w w:val="100"/>
                <w:position w:val="0"/>
                <w:sz w:val="20"/>
                <w:szCs w:val="20"/>
              </w:rPr>
              <w:t>减：按取得的股权比例计算的子公司净 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93,350,942.32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42,564.82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93,350,942.32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其中：调整资本公积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93,350,942.32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260" w:line="326" w:lineRule="exact"/>
        <w:ind w:left="140" w:right="0" w:firstLine="0"/>
        <w:jc w:val="both"/>
      </w:pPr>
      <w:r>
        <w:rPr>
          <w:b/>
          <w:bCs/>
          <w:color w:val="000000"/>
          <w:spacing w:val="0"/>
          <w:w w:val="100"/>
          <w:position w:val="0"/>
        </w:rPr>
        <w:t>注：本金额与附注五、</w:t>
      </w:r>
      <w:r>
        <w:rPr>
          <w:rFonts w:ascii="Times New Roman" w:eastAsia="Times New Roman" w:hAnsi="Times New Roman" w:cs="Times New Roman"/>
          <w:b/>
          <w:bCs/>
          <w:color w:val="000000"/>
          <w:spacing w:val="0"/>
          <w:w w:val="100"/>
          <w:position w:val="0"/>
        </w:rPr>
        <w:t xml:space="preserve">56 </w:t>
      </w:r>
      <w:r>
        <w:rPr>
          <w:b/>
          <w:bCs/>
          <w:color w:val="000000"/>
          <w:spacing w:val="0"/>
          <w:w w:val="100"/>
          <w:position w:val="0"/>
        </w:rPr>
        <w:t>（</w:t>
      </w:r>
      <w:r>
        <w:rPr>
          <w:rFonts w:ascii="Times New Roman" w:eastAsia="Times New Roman" w:hAnsi="Times New Roman" w:cs="Times New Roman"/>
          <w:b/>
          <w:bCs/>
          <w:color w:val="000000"/>
          <w:spacing w:val="0"/>
          <w:w w:val="100"/>
          <w:position w:val="0"/>
        </w:rPr>
        <w:t>4</w:t>
      </w:r>
      <w:r>
        <w:rPr>
          <w:b/>
          <w:bCs/>
          <w:color w:val="000000"/>
          <w:spacing w:val="0"/>
          <w:w w:val="100"/>
          <w:position w:val="0"/>
        </w:rPr>
        <w:t>）支付股权回购款金额不一致，原因系</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年公司就该回购股权事 项确认一项看跌期权，差额系看跌期权价值。</w:t>
      </w:r>
    </w:p>
    <w:p>
      <w:pPr>
        <w:pStyle w:val="Style33"/>
        <w:keepNext/>
        <w:keepLines/>
        <w:widowControl w:val="0"/>
        <w:shd w:val="clear" w:color="auto" w:fill="auto"/>
        <w:bidi w:val="0"/>
        <w:spacing w:before="0" w:after="200" w:line="326" w:lineRule="exact"/>
        <w:ind w:left="0" w:right="0" w:firstLine="140"/>
        <w:jc w:val="both"/>
      </w:pPr>
      <w:bookmarkStart w:id="959" w:name="bookmark959"/>
      <w:bookmarkStart w:id="960" w:name="bookmark960"/>
      <w:bookmarkStart w:id="961" w:name="bookmark961"/>
      <w:bookmarkStart w:id="962" w:name="bookmark962"/>
      <w:r>
        <w:rPr>
          <w:color w:val="000000"/>
          <w:spacing w:val="0"/>
          <w:w w:val="100"/>
          <w:position w:val="0"/>
        </w:rPr>
        <w:t>八</w:t>
      </w:r>
      <w:bookmarkEnd w:id="961"/>
      <w:r>
        <w:rPr>
          <w:color w:val="000000"/>
          <w:spacing w:val="0"/>
          <w:w w:val="100"/>
          <w:position w:val="0"/>
        </w:rPr>
        <w:t>、与金融工具相关的风险</w:t>
      </w:r>
      <w:bookmarkEnd w:id="959"/>
      <w:bookmarkEnd w:id="960"/>
      <w:bookmarkEnd w:id="962"/>
    </w:p>
    <w:p>
      <w:pPr>
        <w:pStyle w:val="Style13"/>
        <w:keepNext w:val="0"/>
        <w:keepLines w:val="0"/>
        <w:widowControl w:val="0"/>
        <w:shd w:val="clear" w:color="auto" w:fill="auto"/>
        <w:bidi w:val="0"/>
        <w:spacing w:before="0" w:after="440" w:line="470" w:lineRule="exact"/>
        <w:ind w:left="140" w:right="0" w:firstLine="460"/>
        <w:jc w:val="both"/>
      </w:pPr>
      <w:r>
        <w:rPr>
          <w:color w:val="000000"/>
          <w:spacing w:val="0"/>
          <w:w w:val="100"/>
          <w:position w:val="0"/>
        </w:rPr>
        <w:t>本公司的经营活动会面临各种金融风险：市场风险（主要包括外汇风险、利率风险和其他价 格风险）、信用风险和流动性风险。本公司已制定风险管理政策，力求减少各种风险对财务业绩 的潜在不利影响。</w:t>
      </w:r>
    </w:p>
    <w:p>
      <w:pPr>
        <w:pStyle w:val="Style37"/>
        <w:keepNext/>
        <w:keepLines/>
        <w:widowControl w:val="0"/>
        <w:shd w:val="clear" w:color="auto" w:fill="auto"/>
        <w:bidi w:val="0"/>
        <w:spacing w:before="0" w:after="0" w:line="451" w:lineRule="auto"/>
        <w:ind w:left="0" w:right="0" w:firstLine="140"/>
        <w:jc w:val="left"/>
      </w:pPr>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r>
        <w:rPr>
          <w:color w:val="000000"/>
          <w:spacing w:val="0"/>
          <w:w w:val="100"/>
          <w:position w:val="0"/>
        </w:rPr>
        <w:t>、市场风险</w:t>
      </w:r>
      <w:bookmarkEnd w:id="963"/>
      <w:bookmarkEnd w:id="964"/>
      <w:bookmarkEnd w:id="965"/>
    </w:p>
    <w:p>
      <w:pPr>
        <w:pStyle w:val="Style13"/>
        <w:keepNext w:val="0"/>
        <w:keepLines w:val="0"/>
        <w:widowControl w:val="0"/>
        <w:shd w:val="clear" w:color="auto" w:fill="auto"/>
        <w:bidi w:val="0"/>
        <w:spacing w:before="0" w:after="0" w:line="475"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13"/>
        <w:keepNext w:val="0"/>
        <w:keepLines w:val="0"/>
        <w:widowControl w:val="0"/>
        <w:shd w:val="clear" w:color="auto" w:fill="auto"/>
        <w:bidi w:val="0"/>
        <w:spacing w:before="0" w:after="0" w:line="475" w:lineRule="exact"/>
        <w:ind w:left="140" w:right="0" w:firstLine="460"/>
        <w:jc w:val="both"/>
      </w:pPr>
      <w:r>
        <w:rPr>
          <w:color w:val="000000"/>
          <w:spacing w:val="0"/>
          <w:w w:val="100"/>
          <w:position w:val="0"/>
        </w:rPr>
        <w:t>本公司于中国境内的业务以人民币结算，海外业务包括美元、港币、新加坡元等外币项目结 算，因此海外业务的结算存在外汇风险。此外，本公司已确认的外币资产和负债及未来的外币交 易（外币资产和负债及外币交易的计价货币主要为美元）依然存在外汇风险。本公司财务部门负 责监控公司外币交易和外币资产及负债的规模，以最大程度降低面临的外汇风险。</w:t>
      </w:r>
    </w:p>
    <w:p>
      <w:pPr>
        <w:pStyle w:val="Style13"/>
        <w:keepNext w:val="0"/>
        <w:keepLines w:val="0"/>
        <w:widowControl w:val="0"/>
        <w:shd w:val="clear" w:color="auto" w:fill="auto"/>
        <w:bidi w:val="0"/>
        <w:spacing w:before="0" w:after="100" w:line="475" w:lineRule="exact"/>
        <w:ind w:left="14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日，本公司内以人民币为记账本位币的各所属公司持有的外 币金融资产和外币金融负债折算成人民币的金额列示如下：</w:t>
      </w:r>
    </w:p>
    <w:tbl>
      <w:tblPr>
        <w:tblOverlap w:val="never"/>
        <w:jc w:val="left"/>
        <w:tblLayout w:type="fixed"/>
      </w:tblPr>
      <w:tblGrid>
        <w:gridCol w:w="1891"/>
        <w:gridCol w:w="1699"/>
        <w:gridCol w:w="1416"/>
        <w:gridCol w:w="1987"/>
        <w:gridCol w:w="1733"/>
      </w:tblGrid>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外币项目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57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美元项目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港币项目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新加坡元币种项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合计</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14,872,207.87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7,569.28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1,072,218.92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15,951,996.07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5,368,820.77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5,368,820.77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241,155.57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20,241,137.03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7,569.28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1,313,266.10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21,561,972.41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414,418.71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414,418.71</w:t>
            </w:r>
          </w:p>
        </w:tc>
      </w:tr>
    </w:tbl>
    <w:p>
      <w:pPr>
        <w:widowControl w:val="0"/>
        <w:spacing w:line="1" w:lineRule="exact"/>
      </w:pPr>
      <w:r>
        <w:br w:type="page"/>
      </w:r>
    </w:p>
    <w:tbl>
      <w:tblPr>
        <w:tblOverlap w:val="never"/>
        <w:jc w:val="left"/>
        <w:tblLayout w:type="fixed"/>
      </w:tblPr>
      <w:tblGrid>
        <w:gridCol w:w="1891"/>
        <w:gridCol w:w="1699"/>
        <w:gridCol w:w="1416"/>
        <w:gridCol w:w="1987"/>
        <w:gridCol w:w="1733"/>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737,566.35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737,566.35</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1,151,985.06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1,151,985.06</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（续）</w:t>
      </w:r>
    </w:p>
    <w:tbl>
      <w:tblPr>
        <w:tblOverlap w:val="never"/>
        <w:jc w:val="left"/>
        <w:tblLayout w:type="fixed"/>
      </w:tblPr>
      <w:tblGrid>
        <w:gridCol w:w="1891"/>
        <w:gridCol w:w="1699"/>
        <w:gridCol w:w="1416"/>
        <w:gridCol w:w="1987"/>
        <w:gridCol w:w="1733"/>
      </w:tblGrid>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外币项目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57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美元项目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港币项目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新加坡元币种项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9,179,651.22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12,824.24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114,140.21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9,306,615.67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2,693,255.83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2,693,255.83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218,728.89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218,839.81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11,873,017.97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12,824.24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332,869.10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12,218,711.31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14,751,741.87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14,751,741.87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1,763,972.07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1,763,972.07</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16,515,713.94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16,515,713.94</w:t>
            </w:r>
          </w:p>
        </w:tc>
      </w:tr>
    </w:tbl>
    <w:p>
      <w:pPr>
        <w:widowControl w:val="0"/>
        <w:spacing w:after="79" w:line="1" w:lineRule="exact"/>
      </w:pPr>
    </w:p>
    <w:p>
      <w:pPr>
        <w:pStyle w:val="Style13"/>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对于本公司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日上述外币金融资产和外币金融负债，如果人民币对其升值或贬值</w:t>
      </w:r>
    </w:p>
    <w:p>
      <w:pPr>
        <w:pStyle w:val="Style30"/>
        <w:keepNext w:val="0"/>
        <w:keepLines w:val="0"/>
        <w:widowControl w:val="0"/>
        <w:shd w:val="clear" w:color="auto" w:fill="auto"/>
        <w:bidi w:val="0"/>
        <w:spacing w:before="0" w:after="0" w:line="240" w:lineRule="auto"/>
        <w:ind w:left="149" w:right="0" w:firstLine="0"/>
        <w:jc w:val="left"/>
        <w:rPr>
          <w:sz w:val="22"/>
          <w:szCs w:val="22"/>
        </w:rPr>
      </w:pP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，其他因素保持不变，则本公司将增加或减少净利润列示如下:</w:t>
      </w:r>
    </w:p>
    <w:tbl>
      <w:tblPr>
        <w:tblOverlap w:val="never"/>
        <w:jc w:val="left"/>
        <w:tblLayout w:type="fixed"/>
      </w:tblPr>
      <w:tblGrid>
        <w:gridCol w:w="2174"/>
        <w:gridCol w:w="2832"/>
        <w:gridCol w:w="3149"/>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b/>
                <w:bCs/>
                <w:color w:val="000000"/>
                <w:spacing w:val="0"/>
                <w:w w:val="100"/>
                <w:position w:val="0"/>
                <w:sz w:val="20"/>
                <w:szCs w:val="20"/>
              </w:rPr>
              <w:t>升值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贬值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1,740,270.78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1,740,270.78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756.93</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新加坡元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131,326.61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131,326.61</w:t>
            </w:r>
          </w:p>
        </w:tc>
      </w:tr>
    </w:tbl>
    <w:p>
      <w:pPr>
        <w:pStyle w:val="Style13"/>
        <w:keepNext w:val="0"/>
        <w:keepLines w:val="0"/>
        <w:widowControl w:val="0"/>
        <w:shd w:val="clear" w:color="auto" w:fill="auto"/>
        <w:tabs>
          <w:tab w:pos="1112" w:val="left"/>
        </w:tabs>
        <w:bidi w:val="0"/>
        <w:spacing w:before="0" w:after="0" w:line="470" w:lineRule="exact"/>
        <w:ind w:left="0" w:right="0" w:firstLine="600"/>
        <w:jc w:val="left"/>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利率风险</w:t>
      </w:r>
    </w:p>
    <w:p>
      <w:pPr>
        <w:pStyle w:val="Style13"/>
        <w:keepNext w:val="0"/>
        <w:keepLines w:val="0"/>
        <w:widowControl w:val="0"/>
        <w:shd w:val="clear" w:color="auto" w:fill="auto"/>
        <w:bidi w:val="0"/>
        <w:spacing w:before="0" w:after="0" w:line="470" w:lineRule="exact"/>
        <w:ind w:left="140" w:right="0" w:firstLine="460"/>
        <w:jc w:val="both"/>
      </w:pPr>
      <w:r>
        <w:rPr>
          <w:color w:val="000000"/>
          <w:spacing w:val="0"/>
          <w:w w:val="100"/>
          <w:position w:val="0"/>
        </w:rPr>
        <w:t>本公司的利率风险主要产生于银行借款及应付债券等带息债务。浮动利率的金融负债使本公 司面临现金流量利率风险，固定利率的金融负债使本公司面临公允价值利率风险。</w:t>
      </w:r>
    </w:p>
    <w:p>
      <w:pPr>
        <w:pStyle w:val="Style13"/>
        <w:keepNext w:val="0"/>
        <w:keepLines w:val="0"/>
        <w:widowControl w:val="0"/>
        <w:shd w:val="clear" w:color="auto" w:fill="auto"/>
        <w:bidi w:val="0"/>
        <w:spacing w:before="0" w:after="0" w:line="470" w:lineRule="exact"/>
        <w:ind w:left="140" w:right="0" w:firstLine="460"/>
        <w:jc w:val="both"/>
      </w:pPr>
      <w:r>
        <w:rPr>
          <w:color w:val="000000"/>
          <w:spacing w:val="0"/>
          <w:w w:val="100"/>
          <w:position w:val="0"/>
        </w:rPr>
        <w:t>本公司财务部门持续监控公司利率水平。利率上升会增加新增带息债务的成本以及本公司尚 未付清的以浮动利率计息的带息债务的利息支出，并对本公司的财务业绩产生重大的不利影响， 管理层会依据最新的市场状况及时做出调整。本公司报告期内银行借款基本以固定利率计息。</w:t>
      </w:r>
    </w:p>
    <w:p>
      <w:pPr>
        <w:pStyle w:val="Style13"/>
        <w:keepNext w:val="0"/>
        <w:keepLines w:val="0"/>
        <w:widowControl w:val="0"/>
        <w:shd w:val="clear" w:color="auto" w:fill="auto"/>
        <w:tabs>
          <w:tab w:pos="1112" w:val="left"/>
        </w:tabs>
        <w:bidi w:val="0"/>
        <w:spacing w:before="0" w:after="0" w:line="470" w:lineRule="exact"/>
        <w:ind w:left="0" w:right="0" w:firstLine="60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3</w:t>
      </w:r>
      <w:r>
        <w:rPr>
          <w:color w:val="000000"/>
          <w:spacing w:val="0"/>
          <w:w w:val="100"/>
          <w:position w:val="0"/>
        </w:rPr>
        <w:t>）</w:t>
        <w:tab/>
        <w:t>其他价格风险</w:t>
      </w:r>
    </w:p>
    <w:p>
      <w:pPr>
        <w:pStyle w:val="Style13"/>
        <w:keepNext w:val="0"/>
        <w:keepLines w:val="0"/>
        <w:widowControl w:val="0"/>
        <w:shd w:val="clear" w:color="auto" w:fill="auto"/>
        <w:bidi w:val="0"/>
        <w:spacing w:before="0" w:after="200" w:line="470" w:lineRule="exact"/>
        <w:ind w:left="0" w:right="0" w:firstLine="600"/>
        <w:jc w:val="both"/>
      </w:pPr>
      <w:r>
        <w:rPr>
          <w:color w:val="000000"/>
          <w:spacing w:val="0"/>
          <w:w w:val="100"/>
          <w:position w:val="0"/>
        </w:rPr>
        <w:t>本公司其他价格风险主要产生于各类权益工具投资，存在权益工具价格变动的风险。</w:t>
      </w:r>
    </w:p>
    <w:p>
      <w:pPr>
        <w:pStyle w:val="Style13"/>
        <w:keepNext w:val="0"/>
        <w:keepLines w:val="0"/>
        <w:widowControl w:val="0"/>
        <w:shd w:val="clear" w:color="auto" w:fill="auto"/>
        <w:bidi w:val="0"/>
        <w:spacing w:before="0" w:after="420" w:line="446" w:lineRule="auto"/>
        <w:ind w:left="0" w:right="0" w:firstLine="6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日，如果本公司各类权益工具投资预期价格上涨或下降</w:t>
      </w:r>
      <w:r>
        <w:rPr>
          <w:rFonts w:ascii="Times New Roman" w:eastAsia="Times New Roman" w:hAnsi="Times New Roman" w:cs="Times New Roman"/>
          <w:color w:val="000000"/>
          <w:spacing w:val="0"/>
          <w:w w:val="100"/>
          <w:position w:val="0"/>
        </w:rPr>
        <w:t>10%</w:t>
      </w:r>
      <w:r>
        <w:rPr>
          <w:color w:val="000000"/>
          <w:spacing w:val="0"/>
          <w:w w:val="100"/>
          <w:position w:val="0"/>
        </w:rPr>
        <w:t xml:space="preserve">，其他因素保持不 </w:t>
      </w:r>
      <w:r>
        <w:rPr>
          <w:rStyle w:val="CharStyle75"/>
          <w:rFonts w:ascii="SimSun" w:eastAsia="SimSun" w:hAnsi="SimSun" w:cs="SimSun"/>
        </w:rPr>
        <w:t>变，本公司将增加或减少净利润</w:t>
      </w:r>
      <w:r>
        <w:rPr>
          <w:rStyle w:val="CharStyle75"/>
        </w:rPr>
        <w:t>14,035,393.51</w:t>
      </w:r>
      <w:r>
        <w:rPr>
          <w:rStyle w:val="CharStyle75"/>
          <w:rFonts w:ascii="SimSun" w:eastAsia="SimSun" w:hAnsi="SimSun" w:cs="SimSun"/>
        </w:rPr>
        <w:t>元（</w:t>
      </w:r>
      <w:r>
        <w:rPr>
          <w:rStyle w:val="CharStyle75"/>
        </w:rPr>
        <w:t>2020</w:t>
      </w:r>
      <w:r>
        <w:rPr>
          <w:rStyle w:val="CharStyle75"/>
          <w:rFonts w:ascii="SimSun" w:eastAsia="SimSun" w:hAnsi="SimSun" w:cs="SimSun"/>
        </w:rPr>
        <w:t>年</w:t>
      </w:r>
      <w:r>
        <w:rPr>
          <w:rStyle w:val="CharStyle75"/>
        </w:rPr>
        <w:t>5,773,219.54</w:t>
      </w:r>
      <w:r>
        <w:rPr>
          <w:rStyle w:val="CharStyle75"/>
          <w:rFonts w:ascii="SimSun" w:eastAsia="SimSun" w:hAnsi="SimSun" w:cs="SimSun"/>
        </w:rPr>
        <w:t>元），增加或减少其他综合 收益</w:t>
      </w:r>
      <w:r>
        <w:rPr>
          <w:rStyle w:val="CharStyle75"/>
        </w:rPr>
        <w:t>6,956,036.9</w:t>
      </w:r>
      <w:r>
        <w:rPr>
          <w:rStyle w:val="CharStyle75"/>
        </w:rPr>
        <w:t>1</w:t>
      </w:r>
      <w:r>
        <w:rPr>
          <w:rStyle w:val="CharStyle75"/>
          <w:rFonts w:ascii="SimSun" w:eastAsia="SimSun" w:hAnsi="SimSun" w:cs="SimSun"/>
        </w:rPr>
        <w:t>元（</w:t>
      </w:r>
      <w:r>
        <w:rPr>
          <w:rStyle w:val="CharStyle75"/>
        </w:rPr>
        <w:t>2020</w:t>
      </w:r>
      <w:r>
        <w:rPr>
          <w:rStyle w:val="CharStyle75"/>
          <w:rFonts w:ascii="SimSun" w:eastAsia="SimSun" w:hAnsi="SimSun" w:cs="SimSun"/>
        </w:rPr>
        <w:t>年</w:t>
      </w:r>
      <w:r>
        <w:rPr>
          <w:rStyle w:val="CharStyle75"/>
        </w:rPr>
        <w:t>6,940,234.59</w:t>
      </w:r>
      <w:r>
        <w:rPr>
          <w:rStyle w:val="CharStyle75"/>
          <w:rFonts w:ascii="SimSun" w:eastAsia="SimSun" w:hAnsi="SimSun" w:cs="SimSun"/>
        </w:rPr>
        <w:t>元）。</w:t>
      </w:r>
    </w:p>
    <w:p>
      <w:pPr>
        <w:pStyle w:val="Style37"/>
        <w:keepNext/>
        <w:keepLines/>
        <w:widowControl w:val="0"/>
        <w:shd w:val="clear" w:color="auto" w:fill="auto"/>
        <w:bidi w:val="0"/>
        <w:spacing w:before="0" w:after="200" w:line="240" w:lineRule="auto"/>
        <w:ind w:left="0" w:right="0" w:firstLine="180"/>
        <w:jc w:val="both"/>
      </w:pPr>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r>
        <w:rPr>
          <w:color w:val="000000"/>
          <w:spacing w:val="0"/>
          <w:w w:val="100"/>
          <w:position w:val="0"/>
        </w:rPr>
        <w:t>、信用风险</w:t>
      </w:r>
      <w:bookmarkEnd w:id="968"/>
      <w:bookmarkEnd w:id="969"/>
      <w:bookmarkEnd w:id="970"/>
    </w:p>
    <w:p>
      <w:pPr>
        <w:pStyle w:val="Style13"/>
        <w:keepNext w:val="0"/>
        <w:keepLines w:val="0"/>
        <w:widowControl w:val="0"/>
        <w:shd w:val="clear" w:color="auto" w:fill="auto"/>
        <w:bidi w:val="0"/>
        <w:spacing w:before="0" w:after="0" w:line="473" w:lineRule="exact"/>
        <w:ind w:left="180" w:right="0" w:firstLine="460"/>
        <w:jc w:val="both"/>
      </w:pPr>
      <w:r>
        <w:rPr>
          <w:color w:val="000000"/>
          <w:spacing w:val="0"/>
          <w:w w:val="100"/>
          <w:position w:val="0"/>
        </w:rPr>
        <w:t>本公司对信用风险按组合分类进行管理。信用风险主要产生于银行存款、应收账款、其他应 收款、应收票据、合同资产、交易性金融资产等其他金融资产。</w:t>
      </w:r>
    </w:p>
    <w:p>
      <w:pPr>
        <w:pStyle w:val="Style13"/>
        <w:keepNext w:val="0"/>
        <w:keepLines w:val="0"/>
        <w:widowControl w:val="0"/>
        <w:shd w:val="clear" w:color="auto" w:fill="auto"/>
        <w:bidi w:val="0"/>
        <w:spacing w:before="0" w:after="0" w:line="473" w:lineRule="exact"/>
        <w:ind w:left="180" w:right="0" w:firstLine="460"/>
        <w:jc w:val="both"/>
      </w:pPr>
      <w:r>
        <w:rPr>
          <w:color w:val="000000"/>
          <w:spacing w:val="0"/>
          <w:w w:val="100"/>
          <w:position w:val="0"/>
        </w:rPr>
        <w:t>本公司银行存款主要存放于国有银行和其它大中型上市银行，本公司认为其不存在重大的信 用风险，不会产生因对方单位违约而导致的任何重大损失。</w:t>
      </w:r>
    </w:p>
    <w:p>
      <w:pPr>
        <w:pStyle w:val="Style13"/>
        <w:keepNext w:val="0"/>
        <w:keepLines w:val="0"/>
        <w:widowControl w:val="0"/>
        <w:shd w:val="clear" w:color="auto" w:fill="auto"/>
        <w:bidi w:val="0"/>
        <w:spacing w:before="0" w:after="0" w:line="473" w:lineRule="exact"/>
        <w:ind w:left="180" w:right="0" w:firstLine="460"/>
        <w:jc w:val="both"/>
      </w:pPr>
      <w:r>
        <w:rPr>
          <w:color w:val="000000"/>
          <w:spacing w:val="0"/>
          <w:w w:val="100"/>
          <w:position w:val="0"/>
        </w:rPr>
        <w:t>对于应收账款、其他应收款、应收票据和合同资产，本公司设定相关政策以控制信用风险敞 口。本公司基于对客户的财务状况、从第三方获取担保的可能性、信用记录及目前市场状况等其 它因素评估客户的信用资质并设置相应信用期。</w:t>
      </w:r>
    </w:p>
    <w:p>
      <w:pPr>
        <w:pStyle w:val="Style13"/>
        <w:keepNext w:val="0"/>
        <w:keepLines w:val="0"/>
        <w:widowControl w:val="0"/>
        <w:shd w:val="clear" w:color="auto" w:fill="auto"/>
        <w:bidi w:val="0"/>
        <w:spacing w:before="0" w:after="420" w:line="473" w:lineRule="exact"/>
        <w:ind w:left="180" w:right="0" w:firstLine="460"/>
        <w:jc w:val="both"/>
      </w:pPr>
      <w:r>
        <w:rPr>
          <w:color w:val="000000"/>
          <w:spacing w:val="0"/>
          <w:w w:val="100"/>
          <w:position w:val="0"/>
        </w:rPr>
        <w:t>本公司定期对客户信用记录进行监控，对于信用记录不良的客户，本公司采用书面催款、缩 短信用期或取消信用期等方式，以确保本公司整体信用风险可控。</w:t>
      </w:r>
    </w:p>
    <w:p>
      <w:pPr>
        <w:pStyle w:val="Style37"/>
        <w:keepNext/>
        <w:keepLines/>
        <w:widowControl w:val="0"/>
        <w:shd w:val="clear" w:color="auto" w:fill="auto"/>
        <w:bidi w:val="0"/>
        <w:spacing w:before="0" w:after="0" w:line="449" w:lineRule="auto"/>
        <w:ind w:left="0" w:right="0" w:firstLine="18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w:t>
      </w:r>
      <w:bookmarkEnd w:id="973"/>
      <w:r>
        <w:rPr>
          <w:color w:val="000000"/>
          <w:spacing w:val="0"/>
          <w:w w:val="100"/>
          <w:position w:val="0"/>
        </w:rPr>
        <w:t>、流动性风险</w:t>
      </w:r>
      <w:bookmarkEnd w:id="971"/>
      <w:bookmarkEnd w:id="972"/>
      <w:bookmarkEnd w:id="974"/>
    </w:p>
    <w:p>
      <w:pPr>
        <w:pStyle w:val="Style13"/>
        <w:keepNext w:val="0"/>
        <w:keepLines w:val="0"/>
        <w:widowControl w:val="0"/>
        <w:shd w:val="clear" w:color="auto" w:fill="auto"/>
        <w:bidi w:val="0"/>
        <w:spacing w:before="0" w:after="0" w:line="470" w:lineRule="exact"/>
        <w:ind w:left="180" w:right="0" w:firstLine="460"/>
        <w:jc w:val="both"/>
      </w:pPr>
      <w:r>
        <w:rPr>
          <w:color w:val="000000"/>
          <w:spacing w:val="0"/>
          <w:w w:val="100"/>
          <w:position w:val="0"/>
        </w:rPr>
        <w:t>流动性风险，是指本公司在履行以交付现金或其他金融资产的方式结算的义务时发生资金短 缺的风险。</w:t>
      </w:r>
    </w:p>
    <w:p>
      <w:pPr>
        <w:pStyle w:val="Style13"/>
        <w:keepNext w:val="0"/>
        <w:keepLines w:val="0"/>
        <w:widowControl w:val="0"/>
        <w:shd w:val="clear" w:color="auto" w:fill="auto"/>
        <w:bidi w:val="0"/>
        <w:spacing w:before="0" w:after="0" w:line="470" w:lineRule="exact"/>
        <w:ind w:left="180" w:right="0" w:firstLine="460"/>
        <w:jc w:val="both"/>
      </w:pPr>
      <w:r>
        <w:rPr>
          <w:color w:val="000000"/>
          <w:spacing w:val="0"/>
          <w:w w:val="100"/>
          <w:position w:val="0"/>
        </w:rPr>
        <w:t>管理流动风险时，本公司保持管理层认为充分的现金及现金等价物并对其进行监控，以满足 本公司的经营需要，并降低现金流量波动的影响。本公司管理层对银行借款的使用情况进行监控 并确保遵守借款协议。同时从主要金融机构获得提供足够备用资金的承诺，以满足短期和长期的 资金需求。</w:t>
      </w:r>
    </w:p>
    <w:p>
      <w:pPr>
        <w:pStyle w:val="Style13"/>
        <w:keepNext w:val="0"/>
        <w:keepLines w:val="0"/>
        <w:widowControl w:val="0"/>
        <w:shd w:val="clear" w:color="auto" w:fill="auto"/>
        <w:bidi w:val="0"/>
        <w:spacing w:before="0" w:after="80" w:line="470" w:lineRule="exact"/>
        <w:ind w:left="0" w:right="0" w:firstLine="640"/>
        <w:jc w:val="both"/>
      </w:pPr>
      <w:r>
        <w:rPr>
          <w:color w:val="000000"/>
          <w:spacing w:val="0"/>
          <w:w w:val="100"/>
          <w:position w:val="0"/>
        </w:rPr>
        <w:t>于资产负债表日，各项金融负债以未折现的合同现金流量按到期日列示如下：</w:t>
      </w:r>
    </w:p>
    <w:tbl>
      <w:tblPr>
        <w:tblOverlap w:val="never"/>
        <w:jc w:val="center"/>
        <w:tblLayout w:type="fixed"/>
      </w:tblPr>
      <w:tblGrid>
        <w:gridCol w:w="1469"/>
        <w:gridCol w:w="1762"/>
        <w:gridCol w:w="1550"/>
        <w:gridCol w:w="1656"/>
        <w:gridCol w:w="1762"/>
        <w:gridCol w:w="1800"/>
      </w:tblGrid>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一到二年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二到五年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五年以上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90,175,725.00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90,175,725.00</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140" w:right="0" w:firstLine="0"/>
              <w:jc w:val="left"/>
              <w:rPr>
                <w:sz w:val="20"/>
                <w:szCs w:val="20"/>
              </w:rPr>
            </w:pPr>
            <w:r>
              <w:rPr>
                <w:color w:val="000000"/>
                <w:spacing w:val="0"/>
                <w:w w:val="100"/>
                <w:position w:val="0"/>
                <w:sz w:val="20"/>
                <w:szCs w:val="20"/>
              </w:rPr>
              <w:t>交易性金融</w:t>
            </w:r>
          </w:p>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衍生金融负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117,258,840.34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117,258,840.34</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139,278,888.74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139,278,888.74</w:t>
            </w:r>
          </w:p>
        </w:tc>
      </w:tr>
    </w:tbl>
    <w:p>
      <w:pPr>
        <w:widowControl w:val="0"/>
        <w:spacing w:line="1" w:lineRule="exact"/>
      </w:pPr>
      <w:r>
        <w:br w:type="page"/>
      </w:r>
    </w:p>
    <w:tbl>
      <w:tblPr>
        <w:tblOverlap w:val="never"/>
        <w:jc w:val="center"/>
        <w:tblLayout w:type="fixed"/>
      </w:tblPr>
      <w:tblGrid>
        <w:gridCol w:w="1469"/>
        <w:gridCol w:w="1762"/>
        <w:gridCol w:w="1550"/>
        <w:gridCol w:w="1656"/>
        <w:gridCol w:w="1762"/>
        <w:gridCol w:w="1800"/>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8,176,524.94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18,726,050.79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21,666,064.98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48,568,640.71</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一年内到期</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22,572,902.78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22,572,902.78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285,000,000.00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369,286,356.86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8,176,524.94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18,726,050.79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306,666,064.98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702,854,997.57</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780"/>
        <w:jc w:val="left"/>
      </w:pPr>
      <w:r>
        <w:rPr>
          <w:color w:val="000000"/>
          <w:spacing w:val="0"/>
          <w:w w:val="100"/>
          <w:position w:val="0"/>
        </w:rPr>
        <w:t>（续）</w:t>
      </w:r>
    </w:p>
    <w:tbl>
      <w:tblPr>
        <w:tblOverlap w:val="never"/>
        <w:jc w:val="center"/>
        <w:tblLayout w:type="fixed"/>
      </w:tblPr>
      <w:tblGrid>
        <w:gridCol w:w="1781"/>
        <w:gridCol w:w="1766"/>
        <w:gridCol w:w="1656"/>
        <w:gridCol w:w="1046"/>
        <w:gridCol w:w="1886"/>
        <w:gridCol w:w="1800"/>
      </w:tblGrid>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58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一到二年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380"/>
              <w:jc w:val="left"/>
              <w:rPr>
                <w:sz w:val="20"/>
                <w:szCs w:val="20"/>
              </w:rPr>
            </w:pPr>
            <w:r>
              <w:rPr>
                <w:b/>
                <w:bCs/>
                <w:color w:val="000000"/>
                <w:spacing w:val="0"/>
                <w:w w:val="100"/>
                <w:position w:val="0"/>
                <w:sz w:val="20"/>
                <w:szCs w:val="20"/>
              </w:rPr>
              <w:t>二到</w:t>
            </w:r>
          </w:p>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五年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五年以上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100,189,138.89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100,189,138.89</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28,306,071.80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28,306,071.80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140,452,013.01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140,452,013.01</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一年内到期的 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20,636,033.14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20,636,033.14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317,000,000.00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289,583,256.84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22,000,000.00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b/>
                <w:bCs/>
                <w:color w:val="000000"/>
                <w:spacing w:val="0"/>
                <w:w w:val="100"/>
                <w:position w:val="0"/>
                <w:sz w:val="20"/>
                <w:szCs w:val="20"/>
              </w:rPr>
              <w:t>295,000,000.00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606,583,256.84</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320"/>
        <w:jc w:val="left"/>
      </w:pPr>
      <w:bookmarkStart w:id="975" w:name="bookmark975"/>
      <w:bookmarkStart w:id="976" w:name="bookmark976"/>
      <w:bookmarkStart w:id="977" w:name="bookmark977"/>
      <w:bookmarkStart w:id="978" w:name="bookmark978"/>
      <w:r>
        <w:rPr>
          <w:color w:val="000000"/>
          <w:spacing w:val="0"/>
          <w:w w:val="100"/>
          <w:position w:val="0"/>
        </w:rPr>
        <w:t>九</w:t>
      </w:r>
      <w:bookmarkEnd w:id="977"/>
      <w:r>
        <w:rPr>
          <w:color w:val="000000"/>
          <w:spacing w:val="0"/>
          <w:w w:val="100"/>
          <w:position w:val="0"/>
        </w:rPr>
        <w:t>、公允价值的披露</w:t>
      </w:r>
      <w:bookmarkEnd w:id="975"/>
      <w:bookmarkEnd w:id="976"/>
      <w:bookmarkEnd w:id="978"/>
    </w:p>
    <w:p>
      <w:pPr>
        <w:pStyle w:val="Style13"/>
        <w:keepNext w:val="0"/>
        <w:keepLines w:val="0"/>
        <w:widowControl w:val="0"/>
        <w:shd w:val="clear" w:color="auto" w:fill="auto"/>
        <w:bidi w:val="0"/>
        <w:spacing w:before="0" w:after="300" w:line="240" w:lineRule="auto"/>
        <w:ind w:left="0" w:right="0" w:firstLine="32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、以公允价值计量的资产和负债的年末公允价值</w:t>
      </w:r>
    </w:p>
    <w:tbl>
      <w:tblPr>
        <w:tblOverlap w:val="never"/>
        <w:jc w:val="center"/>
        <w:tblLayout w:type="fixed"/>
      </w:tblPr>
      <w:tblGrid>
        <w:gridCol w:w="2885"/>
        <w:gridCol w:w="1843"/>
        <w:gridCol w:w="1843"/>
        <w:gridCol w:w="1843"/>
        <w:gridCol w:w="1872"/>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tabs>
                <w:tab w:pos="475" w:val="left"/>
              </w:tabs>
              <w:bidi w:val="0"/>
              <w:spacing w:before="0" w:after="0" w:line="240" w:lineRule="auto"/>
              <w:ind w:left="0" w:right="0" w:firstLine="0"/>
              <w:jc w:val="center"/>
              <w:rPr>
                <w:sz w:val="20"/>
                <w:szCs w:val="20"/>
              </w:rPr>
            </w:pPr>
            <w:r>
              <w:rPr>
                <w:b/>
                <w:bCs/>
                <w:color w:val="000000"/>
                <w:spacing w:val="0"/>
                <w:w w:val="100"/>
                <w:position w:val="0"/>
                <w:sz w:val="20"/>
                <w:szCs w:val="20"/>
              </w:rPr>
              <w:t>项</w:t>
              <w:tab/>
              <w:t>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期末公允价值</w:t>
            </w:r>
          </w:p>
        </w:tc>
      </w:tr>
      <w:tr>
        <w:trPr>
          <w:trHeight w:val="581"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b/>
                <w:bCs/>
                <w:color w:val="000000"/>
                <w:spacing w:val="0"/>
                <w:w w:val="100"/>
                <w:position w:val="0"/>
                <w:sz w:val="20"/>
                <w:szCs w:val="20"/>
              </w:rPr>
              <w:t>第一层次公允 价值计量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第二层次公允 价值计量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b/>
                <w:bCs/>
                <w:color w:val="000000"/>
                <w:spacing w:val="0"/>
                <w:w w:val="100"/>
                <w:position w:val="0"/>
                <w:sz w:val="20"/>
                <w:szCs w:val="20"/>
              </w:rPr>
              <w:t>第三层次公允 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39,727,471.34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100,626,463.72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140,353,935.06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131,690,674.07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131,690,674.07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65,877,407.23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3,682,961.82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69,560,369.05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372,948,961.00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372,948,961.00</w:t>
            </w:r>
          </w:p>
        </w:tc>
      </w:tr>
      <w:tr>
        <w:trPr>
          <w:trHeight w:val="59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持续以公允价值计量的资</w:t>
            </w:r>
          </w:p>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产总额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39,727,471.34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197,568,081.30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477,258,386.54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714,553,939.18</w:t>
            </w:r>
          </w:p>
        </w:tc>
      </w:tr>
    </w:tbl>
    <w:p>
      <w:pPr>
        <w:pStyle w:val="Style37"/>
        <w:keepNext/>
        <w:keepLines/>
        <w:widowControl w:val="0"/>
        <w:shd w:val="clear" w:color="auto" w:fill="auto"/>
        <w:tabs>
          <w:tab w:pos="712" w:val="left"/>
        </w:tabs>
        <w:bidi w:val="0"/>
        <w:spacing w:before="0" w:after="220" w:line="466" w:lineRule="exact"/>
        <w:ind w:left="0" w:right="0" w:firstLine="32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color w:val="000000"/>
          <w:spacing w:val="0"/>
          <w:w w:val="100"/>
          <w:position w:val="0"/>
        </w:rPr>
        <w:t>、</w:t>
        <w:tab/>
        <w:t>持续和非持续第一层次公允价值计量项目市价的确定依据</w:t>
      </w:r>
      <w:bookmarkEnd w:id="979"/>
      <w:bookmarkEnd w:id="980"/>
      <w:bookmarkEnd w:id="982"/>
    </w:p>
    <w:p>
      <w:pPr>
        <w:pStyle w:val="Style13"/>
        <w:keepNext w:val="0"/>
        <w:keepLines w:val="0"/>
        <w:widowControl w:val="0"/>
        <w:shd w:val="clear" w:color="auto" w:fill="auto"/>
        <w:bidi w:val="0"/>
        <w:spacing w:before="0" w:after="220" w:line="466" w:lineRule="exact"/>
        <w:ind w:left="0" w:right="0" w:firstLine="780"/>
        <w:jc w:val="left"/>
      </w:pPr>
      <w:r>
        <w:rPr>
          <w:color w:val="000000"/>
          <w:spacing w:val="0"/>
          <w:w w:val="100"/>
          <w:position w:val="0"/>
        </w:rPr>
        <w:t>公司采用近期交易对价方法确定</w:t>
      </w:r>
      <w:r>
        <w:rPr>
          <w:rFonts w:ascii="Times New Roman" w:eastAsia="Times New Roman" w:hAnsi="Times New Roman" w:cs="Times New Roman"/>
          <w:color w:val="000000"/>
          <w:spacing w:val="0"/>
          <w:w w:val="100"/>
          <w:position w:val="0"/>
        </w:rPr>
        <w:t>Ambiq Micro,Inc.2021</w:t>
      </w:r>
      <w:r>
        <w:rPr>
          <w:color w:val="000000"/>
          <w:spacing w:val="0"/>
          <w:w w:val="100"/>
          <w:position w:val="0"/>
        </w:rPr>
        <w:t>年期末公允价值（活跃市场）。</w:t>
      </w:r>
    </w:p>
    <w:p>
      <w:pPr>
        <w:pStyle w:val="Style37"/>
        <w:keepNext/>
        <w:keepLines/>
        <w:widowControl w:val="0"/>
        <w:shd w:val="clear" w:color="auto" w:fill="auto"/>
        <w:tabs>
          <w:tab w:pos="712" w:val="left"/>
        </w:tabs>
        <w:bidi w:val="0"/>
        <w:spacing w:before="0" w:after="220" w:line="466" w:lineRule="exact"/>
        <w:ind w:left="0" w:right="0" w:firstLine="32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color w:val="000000"/>
          <w:spacing w:val="0"/>
          <w:w w:val="100"/>
          <w:position w:val="0"/>
        </w:rPr>
        <w:t>、</w:t>
        <w:tab/>
        <w:t>持续和非持续第二层次公允价值计量项目，采用的估值技术和重要参数的定性及定量信息</w:t>
      </w:r>
      <w:bookmarkEnd w:id="983"/>
      <w:bookmarkEnd w:id="984"/>
      <w:bookmarkEnd w:id="986"/>
    </w:p>
    <w:p>
      <w:pPr>
        <w:pStyle w:val="Style13"/>
        <w:keepNext w:val="0"/>
        <w:keepLines w:val="0"/>
        <w:widowControl w:val="0"/>
        <w:shd w:val="clear" w:color="auto" w:fill="auto"/>
        <w:bidi w:val="0"/>
        <w:spacing w:before="0" w:after="0" w:line="466" w:lineRule="exact"/>
        <w:ind w:left="0" w:right="0" w:firstLine="780"/>
        <w:jc w:val="left"/>
      </w:pPr>
      <w:r>
        <w:rPr>
          <w:color w:val="000000"/>
          <w:spacing w:val="0"/>
          <w:w w:val="100"/>
          <w:position w:val="0"/>
        </w:rPr>
        <w:t>对于应收款项融资，其剩余期限较短，账面余额与公允价值相近；</w:t>
      </w:r>
    </w:p>
    <w:p>
      <w:pPr>
        <w:pStyle w:val="Style13"/>
        <w:keepNext w:val="0"/>
        <w:keepLines w:val="0"/>
        <w:widowControl w:val="0"/>
        <w:shd w:val="clear" w:color="auto" w:fill="auto"/>
        <w:bidi w:val="0"/>
        <w:spacing w:before="0" w:after="220" w:line="466" w:lineRule="exact"/>
        <w:ind w:left="320" w:right="0" w:firstLine="460"/>
        <w:jc w:val="both"/>
      </w:pPr>
      <w:r>
        <w:rPr>
          <w:color w:val="000000"/>
          <w:spacing w:val="0"/>
          <w:w w:val="100"/>
          <w:position w:val="0"/>
        </w:rPr>
        <w:t>公司采用近期交易对价方法确定东莞市沃泰通新能源有限公司</w:t>
      </w:r>
      <w:r>
        <w:rPr>
          <w:rFonts w:ascii="Times New Roman" w:eastAsia="Times New Roman" w:hAnsi="Times New Roman" w:cs="Times New Roman"/>
          <w:color w:val="000000"/>
          <w:spacing w:val="0"/>
          <w:w w:val="100"/>
          <w:position w:val="0"/>
        </w:rPr>
        <w:t>2021</w:t>
      </w:r>
      <w:r>
        <w:rPr>
          <w:color w:val="000000"/>
          <w:spacing w:val="0"/>
          <w:w w:val="100"/>
          <w:position w:val="0"/>
        </w:rPr>
        <w:t>年期末公允价值（非活跃 市场）。</w:t>
      </w:r>
    </w:p>
    <w:p>
      <w:pPr>
        <w:pStyle w:val="Style37"/>
        <w:keepNext/>
        <w:keepLines/>
        <w:widowControl w:val="0"/>
        <w:shd w:val="clear" w:color="auto" w:fill="auto"/>
        <w:tabs>
          <w:tab w:pos="712" w:val="left"/>
        </w:tabs>
        <w:bidi w:val="0"/>
        <w:spacing w:before="0" w:after="220" w:line="466" w:lineRule="exact"/>
        <w:ind w:left="0" w:right="0" w:firstLine="32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4</w:t>
      </w:r>
      <w:bookmarkEnd w:id="989"/>
      <w:r>
        <w:rPr>
          <w:color w:val="000000"/>
          <w:spacing w:val="0"/>
          <w:w w:val="100"/>
          <w:position w:val="0"/>
        </w:rPr>
        <w:t>、</w:t>
        <w:tab/>
        <w:t>持续和非持续第三层次公允价值计量项目，采用的估值技术和重要参数的定性及定量信息</w:t>
      </w:r>
      <w:bookmarkEnd w:id="987"/>
      <w:bookmarkEnd w:id="988"/>
      <w:bookmarkEnd w:id="990"/>
    </w:p>
    <w:p>
      <w:pPr>
        <w:pStyle w:val="Style13"/>
        <w:keepNext w:val="0"/>
        <w:keepLines w:val="0"/>
        <w:widowControl w:val="0"/>
        <w:shd w:val="clear" w:color="auto" w:fill="auto"/>
        <w:bidi w:val="0"/>
        <w:spacing w:before="0" w:after="0" w:line="466" w:lineRule="exact"/>
        <w:ind w:left="320" w:right="0" w:firstLine="460"/>
        <w:jc w:val="both"/>
      </w:pPr>
      <w:r>
        <w:rPr>
          <w:color w:val="000000"/>
          <w:spacing w:val="0"/>
          <w:w w:val="100"/>
          <w:position w:val="0"/>
        </w:rPr>
        <w:t>因被投资企业南京瀚谟新能源产业投资合伙企业（有限合伙）的经营环境和经营情况、财务 状况恶化，所以公司以零元作为公允价值的合理估计进行计量；</w:t>
      </w:r>
    </w:p>
    <w:p>
      <w:pPr>
        <w:pStyle w:val="Style13"/>
        <w:keepNext w:val="0"/>
        <w:keepLines w:val="0"/>
        <w:widowControl w:val="0"/>
        <w:shd w:val="clear" w:color="auto" w:fill="auto"/>
        <w:bidi w:val="0"/>
        <w:spacing w:before="0" w:after="0" w:line="466" w:lineRule="exact"/>
        <w:ind w:left="0" w:right="0" w:firstLine="780"/>
        <w:jc w:val="left"/>
      </w:pPr>
      <w:r>
        <w:rPr>
          <w:color w:val="000000"/>
          <w:spacing w:val="0"/>
          <w:w w:val="100"/>
          <w:position w:val="0"/>
        </w:rPr>
        <w:t>公司采用企业价值评估方法确定思齐资本</w:t>
      </w:r>
      <w:r>
        <w:rPr>
          <w:rFonts w:ascii="Times New Roman" w:eastAsia="Times New Roman" w:hAnsi="Times New Roman" w:cs="Times New Roman"/>
          <w:color w:val="000000"/>
          <w:spacing w:val="0"/>
          <w:w w:val="100"/>
          <w:position w:val="0"/>
        </w:rPr>
        <w:t>2021</w:t>
      </w:r>
      <w:r>
        <w:rPr>
          <w:color w:val="000000"/>
          <w:spacing w:val="0"/>
          <w:w w:val="100"/>
          <w:position w:val="0"/>
        </w:rPr>
        <w:t>年期末公允价值。</w:t>
      </w:r>
    </w:p>
    <w:p>
      <w:pPr>
        <w:pStyle w:val="Style13"/>
        <w:keepNext w:val="0"/>
        <w:keepLines w:val="0"/>
        <w:widowControl w:val="0"/>
        <w:shd w:val="clear" w:color="auto" w:fill="auto"/>
        <w:bidi w:val="0"/>
        <w:spacing w:before="0" w:after="0" w:line="466" w:lineRule="exact"/>
        <w:ind w:left="320" w:right="0" w:firstLine="460"/>
        <w:jc w:val="both"/>
      </w:pPr>
      <w:r>
        <w:rPr>
          <w:color w:val="000000"/>
          <w:spacing w:val="0"/>
          <w:w w:val="100"/>
          <w:position w:val="0"/>
        </w:rPr>
        <w:t>因被投资企业绵阳市绵州通有限责任公司的资产主要为货币性资产，所以公司按被投资单位 的账面资产的预计可变现价值，以及公司持股比例确定公允价值；</w:t>
      </w:r>
    </w:p>
    <w:p>
      <w:pPr>
        <w:pStyle w:val="Style13"/>
        <w:keepNext w:val="0"/>
        <w:keepLines w:val="0"/>
        <w:widowControl w:val="0"/>
        <w:shd w:val="clear" w:color="auto" w:fill="auto"/>
        <w:bidi w:val="0"/>
        <w:spacing w:before="0" w:after="0" w:line="466" w:lineRule="exact"/>
        <w:ind w:left="320" w:right="0" w:firstLine="460"/>
        <w:jc w:val="both"/>
      </w:pPr>
      <w:r>
        <w:rPr>
          <w:color w:val="000000"/>
          <w:spacing w:val="0"/>
          <w:w w:val="100"/>
          <w:position w:val="0"/>
        </w:rPr>
        <w:t>因被投资企业深圳国泰旗兴产业投资基金管理中心（有限合伙）相关人员发生失联事件且普 通合伙人已被除名，由国民投资依法担任清算人，已办理清算人工商备案登记，并于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日取得清算组公章，正式获得深圳国泰旗兴产业投资基金管理中心（有限合伙）清算人资格。 所以公司以零元作为公允价值的合理估计进行计量。</w:t>
      </w:r>
    </w:p>
    <w:p>
      <w:pPr>
        <w:pStyle w:val="Style13"/>
        <w:keepNext w:val="0"/>
        <w:keepLines w:val="0"/>
        <w:widowControl w:val="0"/>
        <w:shd w:val="clear" w:color="auto" w:fill="auto"/>
        <w:bidi w:val="0"/>
        <w:spacing w:before="0" w:after="220" w:line="466" w:lineRule="exact"/>
        <w:ind w:left="320" w:right="0" w:firstLine="460"/>
        <w:jc w:val="both"/>
      </w:pPr>
      <w:r>
        <w:rPr>
          <w:color w:val="000000"/>
          <w:spacing w:val="0"/>
          <w:w w:val="100"/>
          <w:position w:val="0"/>
        </w:rPr>
        <w:t>对于类似房地产交易活跃的投资性房地产，本公司采用估值技术确定其公允价值。所采用估 值技术为收益法。估值技术的输入值主要包括房地产价格、收益年限、年净收益、折现率、年净 收益增长率等。</w:t>
      </w:r>
    </w:p>
    <w:p>
      <w:pPr>
        <w:pStyle w:val="Style13"/>
        <w:keepNext w:val="0"/>
        <w:keepLines w:val="0"/>
        <w:widowControl w:val="0"/>
        <w:shd w:val="clear" w:color="auto" w:fill="auto"/>
        <w:bidi w:val="0"/>
        <w:spacing w:before="0" w:after="120" w:line="466" w:lineRule="exact"/>
        <w:ind w:left="0" w:right="0" w:firstLine="320"/>
        <w:jc w:val="left"/>
      </w:pPr>
      <w:r>
        <w:rPr>
          <w:b/>
          <w:bCs/>
          <w:color w:val="000000"/>
          <w:spacing w:val="0"/>
          <w:w w:val="100"/>
          <w:position w:val="0"/>
        </w:rPr>
        <w:t>十、关联方及其交易</w:t>
      </w:r>
    </w:p>
    <w:p>
      <w:pPr>
        <w:pStyle w:val="Style37"/>
        <w:keepNext/>
        <w:keepLines/>
        <w:widowControl w:val="0"/>
        <w:shd w:val="clear" w:color="auto" w:fill="auto"/>
        <w:tabs>
          <w:tab w:pos="698" w:val="left"/>
        </w:tabs>
        <w:bidi w:val="0"/>
        <w:spacing w:before="0" w:after="220" w:line="466" w:lineRule="exact"/>
        <w:ind w:left="0" w:right="0" w:firstLine="32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1</w:t>
      </w:r>
      <w:bookmarkEnd w:id="993"/>
      <w:r>
        <w:rPr>
          <w:color w:val="000000"/>
          <w:spacing w:val="0"/>
          <w:w w:val="100"/>
          <w:position w:val="0"/>
        </w:rPr>
        <w:t>、</w:t>
        <w:tab/>
        <w:t>本公司的母公司情况</w:t>
      </w:r>
      <w:bookmarkEnd w:id="991"/>
      <w:bookmarkEnd w:id="992"/>
      <w:bookmarkEnd w:id="994"/>
    </w:p>
    <w:p>
      <w:pPr>
        <w:pStyle w:val="Style13"/>
        <w:keepNext w:val="0"/>
        <w:keepLines w:val="0"/>
        <w:widowControl w:val="0"/>
        <w:shd w:val="clear" w:color="auto" w:fill="auto"/>
        <w:bidi w:val="0"/>
        <w:spacing w:before="0" w:after="220" w:line="466" w:lineRule="exact"/>
        <w:ind w:left="0" w:right="0" w:firstLine="780"/>
        <w:jc w:val="both"/>
      </w:pPr>
      <w:r>
        <w:rPr>
          <w:color w:val="000000"/>
          <w:spacing w:val="0"/>
          <w:w w:val="100"/>
          <w:position w:val="0"/>
        </w:rPr>
        <w:t>本公司无母公司。</w:t>
      </w:r>
    </w:p>
    <w:p>
      <w:pPr>
        <w:pStyle w:val="Style37"/>
        <w:keepNext/>
        <w:keepLines/>
        <w:widowControl w:val="0"/>
        <w:shd w:val="clear" w:color="auto" w:fill="auto"/>
        <w:tabs>
          <w:tab w:pos="712" w:val="left"/>
        </w:tabs>
        <w:bidi w:val="0"/>
        <w:spacing w:before="0" w:after="220" w:line="466" w:lineRule="exact"/>
        <w:ind w:left="0" w:right="0" w:firstLine="32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color w:val="000000"/>
          <w:spacing w:val="0"/>
          <w:w w:val="100"/>
          <w:position w:val="0"/>
        </w:rPr>
        <w:t>、</w:t>
        <w:tab/>
        <w:t>本公司的子公司情况</w:t>
      </w:r>
      <w:bookmarkEnd w:id="995"/>
      <w:bookmarkEnd w:id="996"/>
      <w:bookmarkEnd w:id="998"/>
    </w:p>
    <w:p>
      <w:pPr>
        <w:pStyle w:val="Style13"/>
        <w:keepNext w:val="0"/>
        <w:keepLines w:val="0"/>
        <w:widowControl w:val="0"/>
        <w:shd w:val="clear" w:color="auto" w:fill="auto"/>
        <w:bidi w:val="0"/>
        <w:spacing w:before="0" w:after="220" w:line="466" w:lineRule="exact"/>
        <w:ind w:left="0" w:right="0" w:firstLine="780"/>
        <w:jc w:val="both"/>
      </w:pPr>
      <w:r>
        <w:rPr>
          <w:color w:val="000000"/>
          <w:spacing w:val="0"/>
          <w:w w:val="100"/>
          <w:position w:val="0"/>
        </w:rPr>
        <w:t>本公司所属的子公司详见附注七、“在子公司中的权益”。</w:t>
      </w:r>
      <w:r>
        <w:br w:type="page"/>
      </w:r>
    </w:p>
    <w:tbl>
      <w:tblPr>
        <w:tblOverlap w:val="never"/>
        <w:jc w:val="left"/>
        <w:tblLayout w:type="fixed"/>
      </w:tblPr>
      <w:tblGrid>
        <w:gridCol w:w="4042"/>
        <w:gridCol w:w="5280"/>
      </w:tblGrid>
      <w:tr>
        <w:trPr>
          <w:trHeight w:val="2338" w:hRule="exact"/>
        </w:trPr>
        <w:tc>
          <w:tcPr>
            <w:gridSpan w:val="2"/>
            <w:tcBorders>
              <w:top w:val="single" w:sz="4"/>
            </w:tcBorders>
            <w:shd w:val="clear" w:color="auto" w:fill="FFFFFF"/>
            <w:vAlign w:val="center"/>
          </w:tcPr>
          <w:p>
            <w:pPr>
              <w:pStyle w:val="Style2"/>
              <w:keepNext w:val="0"/>
              <w:keepLines w:val="0"/>
              <w:framePr w:w="9322" w:h="3874" w:hSpace="202" w:wrap="notBeside" w:vAnchor="text" w:hAnchor="text" w:x="584" w:y="1"/>
              <w:widowControl w:val="0"/>
              <w:shd w:val="clear" w:color="auto" w:fill="auto"/>
              <w:bidi w:val="0"/>
              <w:spacing w:before="0" w:after="440" w:line="240" w:lineRule="auto"/>
              <w:ind w:left="0" w:right="0" w:firstLine="160"/>
              <w:jc w:val="left"/>
            </w:pPr>
            <w:r>
              <w:rPr>
                <w:b/>
                <w:bCs/>
                <w:color w:val="000000"/>
                <w:spacing w:val="0"/>
                <w:w w:val="100"/>
                <w:position w:val="0"/>
              </w:rPr>
              <w:t>本公司的合营和联营企业情况</w:t>
            </w:r>
          </w:p>
          <w:p>
            <w:pPr>
              <w:pStyle w:val="Style2"/>
              <w:keepNext w:val="0"/>
              <w:keepLines w:val="0"/>
              <w:framePr w:w="9322" w:h="3874" w:hSpace="202" w:wrap="notBeside" w:vAnchor="text" w:hAnchor="text" w:x="584" w:y="1"/>
              <w:widowControl w:val="0"/>
              <w:shd w:val="clear" w:color="auto" w:fill="auto"/>
              <w:bidi w:val="0"/>
              <w:spacing w:before="0" w:after="440" w:line="240" w:lineRule="auto"/>
              <w:ind w:left="0" w:right="0" w:firstLine="280"/>
              <w:jc w:val="left"/>
            </w:pPr>
            <w:r>
              <w:rPr>
                <w:color w:val="000000"/>
                <w:spacing w:val="0"/>
                <w:w w:val="100"/>
                <w:position w:val="0"/>
              </w:rPr>
              <w:t>本公司无合营和联营企业。</w:t>
            </w:r>
          </w:p>
          <w:p>
            <w:pPr>
              <w:pStyle w:val="Style2"/>
              <w:keepNext w:val="0"/>
              <w:keepLines w:val="0"/>
              <w:framePr w:w="9322" w:h="3874" w:hSpace="202" w:wrap="notBeside" w:vAnchor="text" w:hAnchor="text" w:x="584" w:y="1"/>
              <w:widowControl w:val="0"/>
              <w:shd w:val="clear" w:color="auto" w:fill="auto"/>
              <w:bidi w:val="0"/>
              <w:spacing w:before="0" w:after="440" w:line="240" w:lineRule="auto"/>
              <w:ind w:left="0" w:right="0" w:firstLine="160"/>
              <w:jc w:val="left"/>
            </w:pPr>
            <w:r>
              <w:rPr>
                <w:b/>
                <w:bCs/>
                <w:color w:val="000000"/>
                <w:spacing w:val="0"/>
                <w:w w:val="100"/>
                <w:position w:val="0"/>
              </w:rPr>
              <w:t>其他关联方情况</w:t>
            </w:r>
          </w:p>
        </w:tc>
      </w:tr>
      <w:tr>
        <w:trPr>
          <w:trHeight w:val="470" w:hRule="exact"/>
        </w:trPr>
        <w:tc>
          <w:tcPr>
            <w:tcBorders>
              <w:top w:val="single" w:sz="4"/>
            </w:tcBorders>
            <w:shd w:val="clear" w:color="auto" w:fill="FFFFFF"/>
            <w:vAlign w:val="center"/>
          </w:tcPr>
          <w:p>
            <w:pPr>
              <w:pStyle w:val="Style2"/>
              <w:keepNext w:val="0"/>
              <w:keepLines w:val="0"/>
              <w:framePr w:w="9322" w:h="3874" w:hSpace="202" w:wrap="notBeside" w:vAnchor="text" w:hAnchor="text" w:x="584" w:y="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2"/>
              <w:keepNext w:val="0"/>
              <w:keepLines w:val="0"/>
              <w:framePr w:w="9322" w:h="3874" w:hSpace="202" w:wrap="notBeside" w:vAnchor="text" w:hAnchor="text" w:x="584" w:y="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与本公司的关系</w:t>
            </w:r>
          </w:p>
        </w:tc>
      </w:tr>
      <w:tr>
        <w:trPr>
          <w:trHeight w:val="466" w:hRule="exact"/>
        </w:trPr>
        <w:tc>
          <w:tcPr>
            <w:tcBorders>
              <w:top w:val="single" w:sz="4"/>
            </w:tcBorders>
            <w:shd w:val="clear" w:color="auto" w:fill="FFFFFF"/>
            <w:vAlign w:val="center"/>
          </w:tcPr>
          <w:p>
            <w:pPr>
              <w:pStyle w:val="Style2"/>
              <w:keepNext w:val="0"/>
              <w:keepLines w:val="0"/>
              <w:framePr w:w="9322" w:h="3874" w:hSpace="202" w:wrap="notBeside" w:vAnchor="text" w:hAnchor="text" w:x="584" w:y="1"/>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Ambiq Micro,Inc.</w:t>
            </w:r>
          </w:p>
        </w:tc>
        <w:tc>
          <w:tcPr>
            <w:tcBorders>
              <w:top w:val="single" w:sz="4"/>
              <w:left w:val="single" w:sz="4"/>
            </w:tcBorders>
            <w:shd w:val="clear" w:color="auto" w:fill="FFFFFF"/>
            <w:vAlign w:val="center"/>
          </w:tcPr>
          <w:p>
            <w:pPr>
              <w:pStyle w:val="Style2"/>
              <w:keepNext w:val="0"/>
              <w:keepLines w:val="0"/>
              <w:framePr w:w="9322" w:h="3874" w:hSpace="202" w:wrap="notBeside" w:vAnchor="text" w:hAnchor="text" w:x="584"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其他投资单位</w:t>
            </w:r>
          </w:p>
        </w:tc>
      </w:tr>
      <w:tr>
        <w:trPr>
          <w:trHeight w:val="600" w:hRule="exact"/>
        </w:trPr>
        <w:tc>
          <w:tcPr>
            <w:tcBorders>
              <w:top w:val="single" w:sz="4"/>
              <w:bottom w:val="single" w:sz="4"/>
            </w:tcBorders>
            <w:shd w:val="clear" w:color="auto" w:fill="FFFFFF"/>
            <w:vAlign w:val="top"/>
          </w:tcPr>
          <w:p>
            <w:pPr>
              <w:pStyle w:val="Style2"/>
              <w:keepNext w:val="0"/>
              <w:keepLines w:val="0"/>
              <w:framePr w:w="9322" w:h="3874" w:hSpace="202" w:wrap="notBeside" w:vAnchor="text" w:hAnchor="text" w:x="584" w:y="1"/>
              <w:widowControl w:val="0"/>
              <w:shd w:val="clear" w:color="auto" w:fill="auto"/>
              <w:bidi w:val="0"/>
              <w:spacing w:before="0" w:after="0" w:line="293" w:lineRule="exact"/>
              <w:ind w:left="240" w:right="0" w:firstLine="0"/>
              <w:jc w:val="left"/>
              <w:rPr>
                <w:sz w:val="20"/>
                <w:szCs w:val="20"/>
              </w:rPr>
            </w:pPr>
            <w:r>
              <w:rPr>
                <w:color w:val="000000"/>
                <w:spacing w:val="0"/>
                <w:w w:val="100"/>
                <w:position w:val="0"/>
                <w:sz w:val="20"/>
                <w:szCs w:val="20"/>
              </w:rPr>
              <w:t>华夏芯（北京）通用处理器技术有限公 司</w:t>
            </w:r>
          </w:p>
        </w:tc>
        <w:tc>
          <w:tcPr>
            <w:tcBorders>
              <w:top w:val="single" w:sz="4"/>
              <w:left w:val="single" w:sz="4"/>
              <w:bottom w:val="single" w:sz="4"/>
            </w:tcBorders>
            <w:shd w:val="clear" w:color="auto" w:fill="FFFFFF"/>
            <w:vAlign w:val="center"/>
          </w:tcPr>
          <w:p>
            <w:pPr>
              <w:pStyle w:val="Style2"/>
              <w:keepNext w:val="0"/>
              <w:keepLines w:val="0"/>
              <w:framePr w:w="9322" w:h="3874" w:hSpace="202" w:wrap="notBeside" w:vAnchor="text" w:hAnchor="text" w:x="584"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联营单位（本期已退出）</w:t>
            </w:r>
          </w:p>
        </w:tc>
      </w:tr>
    </w:tbl>
    <w:p>
      <w:pPr>
        <w:pStyle w:val="Style30"/>
        <w:keepNext w:val="0"/>
        <w:keepLines w:val="0"/>
        <w:framePr w:w="389" w:h="288" w:hSpace="381" w:wrap="notBeside" w:vAnchor="text" w:hAnchor="text" w:x="382" w:y="356"/>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sz w:val="22"/>
          <w:szCs w:val="22"/>
        </w:rPr>
        <w:t>、</w:t>
      </w:r>
    </w:p>
    <w:p>
      <w:pPr>
        <w:pStyle w:val="Style30"/>
        <w:keepNext w:val="0"/>
        <w:keepLines w:val="0"/>
        <w:framePr w:w="389" w:h="288" w:hSpace="381" w:wrap="notBeside" w:vAnchor="text" w:hAnchor="text" w:x="382" w:y="1739"/>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4</w:t>
      </w:r>
      <w:r>
        <w:rPr>
          <w:b/>
          <w:bCs/>
          <w:color w:val="000000"/>
          <w:spacing w:val="0"/>
          <w:w w:val="100"/>
          <w:position w:val="0"/>
          <w:sz w:val="22"/>
          <w:szCs w:val="22"/>
        </w:rPr>
        <w:t>、</w:t>
      </w:r>
    </w:p>
    <w:p>
      <w:pPr>
        <w:widowControl w:val="0"/>
        <w:spacing w:line="1" w:lineRule="exact"/>
      </w:pPr>
    </w:p>
    <w:p>
      <w:pPr>
        <w:pStyle w:val="Style37"/>
        <w:keepNext/>
        <w:keepLines/>
        <w:widowControl w:val="0"/>
        <w:shd w:val="clear" w:color="auto" w:fill="auto"/>
        <w:bidi w:val="0"/>
        <w:spacing w:before="0" w:after="400" w:line="240" w:lineRule="auto"/>
        <w:ind w:left="0" w:right="0" w:firstLine="24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5</w:t>
      </w:r>
      <w:bookmarkEnd w:id="1001"/>
      <w:r>
        <w:rPr>
          <w:color w:val="000000"/>
          <w:spacing w:val="0"/>
          <w:w w:val="100"/>
          <w:position w:val="0"/>
        </w:rPr>
        <w:t>、关联方交易情况</w:t>
      </w:r>
      <w:bookmarkEnd w:id="1000"/>
      <w:bookmarkEnd w:id="1002"/>
      <w:bookmarkEnd w:id="999"/>
    </w:p>
    <w:p>
      <w:pPr>
        <w:pStyle w:val="Style13"/>
        <w:keepNext w:val="0"/>
        <w:keepLines w:val="0"/>
        <w:widowControl w:val="0"/>
        <w:shd w:val="clear" w:color="auto" w:fill="auto"/>
        <w:bidi w:val="0"/>
        <w:spacing w:before="0" w:after="180" w:line="240" w:lineRule="auto"/>
        <w:ind w:left="0" w:right="0" w:firstLine="7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p>
    <w:p>
      <w:pPr>
        <w:pStyle w:val="Style30"/>
        <w:keepNext w:val="0"/>
        <w:keepLines w:val="0"/>
        <w:widowControl w:val="0"/>
        <w:shd w:val="clear" w:color="auto" w:fill="auto"/>
        <w:bidi w:val="0"/>
        <w:spacing w:before="0" w:after="0" w:line="240" w:lineRule="auto"/>
        <w:ind w:left="595" w:right="0" w:firstLine="0"/>
        <w:jc w:val="left"/>
        <w:rPr>
          <w:sz w:val="22"/>
          <w:szCs w:val="22"/>
        </w:rPr>
      </w:pPr>
      <w:r>
        <w:rPr>
          <w:color w:val="000000"/>
          <w:spacing w:val="0"/>
          <w:w w:val="100"/>
          <w:position w:val="0"/>
          <w:sz w:val="22"/>
          <w:szCs w:val="22"/>
        </w:rPr>
        <w:t>①采购商品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接受劳务情况</w:t>
      </w:r>
    </w:p>
    <w:tbl>
      <w:tblPr>
        <w:tblOverlap w:val="never"/>
        <w:jc w:val="center"/>
        <w:tblLayout w:type="fixed"/>
      </w:tblPr>
      <w:tblGrid>
        <w:gridCol w:w="3130"/>
        <w:gridCol w:w="2098"/>
        <w:gridCol w:w="2074"/>
        <w:gridCol w:w="2059"/>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关联交易内容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57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69" w:lineRule="exact"/>
              <w:ind w:left="320" w:right="0" w:firstLine="0"/>
              <w:jc w:val="left"/>
              <w:rPr>
                <w:sz w:val="20"/>
                <w:szCs w:val="20"/>
              </w:rPr>
            </w:pPr>
            <w:r>
              <w:rPr>
                <w:color w:val="000000"/>
                <w:spacing w:val="0"/>
                <w:w w:val="100"/>
                <w:position w:val="0"/>
                <w:sz w:val="20"/>
                <w:szCs w:val="20"/>
              </w:rPr>
              <w:t>华夏芯（北京）通用处理器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7,301,000.00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7,301,000.00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95" w:right="0" w:firstLine="0"/>
        <w:jc w:val="left"/>
        <w:rPr>
          <w:sz w:val="22"/>
          <w:szCs w:val="22"/>
        </w:rPr>
      </w:pPr>
      <w:r>
        <w:rPr>
          <w:color w:val="000000"/>
          <w:spacing w:val="0"/>
          <w:w w:val="100"/>
          <w:position w:val="0"/>
          <w:sz w:val="22"/>
          <w:szCs w:val="22"/>
        </w:rPr>
        <w:t>②出售商品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提供劳务情况</w:t>
      </w:r>
    </w:p>
    <w:tbl>
      <w:tblPr>
        <w:tblOverlap w:val="never"/>
        <w:jc w:val="center"/>
        <w:tblLayout w:type="fixed"/>
      </w:tblPr>
      <w:tblGrid>
        <w:gridCol w:w="2813"/>
        <w:gridCol w:w="2414"/>
        <w:gridCol w:w="2074"/>
        <w:gridCol w:w="2059"/>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关联交易内容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Ambiq Micro,Inc.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7,328,451.08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12,911,750.79</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7,328,451.08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12,911,750.79</w:t>
            </w:r>
          </w:p>
        </w:tc>
      </w:tr>
    </w:tbl>
    <w:p>
      <w:pPr>
        <w:widowControl w:val="0"/>
        <w:spacing w:after="3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38"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）关键管理人员报酬</w:t>
      </w:r>
    </w:p>
    <w:tbl>
      <w:tblPr>
        <w:tblOverlap w:val="never"/>
        <w:jc w:val="center"/>
        <w:tblLayout w:type="fixed"/>
      </w:tblPr>
      <w:tblGrid>
        <w:gridCol w:w="4526"/>
        <w:gridCol w:w="2338"/>
        <w:gridCol w:w="2467"/>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9,344,945.98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6,764,600.00</w:t>
            </w:r>
          </w:p>
        </w:tc>
      </w:tr>
    </w:tbl>
    <w:p>
      <w:pPr>
        <w:pStyle w:val="Style30"/>
        <w:keepNext w:val="0"/>
        <w:keepLines w:val="0"/>
        <w:widowControl w:val="0"/>
        <w:shd w:val="clear" w:color="auto" w:fill="auto"/>
        <w:bidi w:val="0"/>
        <w:spacing w:before="0" w:after="0" w:line="240" w:lineRule="auto"/>
        <w:ind w:left="53" w:right="0" w:firstLine="0"/>
        <w:jc w:val="left"/>
        <w:rPr>
          <w:sz w:val="22"/>
          <w:szCs w:val="22"/>
        </w:rPr>
      </w:pPr>
      <w:r>
        <w:rPr>
          <w:rFonts w:ascii="Times New Roman" w:eastAsia="Times New Roman" w:hAnsi="Times New Roman" w:cs="Times New Roman"/>
          <w:b/>
          <w:bCs/>
          <w:color w:val="000000"/>
          <w:spacing w:val="0"/>
          <w:w w:val="100"/>
          <w:position w:val="0"/>
          <w:sz w:val="22"/>
          <w:szCs w:val="22"/>
        </w:rPr>
        <w:t>6</w:t>
      </w:r>
      <w:r>
        <w:rPr>
          <w:b/>
          <w:bCs/>
          <w:color w:val="000000"/>
          <w:spacing w:val="0"/>
          <w:w w:val="100"/>
          <w:position w:val="0"/>
          <w:sz w:val="22"/>
          <w:szCs w:val="22"/>
        </w:rPr>
        <w:t>、关联方应收应付款项</w:t>
      </w:r>
    </w:p>
    <w:p>
      <w:pPr>
        <w:widowControl w:val="0"/>
        <w:spacing w:after="399" w:line="1" w:lineRule="exact"/>
      </w:pPr>
    </w:p>
    <w:p>
      <w:pPr>
        <w:pStyle w:val="Style13"/>
        <w:keepNext w:val="0"/>
        <w:keepLines w:val="0"/>
        <w:widowControl w:val="0"/>
        <w:shd w:val="clear" w:color="auto" w:fill="auto"/>
        <w:bidi w:val="0"/>
        <w:spacing w:before="0" w:after="360" w:line="240" w:lineRule="auto"/>
        <w:ind w:left="0" w:right="0" w:firstLine="780"/>
        <w:jc w:val="left"/>
      </w:pPr>
      <w:r>
        <w:rPr>
          <w:color w:val="000000"/>
          <w:spacing w:val="0"/>
          <w:w w:val="100"/>
          <w:position w:val="0"/>
        </w:rPr>
        <w:t>应收项目</w:t>
      </w:r>
    </w:p>
    <w:p>
      <w:pPr>
        <w:widowControl w:val="0"/>
        <w:spacing w:line="1" w:lineRule="exact"/>
      </w:pPr>
      <w:r>
        <mc:AlternateContent>
          <mc:Choice Requires="wps">
            <w:drawing>
              <wp:anchor distT="219710" distB="207010" distL="0" distR="0" simplePos="0" relativeHeight="125829422" behindDoc="0" locked="0" layoutInCell="1" allowOverlap="1">
                <wp:simplePos x="0" y="0"/>
                <wp:positionH relativeFrom="page">
                  <wp:posOffset>793750</wp:posOffset>
                </wp:positionH>
                <wp:positionV relativeFrom="paragraph">
                  <wp:posOffset>219710</wp:posOffset>
                </wp:positionV>
                <wp:extent cx="585470" cy="176530"/>
                <wp:wrapTopAndBottom/>
                <wp:docPr id="55" name="Shape 55"/>
                <a:graphic xmlns:a="http://schemas.openxmlformats.org/drawingml/2006/main">
                  <a:graphicData uri="http://schemas.microsoft.com/office/word/2010/wordprocessingShape">
                    <wps:wsp>
                      <wps:cNvSpPr txBox="1"/>
                      <wps:spPr>
                        <a:xfrm>
                          <a:ext cx="585470" cy="1765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项目名称</w:t>
                            </w:r>
                          </w:p>
                        </w:txbxContent>
                      </wps:txbx>
                      <wps:bodyPr wrap="none" lIns="0" tIns="0" rIns="0" bIns="0">
                        <a:noAutoFit/>
                      </wps:bodyPr>
                    </wps:wsp>
                  </a:graphicData>
                </a:graphic>
              </wp:anchor>
            </w:drawing>
          </mc:Choice>
          <mc:Fallback>
            <w:pict>
              <v:shape id="_x0000_s1081" type="#_x0000_t202" style="position:absolute;margin-left:62.5pt;margin-top:17.300000000000001pt;width:46.100000000000001pt;height:13.9pt;z-index:-125829331;mso-wrap-distance-left:0;mso-wrap-distance-top:17.300000000000001pt;mso-wrap-distance-right:0;mso-wrap-distance-bottom:16.300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项目名称</w:t>
                      </w:r>
                    </w:p>
                  </w:txbxContent>
                </v:textbox>
                <w10:wrap type="topAndBottom" anchorx="page"/>
              </v:shape>
            </w:pict>
          </mc:Fallback>
        </mc:AlternateContent>
      </w:r>
      <w:r>
        <mc:AlternateContent>
          <mc:Choice Requires="wps">
            <w:drawing>
              <wp:anchor distT="219710" distB="203835" distL="0" distR="0" simplePos="0" relativeHeight="125829424" behindDoc="0" locked="0" layoutInCell="1" allowOverlap="1">
                <wp:simplePos x="0" y="0"/>
                <wp:positionH relativeFrom="page">
                  <wp:posOffset>1899920</wp:posOffset>
                </wp:positionH>
                <wp:positionV relativeFrom="paragraph">
                  <wp:posOffset>219710</wp:posOffset>
                </wp:positionV>
                <wp:extent cx="445135" cy="179705"/>
                <wp:wrapTopAndBottom/>
                <wp:docPr id="57" name="Shape 57"/>
                <a:graphic xmlns:a="http://schemas.openxmlformats.org/drawingml/2006/main">
                  <a:graphicData uri="http://schemas.microsoft.com/office/word/2010/wordprocessingShape">
                    <wps:wsp>
                      <wps:cNvSpPr txBox="1"/>
                      <wps:spPr>
                        <a:xfrm>
                          <a:ext cx="445135" cy="1797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关联方</w:t>
                            </w:r>
                          </w:p>
                        </w:txbxContent>
                      </wps:txbx>
                      <wps:bodyPr wrap="none" lIns="0" tIns="0" rIns="0" bIns="0">
                        <a:noAutoFit/>
                      </wps:bodyPr>
                    </wps:wsp>
                  </a:graphicData>
                </a:graphic>
              </wp:anchor>
            </w:drawing>
          </mc:Choice>
          <mc:Fallback>
            <w:pict>
              <v:shape id="_x0000_s1083" type="#_x0000_t202" style="position:absolute;margin-left:149.59999999999999pt;margin-top:17.300000000000001pt;width:35.050000000000004pt;height:14.15pt;z-index:-125829329;mso-wrap-distance-left:0;mso-wrap-distance-top:17.300000000000001pt;mso-wrap-distance-right:0;mso-wrap-distance-bottom:16.050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关联方</w:t>
                      </w:r>
                    </w:p>
                  </w:txbxContent>
                </v:textbox>
                <w10:wrap type="topAndBottom" anchorx="page"/>
              </v:shape>
            </w:pict>
          </mc:Fallback>
        </mc:AlternateContent>
      </w:r>
      <w:r>
        <mc:AlternateContent>
          <mc:Choice Requires="wps">
            <w:drawing>
              <wp:anchor distT="0" distB="0" distL="0" distR="0" simplePos="0" relativeHeight="125829426" behindDoc="0" locked="0" layoutInCell="1" allowOverlap="1">
                <wp:simplePos x="0" y="0"/>
                <wp:positionH relativeFrom="page">
                  <wp:posOffset>2692400</wp:posOffset>
                </wp:positionH>
                <wp:positionV relativeFrom="paragraph">
                  <wp:posOffset>0</wp:posOffset>
                </wp:positionV>
                <wp:extent cx="3757930" cy="603250"/>
                <wp:wrapTopAndBottom/>
                <wp:docPr id="59" name="Shape 59"/>
                <a:graphic xmlns:a="http://schemas.openxmlformats.org/drawingml/2006/main">
                  <a:graphicData uri="http://schemas.microsoft.com/office/word/2010/wordprocessingShape">
                    <wps:wsp>
                      <wps:cNvSpPr txBox="1"/>
                      <wps:spPr>
                        <a:xfrm>
                          <a:ext cx="3757930" cy="603250"/>
                        </a:xfrm>
                        <a:prstGeom prst="rect"/>
                        <a:noFill/>
                      </wps:spPr>
                      <wps:txbx>
                        <w:txbxContent>
                          <w:tbl>
                            <w:tblPr>
                              <w:tblOverlap w:val="never"/>
                              <w:jc w:val="left"/>
                              <w:tblLayout w:type="fixed"/>
                            </w:tblPr>
                            <w:tblGrid>
                              <w:gridCol w:w="1565"/>
                              <w:gridCol w:w="1277"/>
                              <w:gridCol w:w="1699"/>
                              <w:gridCol w:w="1378"/>
                            </w:tblGrid>
                            <w:tr>
                              <w:trPr>
                                <w:tblHeader/>
                                <w:trHeight w:val="48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坏账准备</w:t>
                                  </w:r>
                                </w:p>
                              </w:tc>
                            </w:tr>
                          </w:tbl>
                          <w:p>
                            <w:pPr>
                              <w:widowControl w:val="0"/>
                              <w:spacing w:line="1" w:lineRule="exact"/>
                            </w:pPr>
                          </w:p>
                        </w:txbxContent>
                      </wps:txbx>
                      <wps:bodyPr lIns="0" tIns="0" rIns="0" bIns="0">
                        <a:noAutoFit/>
                      </wps:bodyPr>
                    </wps:wsp>
                  </a:graphicData>
                </a:graphic>
              </wp:anchor>
            </w:drawing>
          </mc:Choice>
          <mc:Fallback>
            <w:pict>
              <v:shape id="_x0000_s1085" type="#_x0000_t202" style="position:absolute;margin-left:212.pt;margin-top:0;width:295.90000000000003pt;height:47.5pt;z-index:-125829327;mso-wrap-distance-left:0;mso-wrap-distance-right:0;mso-position-horizontal-relative:page" filled="f" stroked="f">
                <v:textbox inset="0,0,0,0">
                  <w:txbxContent>
                    <w:tbl>
                      <w:tblPr>
                        <w:tblOverlap w:val="never"/>
                        <w:jc w:val="left"/>
                        <w:tblLayout w:type="fixed"/>
                      </w:tblPr>
                      <w:tblGrid>
                        <w:gridCol w:w="1565"/>
                        <w:gridCol w:w="1277"/>
                        <w:gridCol w:w="1699"/>
                        <w:gridCol w:w="1378"/>
                      </w:tblGrid>
                      <w:tr>
                        <w:trPr>
                          <w:tblHeader/>
                          <w:trHeight w:val="48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坏账准备</w:t>
                            </w:r>
                          </w:p>
                        </w:tc>
                      </w:tr>
                    </w:tbl>
                    <w:p>
                      <w:pPr>
                        <w:widowControl w:val="0"/>
                        <w:spacing w:line="1" w:lineRule="exact"/>
                      </w:pPr>
                    </w:p>
                  </w:txbxContent>
                </v:textbox>
                <w10:wrap type="topAndBottom" anchorx="page"/>
              </v:shape>
            </w:pict>
          </mc:Fallback>
        </mc:AlternateContent>
      </w:r>
    </w:p>
    <w:p>
      <w:pPr>
        <w:pStyle w:val="Style74"/>
        <w:keepNext w:val="0"/>
        <w:keepLines w:val="0"/>
        <w:widowControl w:val="0"/>
        <w:shd w:val="clear" w:color="auto" w:fill="auto"/>
        <w:tabs>
          <w:tab w:pos="4999" w:val="left"/>
          <w:tab w:pos="6444" w:val="left"/>
          <w:tab w:pos="8234" w:val="left"/>
        </w:tabs>
        <w:bidi w:val="0"/>
        <w:spacing w:before="0" w:after="460" w:line="240" w:lineRule="auto"/>
        <w:ind w:left="0" w:right="0" w:firstLine="180"/>
        <w:jc w:val="both"/>
      </w:pPr>
      <w:r>
        <w:rPr>
          <w:rFonts w:ascii="SimSun" w:eastAsia="SimSun" w:hAnsi="SimSun" w:cs="SimSun"/>
          <w:color w:val="000000"/>
          <w:spacing w:val="0"/>
          <w:w w:val="100"/>
          <w:position w:val="0"/>
          <w:sz w:val="20"/>
          <w:szCs w:val="20"/>
        </w:rPr>
        <w:t xml:space="preserve">应收账款 </w:t>
      </w:r>
      <w:r>
        <w:rPr>
          <w:color w:val="000000"/>
          <w:spacing w:val="0"/>
          <w:w w:val="100"/>
          <w:position w:val="0"/>
        </w:rPr>
        <w:t>Ambiq Micro Inc 3,009,346.34</w:t>
        <w:tab/>
        <w:t>30,093.46</w:t>
        <w:tab/>
        <w:t>1,680,817.18</w:t>
        <w:tab/>
        <w:t>16,808.17</w:t>
      </w:r>
    </w:p>
    <w:p>
      <w:pPr>
        <w:pStyle w:val="Style13"/>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十一、股份支付</w:t>
      </w:r>
    </w:p>
    <w:p>
      <w:pPr>
        <w:pStyle w:val="Style37"/>
        <w:keepNext/>
        <w:keepLines/>
        <w:widowControl w:val="0"/>
        <w:shd w:val="clear" w:color="auto" w:fill="auto"/>
        <w:bidi w:val="0"/>
        <w:spacing w:before="0" w:after="300" w:line="240" w:lineRule="auto"/>
        <w:ind w:left="0" w:right="0" w:firstLine="0"/>
        <w:jc w:val="both"/>
      </w:pPr>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003"/>
      <w:bookmarkEnd w:id="1004"/>
      <w:bookmarkEnd w:id="1005"/>
    </w:p>
    <w:tbl>
      <w:tblPr>
        <w:tblOverlap w:val="never"/>
        <w:jc w:val="center"/>
        <w:tblLayout w:type="fixed"/>
      </w:tblPr>
      <w:tblGrid>
        <w:gridCol w:w="4776"/>
        <w:gridCol w:w="4517"/>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相关内容</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公司本年授予的各项权益工具总额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35,049,000.00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公司本年行权的各项权益工具总额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公司本年失效的各项权益工具总额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r>
      <w:tr>
        <w:trPr>
          <w:trHeight w:val="379"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tc>
      </w:tr>
    </w:tbl>
    <w:p>
      <w:pPr>
        <w:pStyle w:val="Style13"/>
        <w:keepNext w:val="0"/>
        <w:keepLines w:val="0"/>
        <w:widowControl w:val="0"/>
        <w:shd w:val="clear" w:color="auto" w:fill="auto"/>
        <w:tabs>
          <w:tab w:pos="989" w:val="left"/>
        </w:tabs>
        <w:bidi w:val="0"/>
        <w:spacing w:before="0" w:after="0" w:line="469" w:lineRule="exact"/>
        <w:ind w:left="0" w:right="0" w:firstLine="48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年首次授予限制性股票情况说明</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日第五届董事会第三次会议通过的《关于公司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 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及其摘要的议案向激励对象首次授予限制性股票的议案》，并于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日经 </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年第一次临时股东大会会议决议，向激励对象授予限制性股票</w:t>
      </w:r>
      <w:r>
        <w:rPr>
          <w:rFonts w:ascii="Times New Roman" w:eastAsia="Times New Roman" w:hAnsi="Times New Roman" w:cs="Times New Roman"/>
          <w:color w:val="000000"/>
          <w:spacing w:val="0"/>
          <w:w w:val="100"/>
          <w:position w:val="0"/>
        </w:rPr>
        <w:t>3,830.9</w:t>
      </w:r>
      <w:r>
        <w:rPr>
          <w:rFonts w:ascii="Times New Roman" w:eastAsia="Times New Roman" w:hAnsi="Times New Roman" w:cs="Times New Roman"/>
          <w:color w:val="000000"/>
          <w:spacing w:val="0"/>
          <w:w w:val="100"/>
          <w:position w:val="0"/>
        </w:rPr>
        <w:t>0</w:t>
      </w:r>
      <w:r>
        <w:rPr>
          <w:color w:val="000000"/>
          <w:spacing w:val="0"/>
          <w:w w:val="100"/>
          <w:position w:val="0"/>
        </w:rPr>
        <w:t xml:space="preserve">万股，其中首次授予 </w:t>
      </w:r>
      <w:r>
        <w:rPr>
          <w:rFonts w:ascii="Times New Roman" w:eastAsia="Times New Roman" w:hAnsi="Times New Roman" w:cs="Times New Roman"/>
          <w:color w:val="000000"/>
          <w:spacing w:val="0"/>
          <w:w w:val="100"/>
          <w:position w:val="0"/>
        </w:rPr>
        <w:t>3,530.9</w:t>
      </w:r>
      <w:r>
        <w:rPr>
          <w:rFonts w:ascii="Times New Roman" w:eastAsia="Times New Roman" w:hAnsi="Times New Roman" w:cs="Times New Roman"/>
          <w:color w:val="000000"/>
          <w:spacing w:val="0"/>
          <w:w w:val="100"/>
          <w:position w:val="0"/>
        </w:rPr>
        <w:t>0</w:t>
      </w:r>
      <w:r>
        <w:rPr>
          <w:color w:val="000000"/>
          <w:spacing w:val="0"/>
          <w:w w:val="100"/>
          <w:position w:val="0"/>
        </w:rPr>
        <w:t>万股，预留</w:t>
      </w:r>
      <w:r>
        <w:rPr>
          <w:rFonts w:ascii="Times New Roman" w:eastAsia="Times New Roman" w:hAnsi="Times New Roman" w:cs="Times New Roman"/>
          <w:color w:val="000000"/>
          <w:spacing w:val="0"/>
          <w:w w:val="100"/>
          <w:position w:val="0"/>
        </w:rPr>
        <w:t>300.00</w:t>
      </w:r>
      <w:r>
        <w:rPr>
          <w:color w:val="000000"/>
          <w:spacing w:val="0"/>
          <w:w w:val="100"/>
          <w:position w:val="0"/>
        </w:rPr>
        <w:t>万股。首次授予价格</w:t>
      </w:r>
      <w:r>
        <w:rPr>
          <w:rFonts w:ascii="Times New Roman" w:eastAsia="Times New Roman" w:hAnsi="Times New Roman" w:cs="Times New Roman"/>
          <w:color w:val="000000"/>
          <w:spacing w:val="0"/>
          <w:w w:val="100"/>
          <w:position w:val="0"/>
        </w:rPr>
        <w:t>6.10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日国民技术公司召开第五 届董事会第四次会议，审议通过了《关于向激励对象首次授予限制性股票的议案》。</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在缴款登记过程中，部分激励对象因个人原因全部或部分放弃其拟获授的限制性股票合计 </w:t>
      </w:r>
      <w:r>
        <w:rPr>
          <w:rFonts w:ascii="Times New Roman" w:eastAsia="Times New Roman" w:hAnsi="Times New Roman" w:cs="Times New Roman"/>
          <w:color w:val="000000"/>
          <w:spacing w:val="0"/>
          <w:w w:val="100"/>
          <w:position w:val="0"/>
        </w:rPr>
        <w:t>26.00</w:t>
      </w:r>
      <w:r>
        <w:rPr>
          <w:color w:val="000000"/>
          <w:spacing w:val="0"/>
          <w:w w:val="100"/>
          <w:position w:val="0"/>
        </w:rPr>
        <w:t>万股，因此，本次授予限制性股票数量由</w:t>
      </w:r>
      <w:r>
        <w:rPr>
          <w:rFonts w:ascii="Times New Roman" w:eastAsia="Times New Roman" w:hAnsi="Times New Roman" w:cs="Times New Roman"/>
          <w:color w:val="000000"/>
          <w:spacing w:val="0"/>
          <w:w w:val="100"/>
          <w:position w:val="0"/>
        </w:rPr>
        <w:t>3,530.9</w:t>
      </w:r>
      <w:r>
        <w:rPr>
          <w:rFonts w:ascii="Times New Roman" w:eastAsia="Times New Roman" w:hAnsi="Times New Roman" w:cs="Times New Roman"/>
          <w:color w:val="000000"/>
          <w:spacing w:val="0"/>
          <w:w w:val="100"/>
          <w:position w:val="0"/>
        </w:rPr>
        <w:t>0</w:t>
      </w:r>
      <w:r>
        <w:rPr>
          <w:color w:val="000000"/>
          <w:spacing w:val="0"/>
          <w:w w:val="100"/>
          <w:position w:val="0"/>
        </w:rPr>
        <w:t>万股调整为</w:t>
      </w:r>
      <w:r>
        <w:rPr>
          <w:rFonts w:ascii="Times New Roman" w:eastAsia="Times New Roman" w:hAnsi="Times New Roman" w:cs="Times New Roman"/>
          <w:color w:val="000000"/>
          <w:spacing w:val="0"/>
          <w:w w:val="100"/>
          <w:position w:val="0"/>
        </w:rPr>
        <w:t>3,504.9</w:t>
      </w:r>
      <w:r>
        <w:rPr>
          <w:rFonts w:ascii="Times New Roman" w:eastAsia="Times New Roman" w:hAnsi="Times New Roman" w:cs="Times New Roman"/>
          <w:color w:val="000000"/>
          <w:spacing w:val="0"/>
          <w:w w:val="100"/>
          <w:position w:val="0"/>
        </w:rPr>
        <w:t>0</w:t>
      </w:r>
      <w:r>
        <w:rPr>
          <w:color w:val="000000"/>
          <w:spacing w:val="0"/>
          <w:w w:val="100"/>
          <w:position w:val="0"/>
        </w:rPr>
        <w:t>万股，实际获授的激励 对象人数由</w:t>
      </w:r>
      <w:r>
        <w:rPr>
          <w:rFonts w:ascii="Times New Roman" w:eastAsia="Times New Roman" w:hAnsi="Times New Roman" w:cs="Times New Roman"/>
          <w:color w:val="000000"/>
          <w:spacing w:val="0"/>
          <w:w w:val="100"/>
          <w:position w:val="0"/>
        </w:rPr>
        <w:t>124</w:t>
      </w:r>
      <w:r>
        <w:rPr>
          <w:color w:val="000000"/>
          <w:spacing w:val="0"/>
          <w:w w:val="100"/>
          <w:position w:val="0"/>
        </w:rPr>
        <w:t>人调整为</w:t>
      </w:r>
      <w:r>
        <w:rPr>
          <w:rFonts w:ascii="Times New Roman" w:eastAsia="Times New Roman" w:hAnsi="Times New Roman" w:cs="Times New Roman"/>
          <w:color w:val="000000"/>
          <w:spacing w:val="0"/>
          <w:w w:val="100"/>
          <w:position w:val="0"/>
        </w:rPr>
        <w:t>123</w:t>
      </w:r>
      <w:r>
        <w:rPr>
          <w:color w:val="000000"/>
          <w:spacing w:val="0"/>
          <w:w w:val="100"/>
          <w:position w:val="0"/>
        </w:rPr>
        <w:t>人。</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日，公司已收到股权激励对象共计</w:t>
      </w:r>
      <w:r>
        <w:rPr>
          <w:rFonts w:ascii="Times New Roman" w:eastAsia="Times New Roman" w:hAnsi="Times New Roman" w:cs="Times New Roman"/>
          <w:color w:val="000000"/>
          <w:spacing w:val="0"/>
          <w:w w:val="100"/>
          <w:position w:val="0"/>
        </w:rPr>
        <w:t>123</w:t>
      </w:r>
      <w:r>
        <w:rPr>
          <w:color w:val="000000"/>
          <w:spacing w:val="0"/>
          <w:w w:val="100"/>
          <w:position w:val="0"/>
        </w:rPr>
        <w:t xml:space="preserve">人缴纳的新增出资额为人民币 </w:t>
      </w:r>
      <w:r>
        <w:rPr>
          <w:rFonts w:ascii="Times New Roman" w:eastAsia="Times New Roman" w:hAnsi="Times New Roman" w:cs="Times New Roman"/>
          <w:color w:val="000000"/>
          <w:spacing w:val="0"/>
          <w:w w:val="100"/>
          <w:position w:val="0"/>
        </w:rPr>
        <w:t>21,379.89</w:t>
      </w:r>
      <w:r>
        <w:rPr>
          <w:color w:val="000000"/>
          <w:spacing w:val="0"/>
          <w:w w:val="100"/>
          <w:position w:val="0"/>
        </w:rPr>
        <w:t>万元，均以货币出资。其中注册资本（股本）为人民币</w:t>
      </w:r>
      <w:r>
        <w:rPr>
          <w:rFonts w:ascii="Times New Roman" w:eastAsia="Times New Roman" w:hAnsi="Times New Roman" w:cs="Times New Roman"/>
          <w:color w:val="000000"/>
          <w:spacing w:val="0"/>
          <w:w w:val="100"/>
          <w:position w:val="0"/>
        </w:rPr>
        <w:t>3,504.90</w:t>
      </w:r>
      <w:r>
        <w:rPr>
          <w:color w:val="000000"/>
          <w:spacing w:val="0"/>
          <w:w w:val="100"/>
          <w:position w:val="0"/>
        </w:rPr>
        <w:t>万元，资本公积为人民 币</w:t>
      </w:r>
      <w:r>
        <w:rPr>
          <w:rFonts w:ascii="Times New Roman" w:eastAsia="Times New Roman" w:hAnsi="Times New Roman" w:cs="Times New Roman"/>
          <w:color w:val="000000"/>
          <w:spacing w:val="0"/>
          <w:w w:val="100"/>
          <w:position w:val="0"/>
        </w:rPr>
        <w:t>17,874.99</w:t>
      </w:r>
      <w:r>
        <w:rPr>
          <w:color w:val="000000"/>
          <w:spacing w:val="0"/>
          <w:w w:val="100"/>
          <w:position w:val="0"/>
        </w:rPr>
        <w:t>万元。上述出资业经中兴财光华会计师事务所（特殊普通合伙）审验并出具了中兴财 光华审验字（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318007</w:t>
      </w:r>
      <w:r>
        <w:rPr>
          <w:color w:val="000000"/>
          <w:spacing w:val="0"/>
          <w:w w:val="100"/>
          <w:position w:val="0"/>
        </w:rPr>
        <w:t>号验资报告。</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名股权激励对象因个人原因已不符合股权激励对象条件，公司将回 购注销其已获授但尚未解锁的限制性股票</w:t>
      </w:r>
      <w:r>
        <w:rPr>
          <w:rFonts w:ascii="Times New Roman" w:eastAsia="Times New Roman" w:hAnsi="Times New Roman" w:cs="Times New Roman"/>
          <w:color w:val="000000"/>
          <w:spacing w:val="0"/>
          <w:w w:val="100"/>
          <w:position w:val="0"/>
        </w:rPr>
        <w:t>1.8</w:t>
      </w:r>
      <w:r>
        <w:rPr>
          <w:color w:val="000000"/>
          <w:spacing w:val="0"/>
          <w:w w:val="100"/>
          <w:position w:val="0"/>
        </w:rPr>
        <w:t>万股。</w:t>
      </w:r>
    </w:p>
    <w:p>
      <w:pPr>
        <w:pStyle w:val="Style13"/>
        <w:keepNext w:val="0"/>
        <w:keepLines w:val="0"/>
        <w:widowControl w:val="0"/>
        <w:shd w:val="clear" w:color="auto" w:fill="auto"/>
        <w:tabs>
          <w:tab w:pos="989" w:val="left"/>
        </w:tabs>
        <w:bidi w:val="0"/>
        <w:spacing w:before="0" w:after="100" w:line="469" w:lineRule="exact"/>
        <w:ind w:left="0" w:right="0" w:firstLine="48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w:t>
        <w:tab/>
        <w:t>首次授予的限制性股票的解除限售安排如下：</w:t>
      </w:r>
    </w:p>
    <w:tbl>
      <w:tblPr>
        <w:tblOverlap w:val="never"/>
        <w:jc w:val="center"/>
        <w:tblLayout w:type="fixed"/>
      </w:tblPr>
      <w:tblGrid>
        <w:gridCol w:w="2088"/>
        <w:gridCol w:w="5587"/>
        <w:gridCol w:w="1992"/>
      </w:tblGrid>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解除限售安排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解除限售比例</w:t>
            </w:r>
          </w:p>
        </w:tc>
      </w:tr>
      <w:tr>
        <w:trPr>
          <w:trHeight w:val="8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第一个解除限售期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180" w:right="0" w:firstLine="0"/>
              <w:jc w:val="both"/>
              <w:rPr>
                <w:sz w:val="20"/>
                <w:szCs w:val="20"/>
              </w:rPr>
            </w:pPr>
            <w:r>
              <w:rPr>
                <w:color w:val="000000"/>
                <w:spacing w:val="0"/>
                <w:w w:val="100"/>
                <w:position w:val="0"/>
                <w:sz w:val="20"/>
                <w:szCs w:val="20"/>
              </w:rPr>
              <w:t>自首次授予登记完成之日起</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个月后的首个交易日起至 首次授予登记完成之日起</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0"/>
                <w:szCs w:val="20"/>
              </w:rPr>
              <w:t>个月内的最后一个交易日当 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w:t>
            </w:r>
          </w:p>
        </w:tc>
      </w:tr>
      <w:tr>
        <w:trPr>
          <w:trHeight w:val="5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第二个解除限售期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8" w:lineRule="exact"/>
              <w:ind w:left="180" w:right="0" w:firstLine="0"/>
              <w:jc w:val="both"/>
              <w:rPr>
                <w:sz w:val="20"/>
                <w:szCs w:val="20"/>
              </w:rPr>
            </w:pPr>
            <w:r>
              <w:rPr>
                <w:color w:val="000000"/>
                <w:spacing w:val="0"/>
                <w:w w:val="100"/>
                <w:position w:val="0"/>
                <w:sz w:val="20"/>
                <w:szCs w:val="20"/>
              </w:rPr>
              <w:t>自首次授予登记完成之日起</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0"/>
                <w:szCs w:val="20"/>
              </w:rPr>
              <w:t>个月后的首个交易日起至 首次授予登记完成之日起</w:t>
            </w:r>
            <w:r>
              <w:rPr>
                <w:rFonts w:ascii="Times New Roman" w:eastAsia="Times New Roman" w:hAnsi="Times New Roman" w:cs="Times New Roman"/>
                <w:color w:val="000000"/>
                <w:spacing w:val="0"/>
                <w:w w:val="100"/>
                <w:position w:val="0"/>
                <w:sz w:val="22"/>
                <w:szCs w:val="22"/>
              </w:rPr>
              <w:t>36</w:t>
            </w:r>
            <w:r>
              <w:rPr>
                <w:color w:val="000000"/>
                <w:spacing w:val="0"/>
                <w:w w:val="100"/>
                <w:position w:val="0"/>
                <w:sz w:val="20"/>
                <w:szCs w:val="20"/>
              </w:rPr>
              <w:t>个月内的最后一个交易日当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40%</w:t>
            </w:r>
          </w:p>
        </w:tc>
      </w:tr>
    </w:tbl>
    <w:p>
      <w:pPr>
        <w:widowControl w:val="0"/>
        <w:spacing w:line="1" w:lineRule="exact"/>
      </w:pPr>
      <w:r>
        <w:br w:type="page"/>
      </w:r>
    </w:p>
    <w:tbl>
      <w:tblPr>
        <w:tblOverlap w:val="never"/>
        <w:jc w:val="center"/>
        <w:tblLayout w:type="fixed"/>
      </w:tblPr>
      <w:tblGrid>
        <w:gridCol w:w="2088"/>
        <w:gridCol w:w="5587"/>
        <w:gridCol w:w="1992"/>
      </w:tblGrid>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日止</w:t>
            </w: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第三个解除限售期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8" w:lineRule="exact"/>
              <w:ind w:left="180" w:right="0" w:firstLine="0"/>
              <w:jc w:val="both"/>
              <w:rPr>
                <w:sz w:val="20"/>
                <w:szCs w:val="20"/>
              </w:rPr>
            </w:pPr>
            <w:r>
              <w:rPr>
                <w:color w:val="000000"/>
                <w:spacing w:val="0"/>
                <w:w w:val="100"/>
                <w:position w:val="0"/>
                <w:sz w:val="20"/>
                <w:szCs w:val="20"/>
              </w:rPr>
              <w:t>自首次授予登记完成之日起</w:t>
            </w:r>
            <w:r>
              <w:rPr>
                <w:rFonts w:ascii="Times New Roman" w:eastAsia="Times New Roman" w:hAnsi="Times New Roman" w:cs="Times New Roman"/>
                <w:color w:val="000000"/>
                <w:spacing w:val="0"/>
                <w:w w:val="100"/>
                <w:position w:val="0"/>
                <w:sz w:val="22"/>
                <w:szCs w:val="22"/>
              </w:rPr>
              <w:t>36</w:t>
            </w:r>
            <w:r>
              <w:rPr>
                <w:color w:val="000000"/>
                <w:spacing w:val="0"/>
                <w:w w:val="100"/>
                <w:position w:val="0"/>
                <w:sz w:val="20"/>
                <w:szCs w:val="20"/>
              </w:rPr>
              <w:t>个月后的首个交易日起至 首次授予登记完成之日起</w:t>
            </w:r>
            <w:r>
              <w:rPr>
                <w:rFonts w:ascii="Times New Roman" w:eastAsia="Times New Roman" w:hAnsi="Times New Roman" w:cs="Times New Roman"/>
                <w:color w:val="000000"/>
                <w:spacing w:val="0"/>
                <w:w w:val="100"/>
                <w:position w:val="0"/>
                <w:sz w:val="22"/>
                <w:szCs w:val="22"/>
              </w:rPr>
              <w:t>48</w:t>
            </w:r>
            <w:r>
              <w:rPr>
                <w:color w:val="000000"/>
                <w:spacing w:val="0"/>
                <w:w w:val="100"/>
                <w:position w:val="0"/>
                <w:sz w:val="20"/>
                <w:szCs w:val="20"/>
              </w:rPr>
              <w:t>个月内的最后一个交易日当 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w:t>
            </w:r>
          </w:p>
        </w:tc>
      </w:tr>
    </w:tbl>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若本激励计划预留授予的限制性股票于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日（含当日）之前授出，预留部分对应</w:t>
      </w:r>
    </w:p>
    <w:p>
      <w:pPr>
        <w:widowControl w:val="0"/>
        <w:spacing w:after="1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 w:right="0" w:firstLine="0"/>
        <w:jc w:val="left"/>
        <w:rPr>
          <w:sz w:val="22"/>
          <w:szCs w:val="22"/>
        </w:rPr>
      </w:pPr>
      <w:r>
        <w:rPr>
          <w:color w:val="000000"/>
          <w:spacing w:val="0"/>
          <w:w w:val="100"/>
          <w:position w:val="0"/>
          <w:sz w:val="22"/>
          <w:szCs w:val="22"/>
        </w:rPr>
        <w:t>的限制性股票的解除限售安排如下表所示:</w:t>
      </w:r>
    </w:p>
    <w:tbl>
      <w:tblPr>
        <w:tblOverlap w:val="never"/>
        <w:jc w:val="center"/>
        <w:tblLayout w:type="fixed"/>
      </w:tblPr>
      <w:tblGrid>
        <w:gridCol w:w="2088"/>
        <w:gridCol w:w="5587"/>
        <w:gridCol w:w="1992"/>
      </w:tblGrid>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解除限售安排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解除限售比例</w:t>
            </w:r>
          </w:p>
        </w:tc>
      </w:tr>
      <w:tr>
        <w:trPr>
          <w:trHeight w:val="8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第一个解除限售期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180" w:right="0" w:firstLine="0"/>
              <w:jc w:val="both"/>
              <w:rPr>
                <w:sz w:val="20"/>
                <w:szCs w:val="20"/>
              </w:rPr>
            </w:pPr>
            <w:r>
              <w:rPr>
                <w:color w:val="000000"/>
                <w:spacing w:val="0"/>
                <w:w w:val="100"/>
                <w:position w:val="0"/>
                <w:sz w:val="20"/>
                <w:szCs w:val="20"/>
              </w:rPr>
              <w:t>自预留授予登记完成之日起</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个月后的首个交易日起至 预留授予登记完成之日起</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0"/>
                <w:szCs w:val="20"/>
              </w:rPr>
              <w:t>个月内的最后一个交易日当 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w:t>
            </w:r>
          </w:p>
        </w:tc>
      </w:tr>
      <w:tr>
        <w:trPr>
          <w:trHeight w:val="8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第二个解除限售期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180" w:right="0" w:firstLine="0"/>
              <w:jc w:val="both"/>
              <w:rPr>
                <w:sz w:val="20"/>
                <w:szCs w:val="20"/>
              </w:rPr>
            </w:pPr>
            <w:r>
              <w:rPr>
                <w:color w:val="000000"/>
                <w:spacing w:val="0"/>
                <w:w w:val="100"/>
                <w:position w:val="0"/>
                <w:sz w:val="20"/>
                <w:szCs w:val="20"/>
              </w:rPr>
              <w:t>自预留授予登记完成之日起</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0"/>
                <w:szCs w:val="20"/>
              </w:rPr>
              <w:t>个月后的首个交易日起至 预留授予登记完成之日起</w:t>
            </w:r>
            <w:r>
              <w:rPr>
                <w:rFonts w:ascii="Times New Roman" w:eastAsia="Times New Roman" w:hAnsi="Times New Roman" w:cs="Times New Roman"/>
                <w:color w:val="000000"/>
                <w:spacing w:val="0"/>
                <w:w w:val="100"/>
                <w:position w:val="0"/>
                <w:sz w:val="22"/>
                <w:szCs w:val="22"/>
              </w:rPr>
              <w:t>36</w:t>
            </w:r>
            <w:r>
              <w:rPr>
                <w:color w:val="000000"/>
                <w:spacing w:val="0"/>
                <w:w w:val="100"/>
                <w:position w:val="0"/>
                <w:sz w:val="20"/>
                <w:szCs w:val="20"/>
              </w:rPr>
              <w:t>个月内的最后一个交易日当 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40%</w:t>
            </w:r>
          </w:p>
        </w:tc>
      </w:tr>
      <w:tr>
        <w:trPr>
          <w:trHeight w:val="8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第三个解除限售期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8" w:lineRule="exact"/>
              <w:ind w:left="180" w:right="0" w:firstLine="0"/>
              <w:jc w:val="both"/>
              <w:rPr>
                <w:sz w:val="20"/>
                <w:szCs w:val="20"/>
              </w:rPr>
            </w:pPr>
            <w:r>
              <w:rPr>
                <w:color w:val="000000"/>
                <w:spacing w:val="0"/>
                <w:w w:val="100"/>
                <w:position w:val="0"/>
                <w:sz w:val="20"/>
                <w:szCs w:val="20"/>
              </w:rPr>
              <w:t>自预留授予登记完成之日起</w:t>
            </w:r>
            <w:r>
              <w:rPr>
                <w:rFonts w:ascii="Times New Roman" w:eastAsia="Times New Roman" w:hAnsi="Times New Roman" w:cs="Times New Roman"/>
                <w:color w:val="000000"/>
                <w:spacing w:val="0"/>
                <w:w w:val="100"/>
                <w:position w:val="0"/>
                <w:sz w:val="22"/>
                <w:szCs w:val="22"/>
              </w:rPr>
              <w:t>36</w:t>
            </w:r>
            <w:r>
              <w:rPr>
                <w:color w:val="000000"/>
                <w:spacing w:val="0"/>
                <w:w w:val="100"/>
                <w:position w:val="0"/>
                <w:sz w:val="20"/>
                <w:szCs w:val="20"/>
              </w:rPr>
              <w:t>个月后的首个交易日起至 预留授予登记完成之日起</w:t>
            </w:r>
            <w:r>
              <w:rPr>
                <w:rFonts w:ascii="Times New Roman" w:eastAsia="Times New Roman" w:hAnsi="Times New Roman" w:cs="Times New Roman"/>
                <w:color w:val="000000"/>
                <w:spacing w:val="0"/>
                <w:w w:val="100"/>
                <w:position w:val="0"/>
                <w:sz w:val="22"/>
                <w:szCs w:val="22"/>
              </w:rPr>
              <w:t>48</w:t>
            </w:r>
            <w:r>
              <w:rPr>
                <w:color w:val="000000"/>
                <w:spacing w:val="0"/>
                <w:w w:val="100"/>
                <w:position w:val="0"/>
                <w:sz w:val="20"/>
                <w:szCs w:val="20"/>
              </w:rPr>
              <w:t>个月内的最后一个交易日当 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w:t>
            </w:r>
          </w:p>
        </w:tc>
      </w:tr>
    </w:tbl>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若本激励计划预留授予的限制性股票于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日（不含当日）之后授出，预留</w:t>
      </w:r>
    </w:p>
    <w:p>
      <w:pPr>
        <w:widowControl w:val="0"/>
        <w:spacing w:after="1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部分对应的限制性股票的解除限售安排如下表所示:</w:t>
      </w:r>
    </w:p>
    <w:tbl>
      <w:tblPr>
        <w:tblOverlap w:val="never"/>
        <w:jc w:val="center"/>
        <w:tblLayout w:type="fixed"/>
      </w:tblPr>
      <w:tblGrid>
        <w:gridCol w:w="2088"/>
        <w:gridCol w:w="5587"/>
        <w:gridCol w:w="1992"/>
      </w:tblGrid>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解除限售安排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解除限售比例</w:t>
            </w:r>
          </w:p>
        </w:tc>
      </w:tr>
      <w:tr>
        <w:trPr>
          <w:trHeight w:val="8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第一个解除限售期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6" w:lineRule="exact"/>
              <w:ind w:left="180" w:right="0" w:firstLine="0"/>
              <w:jc w:val="both"/>
              <w:rPr>
                <w:sz w:val="20"/>
                <w:szCs w:val="20"/>
              </w:rPr>
            </w:pPr>
            <w:r>
              <w:rPr>
                <w:color w:val="000000"/>
                <w:spacing w:val="0"/>
                <w:w w:val="100"/>
                <w:position w:val="0"/>
                <w:sz w:val="20"/>
                <w:szCs w:val="20"/>
              </w:rPr>
              <w:t>自预留授予登记完成之日起</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个月后的首个交易日起至 预留授予登记完成之日起</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0"/>
                <w:szCs w:val="20"/>
              </w:rPr>
              <w:t>个月内的最后一个交易日当 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w:t>
            </w:r>
          </w:p>
        </w:tc>
      </w:tr>
      <w:tr>
        <w:trPr>
          <w:trHeight w:val="8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第二个解除限售期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8" w:lineRule="exact"/>
              <w:ind w:left="180" w:right="0" w:firstLine="0"/>
              <w:jc w:val="both"/>
              <w:rPr>
                <w:sz w:val="20"/>
                <w:szCs w:val="20"/>
              </w:rPr>
            </w:pPr>
            <w:r>
              <w:rPr>
                <w:color w:val="000000"/>
                <w:spacing w:val="0"/>
                <w:w w:val="100"/>
                <w:position w:val="0"/>
                <w:sz w:val="20"/>
                <w:szCs w:val="20"/>
              </w:rPr>
              <w:t>自预留授予登记完成之日起</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0"/>
                <w:szCs w:val="20"/>
              </w:rPr>
              <w:t>个月后的首个交易日起至 预留授予登记完成之日起</w:t>
            </w:r>
            <w:r>
              <w:rPr>
                <w:rFonts w:ascii="Times New Roman" w:eastAsia="Times New Roman" w:hAnsi="Times New Roman" w:cs="Times New Roman"/>
                <w:color w:val="000000"/>
                <w:spacing w:val="0"/>
                <w:w w:val="100"/>
                <w:position w:val="0"/>
                <w:sz w:val="22"/>
                <w:szCs w:val="22"/>
              </w:rPr>
              <w:t>36</w:t>
            </w:r>
            <w:r>
              <w:rPr>
                <w:color w:val="000000"/>
                <w:spacing w:val="0"/>
                <w:w w:val="100"/>
                <w:position w:val="0"/>
                <w:sz w:val="20"/>
                <w:szCs w:val="20"/>
              </w:rPr>
              <w:t>个月内的最后一个交易日当 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w:t>
            </w:r>
          </w:p>
        </w:tc>
      </w:tr>
    </w:tbl>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71" w:right="0" w:firstLine="0"/>
        <w:jc w:val="left"/>
        <w:rPr>
          <w:sz w:val="22"/>
          <w:szCs w:val="22"/>
        </w:rPr>
      </w:pPr>
      <w:r>
        <w:rPr>
          <w:color w:val="000000"/>
          <w:spacing w:val="0"/>
          <w:w w:val="100"/>
          <w:position w:val="0"/>
          <w:sz w:val="22"/>
          <w:szCs w:val="22"/>
        </w:rPr>
        <w:t>限制性股票各年度业绩考核目标如下表所示:</w:t>
      </w:r>
    </w:p>
    <w:tbl>
      <w:tblPr>
        <w:tblOverlap w:val="never"/>
        <w:jc w:val="center"/>
        <w:tblLayout w:type="fixed"/>
      </w:tblPr>
      <w:tblGrid>
        <w:gridCol w:w="3245"/>
        <w:gridCol w:w="6624"/>
      </w:tblGrid>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解除限售安排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业绩考核目标</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第一个解除限售期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280" w:right="0" w:firstLine="0"/>
              <w:jc w:val="left"/>
              <w:rPr>
                <w:sz w:val="20"/>
                <w:szCs w:val="20"/>
              </w:rPr>
            </w:pPr>
            <w:r>
              <w:rPr>
                <w:color w:val="000000"/>
                <w:spacing w:val="0"/>
                <w:w w:val="100"/>
                <w:position w:val="0"/>
                <w:sz w:val="20"/>
                <w:szCs w:val="20"/>
              </w:rPr>
              <w:t>同时满足以下考核目标：</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年营业收入不低于</w:t>
            </w:r>
            <w:r>
              <w:rPr>
                <w:rFonts w:ascii="Times New Roman" w:eastAsia="Times New Roman" w:hAnsi="Times New Roman" w:cs="Times New Roman"/>
                <w:color w:val="000000"/>
                <w:spacing w:val="0"/>
                <w:w w:val="100"/>
                <w:position w:val="0"/>
                <w:sz w:val="22"/>
                <w:szCs w:val="22"/>
              </w:rPr>
              <w:t>5.50</w:t>
            </w:r>
            <w:r>
              <w:rPr>
                <w:color w:val="000000"/>
                <w:spacing w:val="0"/>
                <w:w w:val="100"/>
                <w:position w:val="0"/>
                <w:sz w:val="20"/>
                <w:szCs w:val="20"/>
              </w:rPr>
              <w:t>亿元；</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年净利润不低于</w:t>
            </w:r>
            <w:r>
              <w:rPr>
                <w:rFonts w:ascii="Times New Roman" w:eastAsia="Times New Roman" w:hAnsi="Times New Roman" w:cs="Times New Roman"/>
                <w:color w:val="000000"/>
                <w:spacing w:val="0"/>
                <w:w w:val="100"/>
                <w:position w:val="0"/>
                <w:sz w:val="22"/>
                <w:szCs w:val="22"/>
              </w:rPr>
              <w:t>4,000</w:t>
            </w:r>
            <w:r>
              <w:rPr>
                <w:color w:val="000000"/>
                <w:spacing w:val="0"/>
                <w:w w:val="100"/>
                <w:position w:val="0"/>
                <w:sz w:val="20"/>
                <w:szCs w:val="20"/>
              </w:rPr>
              <w:t>万元</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第二个解除限售期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280" w:right="0" w:firstLine="0"/>
              <w:jc w:val="left"/>
              <w:rPr>
                <w:sz w:val="20"/>
                <w:szCs w:val="20"/>
              </w:rPr>
            </w:pPr>
            <w:r>
              <w:rPr>
                <w:color w:val="000000"/>
                <w:spacing w:val="0"/>
                <w:w w:val="100"/>
                <w:position w:val="0"/>
                <w:sz w:val="20"/>
                <w:szCs w:val="20"/>
              </w:rPr>
              <w:t>同时满足以下考核目标：</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年营业收入不低于</w:t>
            </w:r>
            <w:r>
              <w:rPr>
                <w:rFonts w:ascii="Times New Roman" w:eastAsia="Times New Roman" w:hAnsi="Times New Roman" w:cs="Times New Roman"/>
                <w:color w:val="000000"/>
                <w:spacing w:val="0"/>
                <w:w w:val="100"/>
                <w:position w:val="0"/>
                <w:sz w:val="22"/>
                <w:szCs w:val="22"/>
              </w:rPr>
              <w:t>7.50</w:t>
            </w:r>
            <w:r>
              <w:rPr>
                <w:color w:val="000000"/>
                <w:spacing w:val="0"/>
                <w:w w:val="100"/>
                <w:position w:val="0"/>
                <w:sz w:val="20"/>
                <w:szCs w:val="20"/>
              </w:rPr>
              <w:t>亿元；</w:t>
            </w:r>
            <w:r>
              <w:rPr>
                <w:rFonts w:ascii="Times New Roman" w:eastAsia="Times New Roman" w:hAnsi="Times New Roman" w:cs="Times New Roman"/>
                <w:color w:val="000000"/>
                <w:spacing w:val="0"/>
                <w:w w:val="100"/>
                <w:position w:val="0"/>
                <w:sz w:val="22"/>
                <w:szCs w:val="22"/>
              </w:rPr>
              <w:t xml:space="preserve">2022 </w:t>
            </w:r>
            <w:r>
              <w:rPr>
                <w:color w:val="000000"/>
                <w:spacing w:val="0"/>
                <w:w w:val="100"/>
                <w:position w:val="0"/>
                <w:sz w:val="20"/>
                <w:szCs w:val="20"/>
              </w:rPr>
              <w:t>年净利润不低于</w:t>
            </w:r>
            <w:r>
              <w:rPr>
                <w:rFonts w:ascii="Times New Roman" w:eastAsia="Times New Roman" w:hAnsi="Times New Roman" w:cs="Times New Roman"/>
                <w:color w:val="000000"/>
                <w:spacing w:val="0"/>
                <w:w w:val="100"/>
                <w:position w:val="0"/>
                <w:sz w:val="22"/>
                <w:szCs w:val="22"/>
              </w:rPr>
              <w:t>8,000</w:t>
            </w:r>
            <w:r>
              <w:rPr>
                <w:color w:val="000000"/>
                <w:spacing w:val="0"/>
                <w:w w:val="100"/>
                <w:position w:val="0"/>
                <w:sz w:val="20"/>
                <w:szCs w:val="20"/>
              </w:rPr>
              <w:t>万元</w:t>
            </w:r>
          </w:p>
        </w:tc>
      </w:tr>
      <w:tr>
        <w:trPr>
          <w:trHeight w:val="5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第三个解除限售期</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83" w:lineRule="exact"/>
              <w:ind w:left="280" w:right="0" w:firstLine="0"/>
              <w:jc w:val="left"/>
              <w:rPr>
                <w:sz w:val="20"/>
                <w:szCs w:val="20"/>
              </w:rPr>
            </w:pPr>
            <w:r>
              <w:rPr>
                <w:color w:val="000000"/>
                <w:spacing w:val="0"/>
                <w:w w:val="100"/>
                <w:position w:val="0"/>
                <w:sz w:val="20"/>
                <w:szCs w:val="20"/>
              </w:rPr>
              <w:t>同时满足以下考核目标：</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sz w:val="20"/>
                <w:szCs w:val="20"/>
              </w:rPr>
              <w:t>年营业收入不低于</w:t>
            </w:r>
            <w:r>
              <w:rPr>
                <w:rFonts w:ascii="Times New Roman" w:eastAsia="Times New Roman" w:hAnsi="Times New Roman" w:cs="Times New Roman"/>
                <w:color w:val="000000"/>
                <w:spacing w:val="0"/>
                <w:w w:val="100"/>
                <w:position w:val="0"/>
                <w:sz w:val="22"/>
                <w:szCs w:val="22"/>
              </w:rPr>
              <w:t>10.00</w:t>
            </w:r>
            <w:r>
              <w:rPr>
                <w:color w:val="000000"/>
                <w:spacing w:val="0"/>
                <w:w w:val="100"/>
                <w:position w:val="0"/>
                <w:sz w:val="20"/>
                <w:szCs w:val="20"/>
              </w:rPr>
              <w:t>亿元；</w:t>
            </w:r>
            <w:r>
              <w:rPr>
                <w:rFonts w:ascii="Times New Roman" w:eastAsia="Times New Roman" w:hAnsi="Times New Roman" w:cs="Times New Roman"/>
                <w:color w:val="000000"/>
                <w:spacing w:val="0"/>
                <w:w w:val="100"/>
                <w:position w:val="0"/>
                <w:sz w:val="22"/>
                <w:szCs w:val="22"/>
              </w:rPr>
              <w:t xml:space="preserve">2023 </w:t>
            </w:r>
            <w:r>
              <w:rPr>
                <w:color w:val="000000"/>
                <w:spacing w:val="0"/>
                <w:w w:val="100"/>
                <w:position w:val="0"/>
                <w:sz w:val="20"/>
                <w:szCs w:val="20"/>
              </w:rPr>
              <w:t>年净利润不低于</w:t>
            </w:r>
            <w:r>
              <w:rPr>
                <w:rFonts w:ascii="Times New Roman" w:eastAsia="Times New Roman" w:hAnsi="Times New Roman" w:cs="Times New Roman"/>
                <w:color w:val="000000"/>
                <w:spacing w:val="0"/>
                <w:w w:val="100"/>
                <w:position w:val="0"/>
                <w:sz w:val="22"/>
                <w:szCs w:val="22"/>
              </w:rPr>
              <w:t>12,000</w:t>
            </w:r>
            <w:r>
              <w:rPr>
                <w:color w:val="000000"/>
                <w:spacing w:val="0"/>
                <w:w w:val="100"/>
                <w:position w:val="0"/>
                <w:sz w:val="20"/>
                <w:szCs w:val="20"/>
              </w:rPr>
              <w:t>万元</w:t>
            </w:r>
          </w:p>
        </w:tc>
      </w:tr>
    </w:tbl>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若本激励计划预留授予的限制性股票于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日（含当日）之前授出，预留授予的限</w:t>
      </w:r>
    </w:p>
    <w:p>
      <w:pPr>
        <w:pStyle w:val="Style13"/>
        <w:keepNext w:val="0"/>
        <w:keepLines w:val="0"/>
        <w:widowControl w:val="0"/>
        <w:shd w:val="clear" w:color="auto" w:fill="auto"/>
        <w:bidi w:val="0"/>
        <w:spacing w:before="0" w:after="0" w:line="466" w:lineRule="exact"/>
        <w:ind w:left="0" w:right="0" w:firstLine="0"/>
        <w:jc w:val="left"/>
      </w:pPr>
      <w:r>
        <w:rPr>
          <w:color w:val="000000"/>
          <w:spacing w:val="0"/>
          <w:w w:val="100"/>
          <w:position w:val="0"/>
        </w:rPr>
        <w:t>制性股票解除限售对应的考核年度及业绩考核目标与首次授予的限制性股票解除限售对应的考 核年度及业绩考核目标一致。</w:t>
      </w:r>
    </w:p>
    <w:p>
      <w:pPr>
        <w:pStyle w:val="Style13"/>
        <w:keepNext w:val="0"/>
        <w:keepLines w:val="0"/>
        <w:widowControl w:val="0"/>
        <w:shd w:val="clear" w:color="auto" w:fill="auto"/>
        <w:bidi w:val="0"/>
        <w:spacing w:before="0" w:after="180" w:line="478" w:lineRule="exact"/>
        <w:ind w:left="0" w:right="0" w:firstLine="560"/>
        <w:jc w:val="left"/>
      </w:pPr>
      <w:r>
        <w:rPr>
          <w:color w:val="000000"/>
          <w:spacing w:val="0"/>
          <w:w w:val="100"/>
          <w:position w:val="0"/>
        </w:rPr>
        <w:t>若本激励计划预留授予的限制性股票于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日（不含当日）之后授出，预留授予的 限制性股票解除限售对应的考核年度为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023</w:t>
      </w:r>
      <w:r>
        <w:rPr>
          <w:color w:val="000000"/>
          <w:spacing w:val="0"/>
          <w:w w:val="100"/>
          <w:position w:val="0"/>
        </w:rPr>
        <w:t>年两个会计年度，每个会计年度考核一次。公 司层面业绩考核目标如下表所示：</w:t>
      </w:r>
      <w:r>
        <w:br w:type="page"/>
      </w:r>
    </w:p>
    <w:tbl>
      <w:tblPr>
        <w:tblOverlap w:val="never"/>
        <w:jc w:val="center"/>
        <w:tblLayout w:type="fixed"/>
      </w:tblPr>
      <w:tblGrid>
        <w:gridCol w:w="3245"/>
        <w:gridCol w:w="6624"/>
      </w:tblGrid>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解除限售安排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业绩考核目标</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第一个解除限售期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280" w:right="0" w:firstLine="0"/>
              <w:jc w:val="left"/>
              <w:rPr>
                <w:sz w:val="20"/>
                <w:szCs w:val="20"/>
              </w:rPr>
            </w:pPr>
            <w:r>
              <w:rPr>
                <w:color w:val="000000"/>
                <w:spacing w:val="0"/>
                <w:w w:val="100"/>
                <w:position w:val="0"/>
                <w:sz w:val="20"/>
                <w:szCs w:val="20"/>
              </w:rPr>
              <w:t>同时满足以下考核目标：</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年营业收入不低于</w:t>
            </w:r>
            <w:r>
              <w:rPr>
                <w:rFonts w:ascii="Times New Roman" w:eastAsia="Times New Roman" w:hAnsi="Times New Roman" w:cs="Times New Roman"/>
                <w:color w:val="000000"/>
                <w:spacing w:val="0"/>
                <w:w w:val="100"/>
                <w:position w:val="0"/>
                <w:sz w:val="22"/>
                <w:szCs w:val="22"/>
              </w:rPr>
              <w:t>7.50</w:t>
            </w:r>
            <w:r>
              <w:rPr>
                <w:color w:val="000000"/>
                <w:spacing w:val="0"/>
                <w:w w:val="100"/>
                <w:position w:val="0"/>
                <w:sz w:val="20"/>
                <w:szCs w:val="20"/>
              </w:rPr>
              <w:t>亿元；</w:t>
            </w:r>
            <w:r>
              <w:rPr>
                <w:rFonts w:ascii="Times New Roman" w:eastAsia="Times New Roman" w:hAnsi="Times New Roman" w:cs="Times New Roman"/>
                <w:color w:val="000000"/>
                <w:spacing w:val="0"/>
                <w:w w:val="100"/>
                <w:position w:val="0"/>
                <w:sz w:val="22"/>
                <w:szCs w:val="22"/>
              </w:rPr>
              <w:t xml:space="preserve">2022 </w:t>
            </w:r>
            <w:r>
              <w:rPr>
                <w:color w:val="000000"/>
                <w:spacing w:val="0"/>
                <w:w w:val="100"/>
                <w:position w:val="0"/>
                <w:sz w:val="20"/>
                <w:szCs w:val="20"/>
              </w:rPr>
              <w:t>年净利润不低于</w:t>
            </w:r>
            <w:r>
              <w:rPr>
                <w:rFonts w:ascii="Times New Roman" w:eastAsia="Times New Roman" w:hAnsi="Times New Roman" w:cs="Times New Roman"/>
                <w:color w:val="000000"/>
                <w:spacing w:val="0"/>
                <w:w w:val="100"/>
                <w:position w:val="0"/>
                <w:sz w:val="22"/>
                <w:szCs w:val="22"/>
              </w:rPr>
              <w:t>8,000</w:t>
            </w:r>
            <w:r>
              <w:rPr>
                <w:color w:val="000000"/>
                <w:spacing w:val="0"/>
                <w:w w:val="100"/>
                <w:position w:val="0"/>
                <w:sz w:val="20"/>
                <w:szCs w:val="20"/>
              </w:rPr>
              <w:t>万元</w:t>
            </w:r>
          </w:p>
        </w:tc>
      </w:tr>
      <w:tr>
        <w:trPr>
          <w:trHeight w:val="5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第二个解除限售期</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280" w:right="0" w:firstLine="0"/>
              <w:jc w:val="left"/>
              <w:rPr>
                <w:sz w:val="20"/>
                <w:szCs w:val="20"/>
              </w:rPr>
            </w:pPr>
            <w:r>
              <w:rPr>
                <w:color w:val="000000"/>
                <w:spacing w:val="0"/>
                <w:w w:val="100"/>
                <w:position w:val="0"/>
                <w:sz w:val="20"/>
                <w:szCs w:val="20"/>
              </w:rPr>
              <w:t>同时满足以下考核目标：</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sz w:val="20"/>
                <w:szCs w:val="20"/>
              </w:rPr>
              <w:t>年营业收入不低于</w:t>
            </w:r>
            <w:r>
              <w:rPr>
                <w:rFonts w:ascii="Times New Roman" w:eastAsia="Times New Roman" w:hAnsi="Times New Roman" w:cs="Times New Roman"/>
                <w:color w:val="000000"/>
                <w:spacing w:val="0"/>
                <w:w w:val="100"/>
                <w:position w:val="0"/>
                <w:sz w:val="22"/>
                <w:szCs w:val="22"/>
              </w:rPr>
              <w:t>10.00</w:t>
            </w:r>
            <w:r>
              <w:rPr>
                <w:color w:val="000000"/>
                <w:spacing w:val="0"/>
                <w:w w:val="100"/>
                <w:position w:val="0"/>
                <w:sz w:val="20"/>
                <w:szCs w:val="20"/>
              </w:rPr>
              <w:t>亿元；</w:t>
            </w:r>
            <w:r>
              <w:rPr>
                <w:rFonts w:ascii="Times New Roman" w:eastAsia="Times New Roman" w:hAnsi="Times New Roman" w:cs="Times New Roman"/>
                <w:color w:val="000000"/>
                <w:spacing w:val="0"/>
                <w:w w:val="100"/>
                <w:position w:val="0"/>
                <w:sz w:val="22"/>
                <w:szCs w:val="22"/>
              </w:rPr>
              <w:t xml:space="preserve">2023 </w:t>
            </w:r>
            <w:r>
              <w:rPr>
                <w:color w:val="000000"/>
                <w:spacing w:val="0"/>
                <w:w w:val="100"/>
                <w:position w:val="0"/>
                <w:sz w:val="20"/>
                <w:szCs w:val="20"/>
              </w:rPr>
              <w:t>年净利润不低于</w:t>
            </w:r>
            <w:r>
              <w:rPr>
                <w:rFonts w:ascii="Times New Roman" w:eastAsia="Times New Roman" w:hAnsi="Times New Roman" w:cs="Times New Roman"/>
                <w:color w:val="000000"/>
                <w:spacing w:val="0"/>
                <w:w w:val="100"/>
                <w:position w:val="0"/>
                <w:sz w:val="22"/>
                <w:szCs w:val="22"/>
              </w:rPr>
              <w:t>12,000</w:t>
            </w:r>
            <w:r>
              <w:rPr>
                <w:color w:val="000000"/>
                <w:spacing w:val="0"/>
                <w:w w:val="100"/>
                <w:position w:val="0"/>
                <w:sz w:val="20"/>
                <w:szCs w:val="20"/>
              </w:rPr>
              <w:t>万元</w:t>
            </w:r>
          </w:p>
        </w:tc>
      </w:tr>
    </w:tbl>
    <w:p>
      <w:pPr>
        <w:pStyle w:val="Style13"/>
        <w:keepNext w:val="0"/>
        <w:keepLines w:val="0"/>
        <w:widowControl w:val="0"/>
        <w:shd w:val="clear" w:color="auto" w:fill="auto"/>
        <w:bidi w:val="0"/>
        <w:spacing w:before="0" w:after="0" w:line="466" w:lineRule="exact"/>
        <w:ind w:left="0" w:right="0" w:firstLine="560"/>
        <w:jc w:val="both"/>
      </w:pPr>
      <w:r>
        <w:rPr>
          <w:color w:val="000000"/>
          <w:spacing w:val="0"/>
          <w:w w:val="100"/>
          <w:position w:val="0"/>
        </w:rPr>
        <w:t>上述“净利润”指标均指经审计的归属于上市公司股东的净利润，并以剔除本激励计划考核 期内因公司实施股权激励计划或员工持股计划等激励事项产生的激励成本的影响之后的数值作 为计算依据。</w:t>
      </w:r>
    </w:p>
    <w:p>
      <w:pPr>
        <w:pStyle w:val="Style13"/>
        <w:keepNext w:val="0"/>
        <w:keepLines w:val="0"/>
        <w:widowControl w:val="0"/>
        <w:shd w:val="clear" w:color="auto" w:fill="auto"/>
        <w:bidi w:val="0"/>
        <w:spacing w:before="0" w:after="0" w:line="480" w:lineRule="exact"/>
        <w:ind w:left="0" w:right="0" w:firstLine="560"/>
        <w:jc w:val="both"/>
      </w:pPr>
      <w:r>
        <w:rPr>
          <w:color w:val="000000"/>
          <w:spacing w:val="0"/>
          <w:w w:val="100"/>
          <w:position w:val="0"/>
        </w:rPr>
        <w:t>公司未满足上述业绩考核目标的，相应解除限售期内，激励对象当期计划解除限售的限制性 股票不得解除限售，由公司回购注销，回购价格为授予价格。</w:t>
      </w:r>
    </w:p>
    <w:p>
      <w:pPr>
        <w:pStyle w:val="Style13"/>
        <w:keepNext w:val="0"/>
        <w:keepLines w:val="0"/>
        <w:widowControl w:val="0"/>
        <w:shd w:val="clear" w:color="auto" w:fill="auto"/>
        <w:bidi w:val="0"/>
        <w:spacing w:before="0" w:after="0" w:line="480" w:lineRule="exact"/>
        <w:ind w:left="0" w:right="0" w:firstLine="560"/>
        <w:jc w:val="both"/>
      </w:pPr>
      <w:r>
        <w:rPr>
          <w:color w:val="000000"/>
          <w:spacing w:val="0"/>
          <w:w w:val="100"/>
          <w:position w:val="0"/>
        </w:rPr>
        <w:t>激励对象的个人层面的考核按照公司相关规定组织实施：</w:t>
      </w:r>
    </w:p>
    <w:p>
      <w:pPr>
        <w:pStyle w:val="Style13"/>
        <w:keepNext w:val="0"/>
        <w:keepLines w:val="0"/>
        <w:widowControl w:val="0"/>
        <w:shd w:val="clear" w:color="auto" w:fill="auto"/>
        <w:bidi w:val="0"/>
        <w:spacing w:before="0" w:after="100" w:line="470" w:lineRule="exact"/>
        <w:ind w:left="0" w:right="0" w:firstLine="560"/>
        <w:jc w:val="both"/>
      </w:pPr>
      <w:r>
        <w:rPr>
          <w:color w:val="000000"/>
          <w:spacing w:val="0"/>
          <w:w w:val="100"/>
          <w:position w:val="0"/>
        </w:rPr>
        <w:t>激励对象的绩效考核按照公司现行有关制度组织实施。绩效考核结果划分为</w:t>
      </w:r>
      <w:r>
        <w:rPr>
          <w:rFonts w:ascii="Times New Roman" w:eastAsia="Times New Roman" w:hAnsi="Times New Roman" w:cs="Times New Roman"/>
          <w:color w:val="000000"/>
          <w:spacing w:val="0"/>
          <w:w w:val="100"/>
          <w:position w:val="0"/>
        </w:rPr>
        <w:t>S</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四 个等级，公司将根据激励对象的绩效考核结果确定其获授的限制性股票是否达到可解除限售条件 以及具体的可解除限售数量，届时根据以下考核评级表确认：</w:t>
      </w:r>
    </w:p>
    <w:tbl>
      <w:tblPr>
        <w:tblOverlap w:val="never"/>
        <w:jc w:val="center"/>
        <w:tblLayout w:type="fixed"/>
      </w:tblPr>
      <w:tblGrid>
        <w:gridCol w:w="3245"/>
        <w:gridCol w:w="1805"/>
        <w:gridCol w:w="1637"/>
        <w:gridCol w:w="1642"/>
        <w:gridCol w:w="1541"/>
      </w:tblGrid>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考核等级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D</w:t>
            </w:r>
          </w:p>
        </w:tc>
      </w:tr>
      <w:tr>
        <w:trPr>
          <w:trHeight w:val="4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个人层面可解除限售比例</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pStyle w:val="Style13"/>
        <w:keepNext w:val="0"/>
        <w:keepLines w:val="0"/>
        <w:widowControl w:val="0"/>
        <w:shd w:val="clear" w:color="auto" w:fill="auto"/>
        <w:bidi w:val="0"/>
        <w:spacing w:before="0" w:after="420" w:line="470" w:lineRule="exact"/>
        <w:ind w:left="0" w:right="0" w:firstLine="560"/>
        <w:jc w:val="both"/>
      </w:pPr>
      <w:r>
        <w:rPr>
          <w:color w:val="000000"/>
          <w:spacing w:val="0"/>
          <w:w w:val="100"/>
          <w:position w:val="0"/>
        </w:rPr>
        <w:t>各解除限售期内，激励对象当期未能解除限售的限制性股票由公司回购注销，回购价格为授 予价格。</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、以权益结算的股份支付情况</w:t>
      </w:r>
    </w:p>
    <w:tbl>
      <w:tblPr>
        <w:tblOverlap w:val="never"/>
        <w:jc w:val="center"/>
        <w:tblLayout w:type="fixed"/>
      </w:tblPr>
      <w:tblGrid>
        <w:gridCol w:w="4834"/>
        <w:gridCol w:w="4459"/>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相关内容</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授予日权益工具公允价值的确定方法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布莱克</w:t>
            </w:r>
            <w:r>
              <w:rPr>
                <w:color w:val="000000"/>
                <w:spacing w:val="0"/>
                <w:w w:val="100"/>
                <w:position w:val="0"/>
                <w:sz w:val="22"/>
                <w:szCs w:val="22"/>
              </w:rPr>
              <w:t>一</w:t>
            </w:r>
            <w:r>
              <w:rPr>
                <w:color w:val="000000"/>
                <w:spacing w:val="0"/>
                <w:w w:val="100"/>
                <w:position w:val="0"/>
                <w:sz w:val="20"/>
                <w:szCs w:val="20"/>
              </w:rPr>
              <w:t>斯科尔斯期权定价模型</w:t>
            </w:r>
          </w:p>
        </w:tc>
      </w:tr>
      <w:tr>
        <w:trPr>
          <w:trHeight w:val="143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可行权权益工具数量的确定依据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200" w:right="0" w:firstLine="0"/>
              <w:jc w:val="both"/>
              <w:rPr>
                <w:sz w:val="20"/>
                <w:szCs w:val="20"/>
              </w:rPr>
            </w:pPr>
            <w:r>
              <w:rPr>
                <w:color w:val="000000"/>
                <w:spacing w:val="0"/>
                <w:w w:val="100"/>
                <w:position w:val="0"/>
                <w:sz w:val="20"/>
                <w:szCs w:val="20"/>
              </w:rPr>
              <w:t>授予限制性股票的职工均为公司中层及以上 管理人员和核心技术人员。本公司估计该部 分职工在等待期内离职的可能性较小；根据 是否达到规定业绩条件，本公司对可行权权 益工具数量做出最佳估计</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本年估计与上年估计有重大差异的原因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240" w:right="0" w:firstLine="0"/>
              <w:jc w:val="left"/>
              <w:rPr>
                <w:sz w:val="20"/>
                <w:szCs w:val="20"/>
              </w:rPr>
            </w:pPr>
            <w:r>
              <w:rPr>
                <w:color w:val="000000"/>
                <w:spacing w:val="0"/>
                <w:w w:val="100"/>
                <w:position w:val="0"/>
                <w:sz w:val="20"/>
                <w:szCs w:val="20"/>
              </w:rPr>
              <w:t>以权益结算的股份支付计入资本公积的累计金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94,576,357.35</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本年以权益结算的股份支付确认的费用总额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82,887,990.00</w:t>
            </w:r>
          </w:p>
        </w:tc>
      </w:tr>
    </w:tbl>
    <w:p>
      <w:pPr>
        <w:pStyle w:val="Style13"/>
        <w:keepNext w:val="0"/>
        <w:keepLines w:val="0"/>
        <w:widowControl w:val="0"/>
        <w:shd w:val="clear" w:color="auto" w:fill="auto"/>
        <w:bidi w:val="0"/>
        <w:spacing w:before="0" w:after="200" w:line="473" w:lineRule="exact"/>
        <w:ind w:left="0" w:right="0" w:firstLine="0"/>
        <w:jc w:val="both"/>
      </w:pPr>
      <w:r>
        <w:rPr>
          <w:b/>
          <w:bCs/>
          <w:color w:val="000000"/>
          <w:spacing w:val="0"/>
          <w:w w:val="100"/>
          <w:position w:val="0"/>
        </w:rPr>
        <w:t>十二、承诺及或有事项</w:t>
      </w:r>
    </w:p>
    <w:p>
      <w:pPr>
        <w:pStyle w:val="Style37"/>
        <w:keepNext/>
        <w:keepLines/>
        <w:widowControl w:val="0"/>
        <w:shd w:val="clear" w:color="auto" w:fill="auto"/>
        <w:tabs>
          <w:tab w:pos="378" w:val="left"/>
        </w:tabs>
        <w:bidi w:val="0"/>
        <w:spacing w:before="0" w:after="200" w:line="473" w:lineRule="exact"/>
        <w:ind w:left="0" w:right="0" w:firstLine="0"/>
        <w:jc w:val="both"/>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1</w:t>
      </w:r>
      <w:bookmarkEnd w:id="1010"/>
      <w:r>
        <w:rPr>
          <w:color w:val="000000"/>
          <w:spacing w:val="0"/>
          <w:w w:val="100"/>
          <w:position w:val="0"/>
        </w:rPr>
        <w:t>、</w:t>
        <w:tab/>
        <w:t>重要承诺事项</w:t>
      </w:r>
      <w:bookmarkEnd w:id="1008"/>
      <w:bookmarkEnd w:id="1009"/>
      <w:bookmarkEnd w:id="1011"/>
    </w:p>
    <w:p>
      <w:pPr>
        <w:pStyle w:val="Style13"/>
        <w:keepNext w:val="0"/>
        <w:keepLines w:val="0"/>
        <w:widowControl w:val="0"/>
        <w:shd w:val="clear" w:color="auto" w:fill="auto"/>
        <w:bidi w:val="0"/>
        <w:spacing w:before="0" w:after="0" w:line="473" w:lineRule="exact"/>
        <w:ind w:left="0" w:right="0" w:firstLine="480"/>
        <w:jc w:val="both"/>
      </w:pPr>
      <w:r>
        <w:rPr>
          <w:color w:val="000000"/>
          <w:spacing w:val="0"/>
          <w:w w:val="100"/>
          <w:position w:val="0"/>
        </w:rPr>
        <w:t>签订的尚未履行或尚未完全履行的对外投资合同及其财务影响</w:t>
      </w:r>
    </w:p>
    <w:p>
      <w:pPr>
        <w:pStyle w:val="Style13"/>
        <w:keepNext w:val="0"/>
        <w:keepLines w:val="0"/>
        <w:widowControl w:val="0"/>
        <w:shd w:val="clear" w:color="auto" w:fill="auto"/>
        <w:tabs>
          <w:tab w:pos="1102" w:val="left"/>
        </w:tabs>
        <w:bidi w:val="0"/>
        <w:spacing w:before="0" w:after="0" w:line="473" w:lineRule="exact"/>
        <w:ind w:left="0" w:right="0" w:firstLine="48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rPr>
        <w:t>1</w:t>
      </w:r>
      <w:r>
        <w:rPr>
          <w:color w:val="000000"/>
          <w:spacing w:val="0"/>
          <w:w w:val="100"/>
          <w:position w:val="0"/>
        </w:rPr>
        <w:t>）</w:t>
        <w:tab/>
        <w:t>国民科技于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日成立全资子公司民昇智能（深圳）有限公司，认缴注册资 本人民币</w:t>
      </w:r>
      <w:r>
        <w:rPr>
          <w:rFonts w:ascii="Times New Roman" w:eastAsia="Times New Roman" w:hAnsi="Times New Roman" w:cs="Times New Roman"/>
          <w:color w:val="000000"/>
          <w:spacing w:val="0"/>
          <w:w w:val="100"/>
          <w:position w:val="0"/>
        </w:rPr>
        <w:t>500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日，投资款尚未支付，如支付将影响国民科技长期股权投 资和货币资金人民币各</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13"/>
        <w:keepNext w:val="0"/>
        <w:keepLines w:val="0"/>
        <w:widowControl w:val="0"/>
        <w:shd w:val="clear" w:color="auto" w:fill="auto"/>
        <w:tabs>
          <w:tab w:pos="1098" w:val="left"/>
        </w:tabs>
        <w:bidi w:val="0"/>
        <w:spacing w:before="0" w:after="0" w:line="473" w:lineRule="exact"/>
        <w:ind w:left="0" w:right="0" w:firstLine="48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w:t>
        <w:tab/>
        <w:t>斯诺实业于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日成立全资子公司山西深斯诺新材料有限公司，注册资本为人 民币</w:t>
      </w:r>
      <w:r>
        <w:rPr>
          <w:rFonts w:ascii="Times New Roman" w:eastAsia="Times New Roman" w:hAnsi="Times New Roman" w:cs="Times New Roman"/>
          <w:color w:val="000000"/>
          <w:spacing w:val="0"/>
          <w:w w:val="100"/>
          <w:position w:val="0"/>
        </w:rPr>
        <w:t>1,000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日，投资款尚未支付，如支付将影响斯诺实业长期股权投资和 货币资金人民币各</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13"/>
        <w:keepNext w:val="0"/>
        <w:keepLines w:val="0"/>
        <w:widowControl w:val="0"/>
        <w:shd w:val="clear" w:color="auto" w:fill="auto"/>
        <w:tabs>
          <w:tab w:pos="1102" w:val="left"/>
        </w:tabs>
        <w:bidi w:val="0"/>
        <w:spacing w:before="0" w:after="0" w:line="474" w:lineRule="exact"/>
        <w:ind w:left="0" w:right="0" w:firstLine="48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日，内蒙古斯诺与内蒙古能源发电金山热电有限公司、呼和浩特金盛投 资有限责任公司、内蒙古浩普瑞新能源材料有限公司共同成立内蒙古金山森能能源管理服务有限 公司，注册资本为人民币</w:t>
      </w:r>
      <w:r>
        <w:rPr>
          <w:rFonts w:ascii="Times New Roman" w:eastAsia="Times New Roman" w:hAnsi="Times New Roman" w:cs="Times New Roman"/>
          <w:color w:val="000000"/>
          <w:spacing w:val="0"/>
          <w:w w:val="100"/>
          <w:position w:val="0"/>
        </w:rPr>
        <w:t>2,000</w:t>
      </w:r>
      <w:r>
        <w:rPr>
          <w:color w:val="000000"/>
          <w:spacing w:val="0"/>
          <w:w w:val="100"/>
          <w:position w:val="0"/>
        </w:rPr>
        <w:t>万元。其中，内蒙古斯诺认缴人民币</w:t>
      </w:r>
      <w:r>
        <w:rPr>
          <w:rFonts w:ascii="Times New Roman" w:eastAsia="Times New Roman" w:hAnsi="Times New Roman" w:cs="Times New Roman"/>
          <w:color w:val="000000"/>
          <w:spacing w:val="0"/>
          <w:w w:val="100"/>
          <w:position w:val="0"/>
        </w:rPr>
        <w:t>300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15%</w:t>
      </w:r>
      <w:r>
        <w:rPr>
          <w:color w:val="000000"/>
          <w:spacing w:val="0"/>
          <w:w w:val="100"/>
          <w:position w:val="0"/>
        </w:rPr>
        <w:t>。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日，投资款尚未支付，如支付将影响其他权益工具投资和货币资金人民币各</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万元。</w:t>
      </w:r>
    </w:p>
    <w:p>
      <w:pPr>
        <w:pStyle w:val="Style13"/>
        <w:keepNext w:val="0"/>
        <w:keepLines w:val="0"/>
        <w:widowControl w:val="0"/>
        <w:shd w:val="clear" w:color="auto" w:fill="auto"/>
        <w:tabs>
          <w:tab w:pos="1102" w:val="left"/>
        </w:tabs>
        <w:bidi w:val="0"/>
        <w:spacing w:before="0" w:after="0" w:line="470" w:lineRule="exact"/>
        <w:ind w:left="0" w:right="0" w:firstLine="48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日成立全资子公司广东国民新能源科技有限公司，注册资本为 人民币</w:t>
      </w:r>
      <w:r>
        <w:rPr>
          <w:rFonts w:ascii="Times New Roman" w:eastAsia="Times New Roman" w:hAnsi="Times New Roman" w:cs="Times New Roman"/>
          <w:color w:val="000000"/>
          <w:spacing w:val="0"/>
          <w:w w:val="100"/>
          <w:position w:val="0"/>
        </w:rPr>
        <w:t>500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日，投资款尚未支付，如支付将影响本公司长期股权投资和 货币资金人民币各</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13"/>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除存在上述事项外，截至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日，本公司无其他应披露而未披露的重要承诺事项。</w:t>
      </w:r>
    </w:p>
    <w:p>
      <w:pPr>
        <w:pStyle w:val="Style37"/>
        <w:keepNext/>
        <w:keepLines/>
        <w:widowControl w:val="0"/>
        <w:shd w:val="clear" w:color="auto" w:fill="auto"/>
        <w:tabs>
          <w:tab w:pos="392" w:val="left"/>
        </w:tabs>
        <w:bidi w:val="0"/>
        <w:spacing w:before="0" w:after="200" w:line="473" w:lineRule="exact"/>
        <w:ind w:left="0" w:right="0" w:firstLine="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color w:val="000000"/>
          <w:spacing w:val="0"/>
          <w:w w:val="100"/>
          <w:position w:val="0"/>
        </w:rPr>
        <w:t>、</w:t>
        <w:tab/>
        <w:t>或有事项</w:t>
      </w:r>
      <w:bookmarkEnd w:id="1016"/>
      <w:bookmarkEnd w:id="1017"/>
      <w:bookmarkEnd w:id="1019"/>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未决诉讼仲裁形成的或有负债及其财务影响</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本公司因有关债务纠纷事宜被他人起诉，诉讼金额合计约为人民币</w:t>
      </w:r>
      <w:r>
        <w:rPr>
          <w:rFonts w:ascii="Times New Roman" w:eastAsia="Times New Roman" w:hAnsi="Times New Roman" w:cs="Times New Roman"/>
          <w:color w:val="000000"/>
          <w:spacing w:val="0"/>
          <w:w w:val="100"/>
          <w:position w:val="0"/>
        </w:rPr>
        <w:t>493.17</w:t>
      </w:r>
      <w:r>
        <w:rPr>
          <w:color w:val="000000"/>
          <w:spacing w:val="0"/>
          <w:w w:val="100"/>
          <w:position w:val="0"/>
        </w:rPr>
        <w:t>万元，截至本财务 报表批准报出日止，相关案件正在审理过程中。</w:t>
      </w:r>
    </w:p>
    <w:p>
      <w:pPr>
        <w:pStyle w:val="Style13"/>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除存在上述或有事项外，截至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日，本公司无其他应披露而未披露的重要或有事 项。</w:t>
      </w:r>
    </w:p>
    <w:p>
      <w:pPr>
        <w:pStyle w:val="Style33"/>
        <w:keepNext/>
        <w:keepLines/>
        <w:widowControl w:val="0"/>
        <w:shd w:val="clear" w:color="auto" w:fill="auto"/>
        <w:bidi w:val="0"/>
        <w:spacing w:before="0" w:after="200" w:line="473" w:lineRule="exact"/>
        <w:ind w:left="0" w:right="0" w:firstLine="0"/>
        <w:jc w:val="left"/>
      </w:pPr>
      <w:bookmarkStart w:id="1020" w:name="bookmark1020"/>
      <w:bookmarkStart w:id="1021" w:name="bookmark1021"/>
      <w:bookmarkStart w:id="1022" w:name="bookmark1022"/>
      <w:r>
        <w:rPr>
          <w:color w:val="000000"/>
          <w:spacing w:val="0"/>
          <w:w w:val="100"/>
          <w:position w:val="0"/>
        </w:rPr>
        <w:t>十三、资产负债表日后事项</w:t>
      </w:r>
      <w:bookmarkEnd w:id="1020"/>
      <w:bookmarkEnd w:id="1021"/>
      <w:bookmarkEnd w:id="1022"/>
    </w:p>
    <w:p>
      <w:pPr>
        <w:pStyle w:val="Style13"/>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内蒙古斯诺股权变动</w:t>
      </w:r>
    </w:p>
    <w:p>
      <w:pPr>
        <w:pStyle w:val="Style13"/>
        <w:keepNext w:val="0"/>
        <w:keepLines w:val="0"/>
        <w:widowControl w:val="0"/>
        <w:shd w:val="clear" w:color="auto" w:fill="auto"/>
        <w:bidi w:val="0"/>
        <w:spacing w:before="0" w:after="220" w:line="473" w:lineRule="exact"/>
        <w:ind w:left="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日召开第五届董事会第九次会议，审议通过《关于与浦项化学签 </w:t>
      </w:r>
      <w:r>
        <w:rPr>
          <w:color w:val="000000"/>
          <w:spacing w:val="0"/>
          <w:w w:val="100"/>
          <w:position w:val="0"/>
        </w:rPr>
        <w:t>署〈增资协议〉的议案》，同意公司及下属公司内蒙古斯诺新材料科技有限公司与</w:t>
      </w:r>
      <w:r>
        <w:rPr>
          <w:rFonts w:ascii="Times New Roman" w:eastAsia="Times New Roman" w:hAnsi="Times New Roman" w:cs="Times New Roman"/>
          <w:color w:val="000000"/>
          <w:spacing w:val="0"/>
          <w:w w:val="100"/>
          <w:position w:val="0"/>
        </w:rPr>
        <w:t xml:space="preserve">POSCO CHEMICAL Co., LTD </w:t>
      </w:r>
      <w:r>
        <w:rPr>
          <w:color w:val="000000"/>
          <w:spacing w:val="0"/>
          <w:w w:val="100"/>
          <w:position w:val="0"/>
        </w:rPr>
        <w:t>（以下简称“浦项化学”）、浙江华友钻业股份有限公司签署《增资协议》， 根据协议约定，浦项化学以人民币</w:t>
      </w:r>
      <w:r>
        <w:rPr>
          <w:rFonts w:ascii="Times New Roman" w:eastAsia="Times New Roman" w:hAnsi="Times New Roman" w:cs="Times New Roman"/>
          <w:color w:val="000000"/>
          <w:spacing w:val="0"/>
          <w:w w:val="100"/>
          <w:position w:val="0"/>
        </w:rPr>
        <w:t>141,176,471</w:t>
      </w:r>
      <w:r>
        <w:rPr>
          <w:color w:val="000000"/>
          <w:spacing w:val="0"/>
          <w:w w:val="100"/>
          <w:position w:val="0"/>
        </w:rPr>
        <w:t xml:space="preserve">元现金认购重组后的内蒙古斯诺新增注册资本 </w:t>
      </w:r>
      <w:r>
        <w:rPr>
          <w:rFonts w:ascii="Times New Roman" w:eastAsia="Times New Roman" w:hAnsi="Times New Roman" w:cs="Times New Roman"/>
          <w:color w:val="000000"/>
          <w:spacing w:val="0"/>
          <w:w w:val="100"/>
          <w:position w:val="0"/>
        </w:rPr>
        <w:t>1,500</w:t>
      </w:r>
      <w:r>
        <w:rPr>
          <w:color w:val="000000"/>
          <w:spacing w:val="0"/>
          <w:w w:val="100"/>
          <w:position w:val="0"/>
        </w:rPr>
        <w:t>万元，取得交易后内蒙古斯诺</w:t>
      </w:r>
      <w:r>
        <w:rPr>
          <w:rFonts w:ascii="Times New Roman" w:eastAsia="Times New Roman" w:hAnsi="Times New Roman" w:cs="Times New Roman"/>
          <w:color w:val="000000"/>
          <w:spacing w:val="0"/>
          <w:w w:val="100"/>
          <w:position w:val="0"/>
        </w:rPr>
        <w:t>15%</w:t>
      </w:r>
      <w:r>
        <w:rPr>
          <w:color w:val="000000"/>
          <w:spacing w:val="0"/>
          <w:w w:val="100"/>
          <w:position w:val="0"/>
        </w:rPr>
        <w:t>的股权。本公司持股比例由</w:t>
      </w:r>
      <w:r>
        <w:rPr>
          <w:rFonts w:ascii="Times New Roman" w:eastAsia="Times New Roman" w:hAnsi="Times New Roman" w:cs="Times New Roman"/>
          <w:color w:val="000000"/>
          <w:spacing w:val="0"/>
          <w:w w:val="100"/>
          <w:position w:val="0"/>
        </w:rPr>
        <w:t>95%</w:t>
      </w:r>
      <w:r>
        <w:rPr>
          <w:color w:val="000000"/>
          <w:spacing w:val="0"/>
          <w:w w:val="100"/>
          <w:position w:val="0"/>
        </w:rPr>
        <w:t>变更为</w:t>
      </w:r>
      <w:r>
        <w:rPr>
          <w:rFonts w:ascii="Times New Roman" w:eastAsia="Times New Roman" w:hAnsi="Times New Roman" w:cs="Times New Roman"/>
          <w:color w:val="000000"/>
          <w:spacing w:val="0"/>
          <w:w w:val="100"/>
          <w:position w:val="0"/>
        </w:rPr>
        <w:t>80.75%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日已办妥工商变更登记手续。浦项化学于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日缴足出资款。除上述事项外，截至 财务报告报出日，公司无其他需要披露的资产负债表日后事项。</w:t>
      </w:r>
    </w:p>
    <w:p>
      <w:pPr>
        <w:pStyle w:val="Style33"/>
        <w:keepNext/>
        <w:keepLines/>
        <w:widowControl w:val="0"/>
        <w:shd w:val="clear" w:color="auto" w:fill="auto"/>
        <w:bidi w:val="0"/>
        <w:spacing w:before="0" w:after="220" w:line="470" w:lineRule="exact"/>
        <w:ind w:left="0" w:right="0" w:firstLine="140"/>
        <w:jc w:val="both"/>
      </w:pPr>
      <w:bookmarkStart w:id="1023" w:name="bookmark1023"/>
      <w:bookmarkStart w:id="1024" w:name="bookmark1024"/>
      <w:bookmarkStart w:id="1025" w:name="bookmark1025"/>
      <w:r>
        <w:rPr>
          <w:color w:val="000000"/>
          <w:spacing w:val="0"/>
          <w:w w:val="100"/>
          <w:position w:val="0"/>
        </w:rPr>
        <w:t>十四、其他重要事项</w:t>
      </w:r>
      <w:bookmarkEnd w:id="1023"/>
      <w:bookmarkEnd w:id="1024"/>
      <w:bookmarkEnd w:id="1025"/>
    </w:p>
    <w:p>
      <w:pPr>
        <w:pStyle w:val="Style13"/>
        <w:keepNext w:val="0"/>
        <w:keepLines w:val="0"/>
        <w:widowControl w:val="0"/>
        <w:shd w:val="clear" w:color="auto" w:fill="auto"/>
        <w:tabs>
          <w:tab w:pos="1210" w:val="left"/>
        </w:tabs>
        <w:bidi w:val="0"/>
        <w:spacing w:before="0" w:after="0" w:line="474" w:lineRule="exact"/>
        <w:ind w:left="0" w:right="0" w:firstLine="600"/>
        <w:jc w:val="left"/>
      </w:pPr>
      <w:bookmarkStart w:id="1026" w:name="bookmark1026"/>
      <w:r>
        <w:rPr>
          <w:color w:val="000000"/>
          <w:spacing w:val="0"/>
          <w:w w:val="100"/>
          <w:position w:val="0"/>
        </w:rPr>
        <w:t>（</w:t>
      </w:r>
      <w:bookmarkEnd w:id="1026"/>
      <w:r>
        <w:rPr>
          <w:color w:val="000000"/>
          <w:spacing w:val="0"/>
          <w:w w:val="100"/>
          <w:position w:val="0"/>
        </w:rPr>
        <w:t>一）</w:t>
        <w:tab/>
        <w:t>华夏芯业绩补偿款及股权转让事项</w:t>
      </w:r>
    </w:p>
    <w:p>
      <w:pPr>
        <w:pStyle w:val="Style13"/>
        <w:keepNext w:val="0"/>
        <w:keepLines w:val="0"/>
        <w:widowControl w:val="0"/>
        <w:shd w:val="clear" w:color="auto" w:fill="auto"/>
        <w:bidi w:val="0"/>
        <w:spacing w:before="0" w:after="0" w:line="474" w:lineRule="exact"/>
        <w:ind w:left="140" w:right="0" w:firstLine="46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日国民技术公司全资子公司国民投资与业绩承诺方李科奕签署的《补偿及 股权转让协议》，国民投资以</w:t>
      </w:r>
      <w:r>
        <w:rPr>
          <w:rFonts w:ascii="Times New Roman" w:eastAsia="Times New Roman" w:hAnsi="Times New Roman" w:cs="Times New Roman"/>
          <w:color w:val="000000"/>
          <w:spacing w:val="0"/>
          <w:w w:val="100"/>
          <w:position w:val="0"/>
        </w:rPr>
        <w:t>16,921.37</w:t>
      </w:r>
      <w:r>
        <w:rPr>
          <w:color w:val="000000"/>
          <w:spacing w:val="0"/>
          <w:w w:val="100"/>
          <w:position w:val="0"/>
        </w:rPr>
        <w:t>万元的对价将持有的华夏芯（北京）通用处理器技术有限 公司（以下简称“华夏芯”）</w:t>
      </w:r>
      <w:r>
        <w:rPr>
          <w:rFonts w:ascii="Times New Roman" w:eastAsia="Times New Roman" w:hAnsi="Times New Roman" w:cs="Times New Roman"/>
          <w:color w:val="000000"/>
          <w:spacing w:val="0"/>
          <w:w w:val="100"/>
          <w:position w:val="0"/>
        </w:rPr>
        <w:t>21.374%</w:t>
      </w:r>
      <w:r>
        <w:rPr>
          <w:color w:val="000000"/>
          <w:spacing w:val="0"/>
          <w:w w:val="100"/>
          <w:position w:val="0"/>
        </w:rPr>
        <w:t>股权转让给业绩承诺方李科奕。</w:t>
      </w:r>
      <w:r>
        <w:rPr>
          <w:rFonts w:ascii="Times New Roman" w:eastAsia="Times New Roman" w:hAnsi="Times New Roman" w:cs="Times New Roman"/>
          <w:color w:val="000000"/>
          <w:spacing w:val="0"/>
          <w:w w:val="100"/>
          <w:position w:val="0"/>
        </w:rPr>
        <w:t>2021</w:t>
      </w:r>
      <w:r>
        <w:rPr>
          <w:color w:val="000000"/>
          <w:spacing w:val="0"/>
          <w:w w:val="100"/>
          <w:position w:val="0"/>
        </w:rPr>
        <w:t>年度国民投资公司已 收到全部股权转让款，并完成工商变更。</w:t>
      </w:r>
    </w:p>
    <w:p>
      <w:pPr>
        <w:pStyle w:val="Style13"/>
        <w:keepNext w:val="0"/>
        <w:keepLines w:val="0"/>
        <w:widowControl w:val="0"/>
        <w:shd w:val="clear" w:color="auto" w:fill="auto"/>
        <w:tabs>
          <w:tab w:pos="1210" w:val="left"/>
        </w:tabs>
        <w:bidi w:val="0"/>
        <w:spacing w:before="0" w:after="0" w:line="469" w:lineRule="exact"/>
        <w:ind w:left="0" w:right="0" w:firstLine="600"/>
        <w:jc w:val="both"/>
      </w:pPr>
      <w:bookmarkStart w:id="1027" w:name="bookmark1027"/>
      <w:r>
        <w:rPr>
          <w:color w:val="000000"/>
          <w:spacing w:val="0"/>
          <w:w w:val="100"/>
          <w:position w:val="0"/>
        </w:rPr>
        <w:t>（</w:t>
      </w:r>
      <w:bookmarkEnd w:id="1027"/>
      <w:r>
        <w:rPr>
          <w:color w:val="000000"/>
          <w:spacing w:val="0"/>
          <w:w w:val="100"/>
          <w:position w:val="0"/>
        </w:rPr>
        <w:t>二）</w:t>
        <w:tab/>
        <w:t>深圳市富源机电设备有限公司回款事项</w:t>
      </w:r>
    </w:p>
    <w:p>
      <w:pPr>
        <w:pStyle w:val="Style13"/>
        <w:keepNext w:val="0"/>
        <w:keepLines w:val="0"/>
        <w:widowControl w:val="0"/>
        <w:shd w:val="clear" w:color="auto" w:fill="auto"/>
        <w:bidi w:val="0"/>
        <w:spacing w:before="0" w:after="0" w:line="469" w:lineRule="exact"/>
        <w:ind w:left="14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日收到中国证券监督管理委员会深圳监管局（以下简称“深圳证监局”） 下发的《关于对国民技术股份有限公司采取责令改正措施的决定》（中国证券监督管理委员会深 圳监管局行政监管措施决定书</w:t>
      </w:r>
      <w:r>
        <w:rPr>
          <w:rFonts w:ascii="Times New Roman" w:eastAsia="Times New Roman" w:hAnsi="Times New Roman" w:cs="Times New Roman"/>
          <w:color w:val="000000"/>
          <w:spacing w:val="0"/>
          <w:w w:val="100"/>
          <w:position w:val="0"/>
        </w:rPr>
        <w:t>[2021]90</w:t>
      </w:r>
      <w:r>
        <w:rPr>
          <w:color w:val="000000"/>
          <w:spacing w:val="0"/>
          <w:w w:val="100"/>
          <w:position w:val="0"/>
        </w:rPr>
        <w:t>号，以下简称“《决定书》”），要求公司采取有效措施进 行改正。本期公司已经收到深圳市富源机电设备有限公司及深圳市德世科通讯科技有限公司的应 收款</w:t>
      </w:r>
      <w:r>
        <w:rPr>
          <w:rFonts w:ascii="Times New Roman" w:eastAsia="Times New Roman" w:hAnsi="Times New Roman" w:cs="Times New Roman"/>
          <w:color w:val="000000"/>
          <w:spacing w:val="0"/>
          <w:w w:val="100"/>
          <w:position w:val="0"/>
        </w:rPr>
        <w:t>12,592.96</w:t>
      </w:r>
      <w:r>
        <w:rPr>
          <w:color w:val="000000"/>
          <w:spacing w:val="0"/>
          <w:w w:val="100"/>
          <w:position w:val="0"/>
        </w:rPr>
        <w:t>万元，考虑到上述应收款项回收具有一定特殊性，公司将上述应收款项回款计入资 本公积——其他资本公积。</w:t>
      </w:r>
    </w:p>
    <w:p>
      <w:pPr>
        <w:pStyle w:val="Style13"/>
        <w:keepNext w:val="0"/>
        <w:keepLines w:val="0"/>
        <w:widowControl w:val="0"/>
        <w:shd w:val="clear" w:color="auto" w:fill="auto"/>
        <w:bidi w:val="0"/>
        <w:spacing w:before="0" w:after="220" w:line="469" w:lineRule="exact"/>
        <w:ind w:left="0" w:right="0" w:firstLine="600"/>
        <w:jc w:val="both"/>
      </w:pPr>
      <w:r>
        <w:rPr>
          <w:color w:val="000000"/>
          <w:spacing w:val="0"/>
          <w:w w:val="100"/>
          <w:position w:val="0"/>
        </w:rPr>
        <w:t>除上述事项外，截至财务报表批准报出日，本公司无其他应披露而未披露的其他重要事项。</w:t>
      </w:r>
    </w:p>
    <w:p>
      <w:pPr>
        <w:pStyle w:val="Style13"/>
        <w:keepNext w:val="0"/>
        <w:keepLines w:val="0"/>
        <w:widowControl w:val="0"/>
        <w:shd w:val="clear" w:color="auto" w:fill="auto"/>
        <w:bidi w:val="0"/>
        <w:spacing w:before="0" w:after="360" w:line="469" w:lineRule="exact"/>
        <w:ind w:left="0" w:right="0" w:firstLine="140"/>
        <w:jc w:val="both"/>
      </w:pPr>
      <w:r>
        <w:rPr>
          <w:b/>
          <w:bCs/>
          <w:color w:val="000000"/>
          <w:spacing w:val="0"/>
          <w:w w:val="100"/>
          <w:position w:val="0"/>
        </w:rPr>
        <w:t>十五、母公司财务报表主要项目注释</w:t>
      </w:r>
    </w:p>
    <w:p>
      <w:pPr>
        <w:pStyle w:val="Style37"/>
        <w:keepNext/>
        <w:keepLines/>
        <w:widowControl w:val="0"/>
        <w:shd w:val="clear" w:color="auto" w:fill="auto"/>
        <w:bidi w:val="0"/>
        <w:spacing w:before="0" w:after="0" w:line="446" w:lineRule="auto"/>
        <w:ind w:left="0" w:right="0" w:firstLine="140"/>
        <w:jc w:val="both"/>
      </w:pPr>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028"/>
      <w:bookmarkEnd w:id="1029"/>
      <w:bookmarkEnd w:id="1030"/>
    </w:p>
    <w:p>
      <w:pPr>
        <w:pStyle w:val="Style13"/>
        <w:keepNext w:val="0"/>
        <w:keepLines w:val="0"/>
        <w:widowControl w:val="0"/>
        <w:shd w:val="clear" w:color="auto" w:fill="auto"/>
        <w:bidi w:val="0"/>
        <w:spacing w:before="0" w:after="100" w:line="469" w:lineRule="exact"/>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）以摊余成本计量的应收账款</w:t>
      </w:r>
    </w:p>
    <w:tbl>
      <w:tblPr>
        <w:tblOverlap w:val="never"/>
        <w:jc w:val="left"/>
        <w:tblLayout w:type="fixed"/>
      </w:tblPr>
      <w:tblGrid>
        <w:gridCol w:w="2126"/>
        <w:gridCol w:w="2597"/>
        <w:gridCol w:w="2064"/>
        <w:gridCol w:w="2429"/>
      </w:tblGrid>
      <w:tr>
        <w:trPr>
          <w:trHeight w:val="47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132,628,343.60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4,315,634.76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128,312,708.84</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b/>
                <w:bCs/>
                <w:color w:val="000000"/>
                <w:spacing w:val="0"/>
                <w:w w:val="100"/>
                <w:position w:val="0"/>
                <w:sz w:val="20"/>
                <w:szCs w:val="20"/>
              </w:rPr>
              <w:t>132,628,343.60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4,315,634.76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b/>
                <w:bCs/>
                <w:color w:val="000000"/>
                <w:spacing w:val="0"/>
                <w:w w:val="100"/>
                <w:position w:val="0"/>
                <w:sz w:val="20"/>
                <w:szCs w:val="20"/>
              </w:rPr>
              <w:t>128,312,708.84</w:t>
            </w:r>
          </w:p>
        </w:tc>
      </w:tr>
    </w:tbl>
    <w:p>
      <w:pPr>
        <w:widowControl w:val="0"/>
        <w:spacing w:line="1" w:lineRule="exact"/>
      </w:pPr>
      <w:r>
        <w:br w:type="page"/>
      </w:r>
    </w:p>
    <w:tbl>
      <w:tblPr>
        <w:tblOverlap w:val="never"/>
        <w:jc w:val="center"/>
        <w:tblLayout w:type="fixed"/>
      </w:tblPr>
      <w:tblGrid>
        <w:gridCol w:w="1550"/>
        <w:gridCol w:w="576"/>
        <w:gridCol w:w="187"/>
        <w:gridCol w:w="1003"/>
        <w:gridCol w:w="840"/>
        <w:gridCol w:w="648"/>
        <w:gridCol w:w="1195"/>
        <w:gridCol w:w="446"/>
        <w:gridCol w:w="341"/>
        <w:gridCol w:w="773"/>
        <w:gridCol w:w="398"/>
        <w:gridCol w:w="1853"/>
      </w:tblGrid>
      <w:tr>
        <w:trPr>
          <w:trHeight w:val="370" w:hRule="exact"/>
        </w:trPr>
        <w:tc>
          <w:tcPr>
            <w:gridSpan w:val="1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（续）</w:t>
            </w:r>
          </w:p>
        </w:tc>
      </w:tr>
      <w:tr>
        <w:trPr>
          <w:trHeight w:val="466" w:hRule="exact"/>
        </w:trPr>
        <w:tc>
          <w:tcPr>
            <w:gridSpan w:val="2"/>
            <w:tcBorders>
              <w:top w:val="single" w:sz="4"/>
              <w:left w:val="single" w:sz="4"/>
            </w:tcBorders>
            <w:shd w:val="clear" w:color="auto" w:fill="FFFFFF"/>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gridSpan w:val="2"/>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20"/>
                <w:szCs w:val="20"/>
              </w:rPr>
            </w:pPr>
            <w:r>
              <w:rPr>
                <w:b/>
                <w:bCs/>
                <w:color w:val="000000"/>
                <w:spacing w:val="0"/>
                <w:w w:val="100"/>
                <w:position w:val="0"/>
                <w:sz w:val="20"/>
                <w:szCs w:val="20"/>
              </w:rPr>
              <w:t>账面余额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坏账准备</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账面价值</w:t>
            </w:r>
          </w:p>
        </w:tc>
      </w:tr>
      <w:tr>
        <w:trPr>
          <w:trHeight w:val="46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131,107,313.79</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32,521,567.15</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98,585,746.64</w:t>
            </w:r>
          </w:p>
        </w:tc>
      </w:tr>
      <w:tr>
        <w:trPr>
          <w:trHeight w:val="4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合计</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b/>
                <w:bCs/>
                <w:color w:val="000000"/>
                <w:spacing w:val="0"/>
                <w:w w:val="100"/>
                <w:position w:val="0"/>
                <w:sz w:val="20"/>
                <w:szCs w:val="20"/>
              </w:rPr>
              <w:t>131,107,313.79</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0"/>
                <w:szCs w:val="20"/>
              </w:rPr>
              <w:t>32,521,567.15</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b/>
                <w:bCs/>
                <w:color w:val="000000"/>
                <w:spacing w:val="0"/>
                <w:w w:val="100"/>
                <w:position w:val="0"/>
                <w:sz w:val="20"/>
                <w:szCs w:val="20"/>
              </w:rPr>
              <w:t>98,585,746.64</w:t>
            </w:r>
          </w:p>
        </w:tc>
      </w:tr>
      <w:tr>
        <w:trPr>
          <w:trHeight w:val="2822"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73" w:lineRule="exact"/>
              <w:ind w:left="140" w:right="0" w:firstLine="460"/>
              <w:jc w:val="left"/>
            </w:pPr>
            <w:r>
              <w:rPr>
                <w:color w:val="000000"/>
                <w:spacing w:val="0"/>
                <w:w w:val="100"/>
                <w:position w:val="0"/>
              </w:rPr>
              <w:t>如是按照预期信用损失一般模型计提应收账款坏账准备，请参照其他应收款的披露方式披露 坏账准备的相关信息：</w:t>
            </w:r>
          </w:p>
          <w:p>
            <w:pPr>
              <w:pStyle w:val="Style2"/>
              <w:keepNext w:val="0"/>
              <w:keepLines w:val="0"/>
              <w:widowControl w:val="0"/>
              <w:shd w:val="clear" w:color="auto" w:fill="auto"/>
              <w:bidi w:val="0"/>
              <w:spacing w:before="0" w:after="0" w:line="473" w:lineRule="exact"/>
              <w:ind w:left="0" w:right="0" w:firstLine="600"/>
              <w:jc w:val="left"/>
            </w:pPr>
            <w:r>
              <w:rPr>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473" w:lineRule="exact"/>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）坏账准备</w:t>
            </w:r>
          </w:p>
          <w:p>
            <w:pPr>
              <w:pStyle w:val="Style2"/>
              <w:keepNext w:val="0"/>
              <w:keepLines w:val="0"/>
              <w:widowControl w:val="0"/>
              <w:shd w:val="clear" w:color="auto" w:fill="auto"/>
              <w:bidi w:val="0"/>
              <w:spacing w:before="0" w:after="0" w:line="473" w:lineRule="exact"/>
              <w:ind w:left="140" w:right="0" w:firstLine="460"/>
              <w:jc w:val="left"/>
            </w:pPr>
            <w:r>
              <w:rPr>
                <w:color w:val="000000"/>
                <w:spacing w:val="0"/>
                <w:w w:val="100"/>
                <w:position w:val="0"/>
              </w:rPr>
              <w:t>本公司对应收账款，无论是否存在重大融资成分，均按照整个存续期的预期信用损失计量损 失准备。</w:t>
            </w:r>
          </w:p>
        </w:tc>
      </w:tr>
      <w:tr>
        <w:trPr>
          <w:trHeight w:val="4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类别</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6"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b/>
                <w:bCs/>
                <w:color w:val="000000"/>
                <w:spacing w:val="0"/>
                <w:w w:val="100"/>
                <w:position w:val="0"/>
                <w:sz w:val="20"/>
                <w:szCs w:val="20"/>
              </w:rPr>
              <w:t>账面余额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461" w:hRule="exact"/>
        </w:trPr>
        <w:tc>
          <w:tcPr>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c>
          <w:tcPr>
            <w:vMerge/>
            <w:tcBorders>
              <w:left w:val="single" w:sz="4"/>
              <w:right w:val="single" w:sz="4"/>
            </w:tcBorders>
            <w:shd w:val="clear" w:color="auto" w:fill="FFFFFF"/>
            <w:vAlign w:val="center"/>
          </w:tcPr>
          <w:p>
            <w:pPr/>
          </w:p>
        </w:tc>
      </w:tr>
      <w:tr>
        <w:trPr>
          <w:trHeight w:val="8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按单项计提</w:t>
            </w:r>
          </w:p>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坏账准备的</w:t>
            </w:r>
          </w:p>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应收账款</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28,388,468.02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21.40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3,063,479.02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25,324,989.00</w:t>
            </w:r>
          </w:p>
        </w:tc>
      </w:tr>
      <w:tr>
        <w:trPr>
          <w:trHeight w:val="8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320" w:right="0" w:firstLine="0"/>
              <w:jc w:val="left"/>
              <w:rPr>
                <w:sz w:val="20"/>
                <w:szCs w:val="20"/>
              </w:rPr>
            </w:pPr>
            <w:r>
              <w:rPr>
                <w:color w:val="000000"/>
                <w:spacing w:val="0"/>
                <w:w w:val="100"/>
                <w:position w:val="0"/>
                <w:sz w:val="20"/>
                <w:szCs w:val="20"/>
              </w:rPr>
              <w:t>按组合计提 坏账准备的 应收账款</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104,239,875.58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78.60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1,252,155.74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102,987,719.84</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合计</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132,628,343.60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4,315,634.76</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128,312,708.84</w:t>
            </w:r>
          </w:p>
        </w:tc>
      </w:tr>
      <w:tr>
        <w:trPr>
          <w:trHeight w:val="485"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（续）</w:t>
            </w:r>
          </w:p>
        </w:tc>
      </w:tr>
      <w:tr>
        <w:trPr>
          <w:trHeight w:val="4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类别</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b/>
                <w:bCs/>
                <w:color w:val="000000"/>
                <w:spacing w:val="0"/>
                <w:w w:val="100"/>
                <w:position w:val="0"/>
                <w:sz w:val="20"/>
                <w:szCs w:val="20"/>
              </w:rPr>
              <w:t>账面余额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461" w:hRule="exact"/>
        </w:trPr>
        <w:tc>
          <w:tcPr>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比例（</w:t>
            </w:r>
            <w:r>
              <w:rPr>
                <w:b/>
                <w:bCs/>
                <w:color w:val="000000"/>
                <w:spacing w:val="0"/>
                <w:w w:val="100"/>
                <w:position w:val="0"/>
                <w:sz w:val="20"/>
                <w:szCs w:val="20"/>
              </w:rPr>
              <w:t>％</w:t>
            </w:r>
            <w:r>
              <w:rPr>
                <w:b/>
                <w:bCs/>
                <w:color w:val="000000"/>
                <w:spacing w:val="0"/>
                <w:w w:val="100"/>
                <w:position w:val="0"/>
                <w:sz w:val="20"/>
                <w:szCs w:val="20"/>
              </w:rPr>
              <w:t>）</w:t>
            </w:r>
          </w:p>
        </w:tc>
        <w:tc>
          <w:tcPr>
            <w:vMerge/>
            <w:tcBorders>
              <w:left w:val="single" w:sz="4"/>
              <w:right w:val="single" w:sz="4"/>
            </w:tcBorders>
            <w:shd w:val="clear" w:color="auto" w:fill="FFFFFF"/>
            <w:vAlign w:val="center"/>
          </w:tcPr>
          <w:p>
            <w:pPr/>
          </w:p>
        </w:tc>
      </w:tr>
      <w:tr>
        <w:trPr>
          <w:trHeight w:val="8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按单项计提</w:t>
            </w:r>
          </w:p>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坏账准备的</w:t>
            </w:r>
          </w:p>
          <w:p>
            <w:pPr>
              <w:pStyle w:val="Style2"/>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应收账款</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31,640,716.74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24.13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31,640,716.74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320" w:right="0" w:firstLine="0"/>
              <w:jc w:val="left"/>
              <w:rPr>
                <w:sz w:val="20"/>
                <w:szCs w:val="20"/>
              </w:rPr>
            </w:pPr>
            <w:r>
              <w:rPr>
                <w:color w:val="000000"/>
                <w:spacing w:val="0"/>
                <w:w w:val="100"/>
                <w:position w:val="0"/>
                <w:sz w:val="20"/>
                <w:szCs w:val="20"/>
              </w:rPr>
              <w:t>按组合计提 坏账准备的 应收账款</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99,466,597.05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75.87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880,850.41</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98,585,746.64</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合计</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131,107,313.79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32,521,567.15</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98,585,746.64</w:t>
            </w:r>
          </w:p>
        </w:tc>
      </w:tr>
      <w:tr>
        <w:trPr>
          <w:trHeight w:val="480"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①</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日，单项计提坏账准备：</w:t>
            </w:r>
          </w:p>
        </w:tc>
      </w:tr>
      <w:tr>
        <w:trPr>
          <w:trHeight w:val="590" w:hRule="exact"/>
        </w:trPr>
        <w:tc>
          <w:tcPr>
            <w:gridSpan w:val="3"/>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账面余额</w:t>
            </w:r>
          </w:p>
        </w:tc>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整个存续期预 期信用损失</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坏账准备</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理由</w:t>
            </w:r>
          </w:p>
        </w:tc>
      </w:tr>
    </w:tbl>
    <w:p>
      <w:pPr>
        <w:widowControl w:val="0"/>
        <w:spacing w:line="1" w:lineRule="exact"/>
      </w:pPr>
      <w:r>
        <w:br w:type="page"/>
      </w:r>
    </w:p>
    <w:tbl>
      <w:tblPr>
        <w:tblOverlap w:val="never"/>
        <w:jc w:val="center"/>
        <w:tblLayout w:type="fixed"/>
      </w:tblPr>
      <w:tblGrid>
        <w:gridCol w:w="1882"/>
        <w:gridCol w:w="408"/>
        <w:gridCol w:w="1339"/>
        <w:gridCol w:w="211"/>
        <w:gridCol w:w="317"/>
        <w:gridCol w:w="427"/>
        <w:gridCol w:w="461"/>
        <w:gridCol w:w="955"/>
        <w:gridCol w:w="648"/>
        <w:gridCol w:w="629"/>
        <w:gridCol w:w="283"/>
        <w:gridCol w:w="605"/>
        <w:gridCol w:w="1450"/>
      </w:tblGrid>
      <w:tr>
        <w:trPr>
          <w:trHeight w:val="466" w:hRule="exact"/>
        </w:trPr>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率</w:t>
            </w:r>
            <w:r>
              <w:rPr>
                <w:b/>
                <w:bCs/>
                <w:color w:val="000000"/>
                <w:spacing w:val="0"/>
                <w:w w:val="100"/>
                <w:position w:val="0"/>
                <w:sz w:val="20"/>
                <w:szCs w:val="20"/>
              </w:rPr>
              <w:t>％</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客户一</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25,324,989.00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3" w:lineRule="exact"/>
              <w:ind w:left="280" w:right="0" w:firstLine="0"/>
              <w:jc w:val="left"/>
              <w:rPr>
                <w:sz w:val="20"/>
                <w:szCs w:val="20"/>
              </w:rPr>
            </w:pPr>
            <w:r>
              <w:rPr>
                <w:color w:val="000000"/>
                <w:spacing w:val="0"/>
                <w:w w:val="100"/>
                <w:position w:val="0"/>
                <w:sz w:val="20"/>
                <w:szCs w:val="20"/>
              </w:rPr>
              <w:t>期后已全额收 回</w:t>
            </w:r>
          </w:p>
        </w:tc>
      </w:tr>
      <w:tr>
        <w:trPr>
          <w:trHeight w:val="86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客户二</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1,984,789.99</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1,984,789.99</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88" w:lineRule="exact"/>
              <w:ind w:left="280" w:right="0" w:firstLine="0"/>
              <w:jc w:val="left"/>
              <w:rPr>
                <w:sz w:val="20"/>
                <w:szCs w:val="20"/>
              </w:rPr>
            </w:pPr>
            <w:r>
              <w:rPr>
                <w:color w:val="000000"/>
                <w:spacing w:val="0"/>
                <w:w w:val="100"/>
                <w:position w:val="0"/>
                <w:sz w:val="20"/>
                <w:szCs w:val="20"/>
              </w:rPr>
              <w:t>已进入破产清 算，预计无法 收回</w:t>
            </w:r>
          </w:p>
        </w:tc>
      </w:tr>
      <w:tr>
        <w:trPr>
          <w:trHeight w:val="46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客户三</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1,078,689.03</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1,078,689.03</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预计无法收回</w:t>
            </w:r>
          </w:p>
        </w:tc>
      </w:tr>
      <w:tr>
        <w:trPr>
          <w:trHeight w:val="4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合计</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28,388,468.02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3,063,479.02</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p>
        </w:tc>
      </w:tr>
      <w:tr>
        <w:trPr>
          <w:trHeight w:val="946" w:hRule="exact"/>
        </w:trPr>
        <w:tc>
          <w:tcPr>
            <w:gridSpan w:val="1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日，组合计提坏账准备：</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组合一组合</w:t>
            </w:r>
            <w:r>
              <w:rPr>
                <w:rFonts w:ascii="Times New Roman" w:eastAsia="Times New Roman" w:hAnsi="Times New Roman" w:cs="Times New Roman"/>
                <w:color w:val="000000"/>
                <w:spacing w:val="0"/>
                <w:w w:val="100"/>
                <w:position w:val="0"/>
              </w:rPr>
              <w:t>1</w:t>
            </w:r>
          </w:p>
        </w:tc>
      </w:tr>
      <w:tr>
        <w:trPr>
          <w:trHeight w:val="58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款项性质</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4"/>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整个存续期预期信用损 失率</w:t>
            </w:r>
            <w:r>
              <w:rPr>
                <w:b/>
                <w:bCs/>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坏账准备</w:t>
            </w:r>
          </w:p>
        </w:tc>
      </w:tr>
      <w:tr>
        <w:trPr>
          <w:trHeight w:val="4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合并内关联方款项</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47,227,884.52</w:t>
            </w:r>
          </w:p>
        </w:tc>
        <w:tc>
          <w:tcPr>
            <w:gridSpan w:val="4"/>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gridSpan w:val="1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组合一组合</w:t>
            </w:r>
            <w:r>
              <w:rPr>
                <w:rFonts w:ascii="Times New Roman" w:eastAsia="Times New Roman" w:hAnsi="Times New Roman" w:cs="Times New Roman"/>
                <w:color w:val="000000"/>
                <w:spacing w:val="0"/>
                <w:w w:val="100"/>
                <w:position w:val="0"/>
              </w:rPr>
              <w:t>2</w:t>
            </w:r>
          </w:p>
        </w:tc>
      </w:tr>
      <w:tr>
        <w:trPr>
          <w:trHeight w:val="581" w:hRule="exact"/>
        </w:trPr>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账面余额</w:t>
            </w:r>
          </w:p>
        </w:tc>
        <w:tc>
          <w:tcPr>
            <w:gridSpan w:val="4"/>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整个存续期预期信用 损失率</w:t>
            </w:r>
            <w:r>
              <w:rPr>
                <w:b/>
                <w:bCs/>
                <w:color w:val="000000"/>
                <w:spacing w:val="0"/>
                <w:w w:val="100"/>
                <w:position w:val="0"/>
                <w:sz w:val="20"/>
                <w:szCs w:val="20"/>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b/>
                <w:bCs/>
                <w:color w:val="000000"/>
                <w:spacing w:val="0"/>
                <w:w w:val="100"/>
                <w:position w:val="0"/>
                <w:sz w:val="20"/>
                <w:szCs w:val="20"/>
              </w:rPr>
              <w:t>坏账准备</w:t>
            </w:r>
          </w:p>
        </w:tc>
      </w:tr>
      <w:tr>
        <w:trPr>
          <w:trHeight w:val="47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54,594,785.64</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545,947.86</w:t>
            </w:r>
          </w:p>
        </w:tc>
      </w:tr>
      <w:tr>
        <w:trPr>
          <w:trHeight w:val="46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914,191.73</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00" w:firstLine="0"/>
              <w:jc w:val="right"/>
            </w:pPr>
            <w:r>
              <w:rPr>
                <w:rFonts w:ascii="Times New Roman" w:eastAsia="Times New Roman" w:hAnsi="Times New Roman" w:cs="Times New Roman"/>
                <w:color w:val="000000"/>
                <w:spacing w:val="0"/>
                <w:w w:val="100"/>
                <w:position w:val="0"/>
              </w:rPr>
              <w:t>45,709.59</w:t>
            </w:r>
          </w:p>
        </w:tc>
      </w:tr>
      <w:tr>
        <w:trPr>
          <w:trHeight w:val="4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1,180,561.10</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354,168.33</w:t>
            </w:r>
          </w:p>
        </w:tc>
      </w:tr>
      <w:tr>
        <w:trPr>
          <w:trHeight w:val="46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322,452.59</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306,329.96</w:t>
            </w:r>
          </w:p>
        </w:tc>
      </w:tr>
      <w:tr>
        <w:trPr>
          <w:trHeight w:val="4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合计</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57,011,991.06</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00" w:firstLine="0"/>
              <w:jc w:val="right"/>
              <w:rPr>
                <w:sz w:val="20"/>
                <w:szCs w:val="20"/>
              </w:rPr>
            </w:pPr>
            <w:r>
              <w:rPr>
                <w:rFonts w:ascii="Times New Roman" w:eastAsia="Times New Roman" w:hAnsi="Times New Roman" w:cs="Times New Roman"/>
                <w:b/>
                <w:bCs/>
                <w:color w:val="000000"/>
                <w:spacing w:val="0"/>
                <w:w w:val="100"/>
                <w:position w:val="0"/>
                <w:sz w:val="20"/>
                <w:szCs w:val="20"/>
              </w:rPr>
              <w:t>1,252,155.74</w:t>
            </w:r>
          </w:p>
        </w:tc>
      </w:tr>
      <w:tr>
        <w:trPr>
          <w:trHeight w:val="480" w:hRule="exact"/>
        </w:trPr>
        <w:tc>
          <w:tcPr>
            <w:gridSpan w:val="1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）坏账准备的变动</w:t>
            </w:r>
          </w:p>
        </w:tc>
      </w:tr>
      <w:tr>
        <w:trPr>
          <w:trHeight w:val="47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项目</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b/>
                <w:bCs/>
                <w:color w:val="000000"/>
                <w:spacing w:val="0"/>
                <w:w w:val="100"/>
                <w:position w:val="0"/>
                <w:sz w:val="20"/>
                <w:szCs w:val="20"/>
              </w:rPr>
              <w:t>2021.01.01</w:t>
            </w:r>
          </w:p>
        </w:tc>
        <w:tc>
          <w:tcPr>
            <w:gridSpan w:val="4"/>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本期增加</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1"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4"/>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转回</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转销或核销</w:t>
            </w:r>
          </w:p>
        </w:tc>
        <w:tc>
          <w:tcPr>
            <w:vMerge/>
            <w:tcBorders>
              <w:left w:val="single" w:sz="4"/>
              <w:right w:val="single" w:sz="4"/>
            </w:tcBorders>
            <w:shd w:val="clear" w:color="auto" w:fill="FFFFFF"/>
            <w:vAlign w:val="center"/>
          </w:tcPr>
          <w:p>
            <w:pPr/>
          </w:p>
        </w:tc>
      </w:tr>
      <w:tr>
        <w:trPr>
          <w:trHeight w:val="5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560" w:right="0" w:firstLine="0"/>
              <w:jc w:val="left"/>
              <w:rPr>
                <w:sz w:val="20"/>
                <w:szCs w:val="20"/>
              </w:rPr>
            </w:pPr>
            <w:r>
              <w:rPr>
                <w:color w:val="000000"/>
                <w:spacing w:val="0"/>
                <w:w w:val="100"/>
                <w:position w:val="0"/>
                <w:sz w:val="20"/>
                <w:szCs w:val="20"/>
              </w:rPr>
              <w:t>应收账款坏 账准备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32,521,567.15</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371,305.33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22,678,028.87</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5,899,208.85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4,315,634.76</w:t>
            </w:r>
          </w:p>
        </w:tc>
      </w:tr>
      <w:tr>
        <w:trPr>
          <w:trHeight w:val="485" w:hRule="exact"/>
        </w:trPr>
        <w:tc>
          <w:tcPr>
            <w:gridSpan w:val="1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）报告期坏账准备转回或转销金额重要的</w:t>
            </w:r>
          </w:p>
        </w:tc>
      </w:tr>
      <w:tr>
        <w:trPr>
          <w:trHeight w:val="470"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转回或转销金额</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rPr>
              <w:t>方式</w:t>
            </w:r>
          </w:p>
        </w:tc>
      </w:tr>
      <w:tr>
        <w:trPr>
          <w:trHeight w:val="466"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客户一</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22,678,028.87</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货币资金</w:t>
            </w:r>
          </w:p>
        </w:tc>
      </w:tr>
      <w:tr>
        <w:trPr>
          <w:trHeight w:val="485"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22,678,028.87</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after="220" w:line="240" w:lineRule="auto"/>
        <w:ind w:left="0" w:right="0" w:firstLine="940"/>
        <w:jc w:val="left"/>
      </w:pPr>
      <w:r>
        <w:rPr>
          <w:color w:val="000000"/>
          <w:spacing w:val="0"/>
          <w:w w:val="100"/>
          <w:position w:val="0"/>
        </w:rPr>
        <w:t>注：公司通过法律诉讼手段，在资产负债表日后以货币资金形式全额收回客户一款项。</w:t>
      </w:r>
    </w:p>
    <w:p>
      <w:pPr>
        <w:pStyle w:val="Style13"/>
        <w:keepNext w:val="0"/>
        <w:keepLines w:val="0"/>
        <w:widowControl w:val="0"/>
        <w:shd w:val="clear" w:color="auto" w:fill="auto"/>
        <w:bidi w:val="0"/>
        <w:spacing w:before="0" w:after="220" w:line="240" w:lineRule="auto"/>
        <w:ind w:left="0" w:right="0" w:firstLine="940"/>
        <w:jc w:val="left"/>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rPr>
        <w:t>5</w:t>
      </w:r>
      <w:r>
        <w:rPr>
          <w:color w:val="000000"/>
          <w:spacing w:val="0"/>
          <w:w w:val="100"/>
          <w:position w:val="0"/>
        </w:rPr>
        <w:t>）报告期实际核销的应收账款情况：</w:t>
      </w:r>
    </w:p>
    <w:p>
      <w:pPr>
        <w:pStyle w:val="Style13"/>
        <w:keepNext w:val="0"/>
        <w:keepLines w:val="0"/>
        <w:widowControl w:val="0"/>
        <w:shd w:val="clear" w:color="auto" w:fill="auto"/>
        <w:tabs>
          <w:tab w:pos="7899" w:val="left"/>
        </w:tabs>
        <w:bidi w:val="0"/>
        <w:spacing w:before="0" w:after="220" w:line="240" w:lineRule="auto"/>
        <w:ind w:left="3200" w:right="0" w:firstLine="0"/>
        <w:jc w:val="left"/>
        <w:rPr>
          <w:sz w:val="20"/>
          <w:szCs w:val="20"/>
        </w:rPr>
      </w:pPr>
      <w:r>
        <w:rPr>
          <w:b/>
          <w:bCs/>
          <w:color w:val="000000"/>
          <w:spacing w:val="0"/>
          <w:w w:val="100"/>
          <w:position w:val="0"/>
          <w:sz w:val="20"/>
          <w:szCs w:val="20"/>
        </w:rPr>
        <w:t>项目</w:t>
        <w:tab/>
        <w:t>核销金额</w:t>
      </w:r>
      <w:r>
        <w:br w:type="page"/>
      </w:r>
    </w:p>
    <w:tbl>
      <w:tblPr>
        <w:tblOverlap w:val="never"/>
        <w:jc w:val="center"/>
        <w:tblLayout w:type="fixed"/>
      </w:tblPr>
      <w:tblGrid>
        <w:gridCol w:w="2376"/>
        <w:gridCol w:w="278"/>
        <w:gridCol w:w="1104"/>
        <w:gridCol w:w="739"/>
        <w:gridCol w:w="835"/>
        <w:gridCol w:w="586"/>
        <w:gridCol w:w="1382"/>
        <w:gridCol w:w="456"/>
        <w:gridCol w:w="677"/>
        <w:gridCol w:w="1838"/>
      </w:tblGrid>
      <w:tr>
        <w:trPr>
          <w:trHeight w:val="490" w:hRule="exact"/>
        </w:trPr>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251" w:val="left"/>
              </w:tabs>
              <w:bidi w:val="0"/>
              <w:spacing w:before="0" w:after="0" w:line="240" w:lineRule="auto"/>
              <w:ind w:left="0" w:right="0" w:firstLine="0"/>
              <w:jc w:val="center"/>
            </w:pPr>
            <w:r>
              <w:rPr>
                <w:color w:val="000000"/>
                <w:spacing w:val="0"/>
                <w:w w:val="100"/>
                <w:position w:val="0"/>
                <w:sz w:val="20"/>
                <w:szCs w:val="20"/>
              </w:rPr>
              <w:t>实际核销的应收账款</w:t>
              <w:tab/>
            </w:r>
            <w:r>
              <w:rPr>
                <w:rFonts w:ascii="Times New Roman" w:eastAsia="Times New Roman" w:hAnsi="Times New Roman" w:cs="Times New Roman"/>
                <w:color w:val="000000"/>
                <w:spacing w:val="0"/>
                <w:w w:val="100"/>
                <w:position w:val="0"/>
              </w:rPr>
              <w:t>5,899,208.85</w:t>
            </w:r>
          </w:p>
        </w:tc>
      </w:tr>
      <w:tr>
        <w:trPr>
          <w:trHeight w:val="485" w:hRule="exact"/>
        </w:trPr>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其中重要的应收账款核销情况：</w:t>
            </w:r>
          </w:p>
        </w:tc>
      </w:tr>
      <w:tr>
        <w:trPr>
          <w:trHeight w:val="8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rPr>
              <w:t>单位名称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应收账款 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核销金额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核销原因</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6" w:lineRule="exact"/>
              <w:ind w:left="0" w:right="0" w:firstLine="0"/>
              <w:jc w:val="center"/>
              <w:rPr>
                <w:sz w:val="20"/>
                <w:szCs w:val="20"/>
              </w:rPr>
            </w:pPr>
            <w:r>
              <w:rPr>
                <w:b/>
                <w:bCs/>
                <w:color w:val="000000"/>
                <w:spacing w:val="0"/>
                <w:w w:val="100"/>
                <w:position w:val="0"/>
                <w:sz w:val="20"/>
                <w:szCs w:val="20"/>
              </w:rPr>
              <w:t>履行的 核销程 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款项是否因 关联交易产 生</w:t>
            </w:r>
          </w:p>
        </w:tc>
      </w:tr>
      <w:tr>
        <w:trPr>
          <w:trHeight w:val="8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客户二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货款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5,899,208.85</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已无可执行</w:t>
            </w:r>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财产，法院终</w:t>
            </w:r>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止执行程序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总经理审 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否</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b/>
                <w:bCs/>
                <w:color w:val="000000"/>
                <w:spacing w:val="0"/>
                <w:w w:val="100"/>
                <w:position w:val="0"/>
                <w:sz w:val="20"/>
                <w:szCs w:val="20"/>
              </w:rPr>
              <w:t>合计</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5,899,208.85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）按欠款方归集的期末余额前五名的应收账款情况：</w:t>
            </w:r>
          </w:p>
        </w:tc>
      </w:tr>
      <w:tr>
        <w:trPr>
          <w:trHeight w:val="58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rPr>
              <w:t>单位名称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占应收账款总 额的比例（</w:t>
            </w:r>
            <w:r>
              <w:rPr>
                <w:b/>
                <w:bCs/>
                <w:color w:val="000000"/>
                <w:spacing w:val="0"/>
                <w:w w:val="100"/>
                <w:position w:val="0"/>
                <w:sz w:val="20"/>
                <w:szCs w:val="20"/>
              </w:rPr>
              <w:t>％</w:t>
            </w:r>
            <w:r>
              <w:rPr>
                <w:b/>
                <w:bCs/>
                <w:color w:val="000000"/>
                <w:spacing w:val="0"/>
                <w:w w:val="100"/>
                <w:position w:val="0"/>
                <w:sz w:val="20"/>
                <w:szCs w:val="20"/>
              </w:rPr>
              <w:t>）</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b/>
                <w:bCs/>
                <w:color w:val="000000"/>
                <w:spacing w:val="0"/>
                <w:w w:val="100"/>
                <w:position w:val="0"/>
                <w:sz w:val="20"/>
                <w:szCs w:val="20"/>
              </w:rPr>
              <w:t>坏账准备期末 余额</w:t>
            </w:r>
          </w:p>
        </w:tc>
      </w:tr>
      <w:tr>
        <w:trPr>
          <w:trHeight w:val="58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第一名</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46,670,010.77</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35.19</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第二名</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25,324,989.00</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年以上</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19.09</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第三名</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14,392,568.62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10.85</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143,925.69</w:t>
            </w:r>
          </w:p>
        </w:tc>
      </w:tr>
      <w:tr>
        <w:trPr>
          <w:trHeight w:val="46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第四名</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11,919,009.32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119,190.09</w:t>
            </w:r>
          </w:p>
        </w:tc>
      </w:tr>
      <w:tr>
        <w:trPr>
          <w:trHeight w:val="46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第五名</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11,254,398.31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112,543.98</w:t>
            </w:r>
          </w:p>
        </w:tc>
      </w:tr>
      <w:tr>
        <w:trPr>
          <w:trHeight w:val="48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b/>
                <w:bCs/>
                <w:color w:val="000000"/>
                <w:spacing w:val="0"/>
                <w:w w:val="100"/>
                <w:position w:val="0"/>
                <w:sz w:val="20"/>
                <w:szCs w:val="20"/>
              </w:rPr>
              <w:t>合 计</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109,560,976.02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b/>
                <w:bCs/>
                <w:color w:val="000000"/>
                <w:spacing w:val="0"/>
                <w:w w:val="100"/>
                <w:position w:val="0"/>
                <w:sz w:val="20"/>
                <w:szCs w:val="20"/>
              </w:rPr>
              <w:t>82.61</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b/>
                <w:bCs/>
                <w:color w:val="000000"/>
                <w:spacing w:val="0"/>
                <w:w w:val="100"/>
                <w:position w:val="0"/>
                <w:sz w:val="20"/>
                <w:szCs w:val="20"/>
              </w:rPr>
              <w:t>375,659.76</w:t>
            </w:r>
          </w:p>
        </w:tc>
      </w:tr>
    </w:tbl>
    <w:p>
      <w:pPr>
        <w:pStyle w:val="Style30"/>
        <w:keepNext w:val="0"/>
        <w:keepLines w:val="0"/>
        <w:widowControl w:val="0"/>
        <w:shd w:val="clear" w:color="auto" w:fill="auto"/>
        <w:bidi w:val="0"/>
        <w:spacing w:before="0" w:after="0" w:line="240" w:lineRule="auto"/>
        <w:ind w:left="470" w:right="0" w:firstLine="0"/>
        <w:jc w:val="left"/>
        <w:rPr>
          <w:sz w:val="22"/>
          <w:szCs w:val="22"/>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、其他应收款</w:t>
      </w:r>
    </w:p>
    <w:p>
      <w:pPr>
        <w:widowControl w:val="0"/>
        <w:spacing w:after="279" w:line="1" w:lineRule="exact"/>
      </w:pPr>
    </w:p>
    <w:p>
      <w:pPr>
        <w:widowControl w:val="0"/>
        <w:spacing w:line="1" w:lineRule="exact"/>
      </w:pPr>
    </w:p>
    <w:tbl>
      <w:tblPr>
        <w:tblOverlap w:val="never"/>
        <w:jc w:val="center"/>
        <w:tblLayout w:type="fixed"/>
      </w:tblPr>
      <w:tblGrid>
        <w:gridCol w:w="2357"/>
        <w:gridCol w:w="1805"/>
        <w:gridCol w:w="562"/>
        <w:gridCol w:w="2150"/>
        <w:gridCol w:w="2429"/>
      </w:tblGrid>
      <w:tr>
        <w:trPr>
          <w:trHeight w:val="48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494,104,325.71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774,332,763.30</w:t>
            </w:r>
          </w:p>
        </w:tc>
      </w:tr>
      <w:tr>
        <w:trPr>
          <w:trHeight w:val="47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b/>
                <w:bCs/>
                <w:color w:val="000000"/>
                <w:spacing w:val="0"/>
                <w:w w:val="100"/>
                <w:position w:val="0"/>
                <w:sz w:val="20"/>
                <w:szCs w:val="20"/>
              </w:rPr>
              <w:t>合 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b/>
                <w:bCs/>
                <w:color w:val="000000"/>
                <w:spacing w:val="0"/>
                <w:w w:val="100"/>
                <w:position w:val="0"/>
                <w:sz w:val="20"/>
                <w:szCs w:val="20"/>
              </w:rPr>
              <w:t>494,104,325.71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b/>
                <w:bCs/>
                <w:color w:val="000000"/>
                <w:spacing w:val="0"/>
                <w:w w:val="100"/>
                <w:position w:val="0"/>
                <w:sz w:val="20"/>
                <w:szCs w:val="20"/>
              </w:rPr>
              <w:t>774,332,763.30</w:t>
            </w:r>
          </w:p>
        </w:tc>
      </w:tr>
      <w:tr>
        <w:trPr>
          <w:trHeight w:val="485"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其他应收款情况</w:t>
            </w:r>
          </w:p>
        </w:tc>
      </w:tr>
      <w:tr>
        <w:trPr>
          <w:trHeight w:val="466" w:hRule="exact"/>
        </w:trPr>
        <w:tc>
          <w:tcPr>
            <w:tcBorders>
              <w:top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1"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720,273,707.54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226,169,381.83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494,104,325.71</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 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b/>
                <w:bCs/>
                <w:color w:val="000000"/>
                <w:spacing w:val="0"/>
                <w:w w:val="100"/>
                <w:position w:val="0"/>
                <w:sz w:val="20"/>
                <w:szCs w:val="20"/>
              </w:rPr>
              <w:t>720,273,707.54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b/>
                <w:bCs/>
                <w:color w:val="000000"/>
                <w:spacing w:val="0"/>
                <w:w w:val="100"/>
                <w:position w:val="0"/>
                <w:sz w:val="20"/>
                <w:szCs w:val="20"/>
              </w:rPr>
              <w:t>226,169,381.83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b/>
                <w:bCs/>
                <w:color w:val="000000"/>
                <w:spacing w:val="0"/>
                <w:w w:val="100"/>
                <w:position w:val="0"/>
                <w:sz w:val="20"/>
                <w:szCs w:val="20"/>
              </w:rPr>
              <w:t>494,104,325.71</w:t>
            </w:r>
          </w:p>
        </w:tc>
      </w:tr>
      <w:tr>
        <w:trPr>
          <w:trHeight w:val="490" w:hRule="exact"/>
        </w:trPr>
        <w:tc>
          <w:tcPr>
            <w:gridSpan w:val="5"/>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（续）</w:t>
            </w:r>
          </w:p>
        </w:tc>
      </w:tr>
    </w:tbl>
    <w:p>
      <w:pPr>
        <w:pStyle w:val="Style30"/>
        <w:keepNext w:val="0"/>
        <w:keepLines w:val="0"/>
        <w:widowControl w:val="0"/>
        <w:shd w:val="clear" w:color="auto" w:fill="auto"/>
        <w:bidi w:val="0"/>
        <w:spacing w:before="0" w:after="0" w:line="240" w:lineRule="auto"/>
        <w:ind w:left="5381" w:right="0" w:firstLine="0"/>
        <w:jc w:val="left"/>
      </w:pPr>
      <w:r>
        <w:rPr>
          <w:rFonts w:ascii="Times New Roman" w:eastAsia="Times New Roman" w:hAnsi="Times New Roman" w:cs="Times New Roman"/>
          <w:b/>
          <w:bCs/>
          <w:color w:val="000000"/>
          <w:spacing w:val="0"/>
          <w:w w:val="100"/>
          <w:position w:val="0"/>
        </w:rPr>
        <w:t>2020.12.31</w:t>
      </w:r>
    </w:p>
    <w:p>
      <w:pPr>
        <w:widowControl w:val="0"/>
        <w:spacing w:line="1" w:lineRule="exact"/>
      </w:pPr>
      <w:r>
        <w:br w:type="page"/>
      </w:r>
    </w:p>
    <w:tbl>
      <w:tblPr>
        <w:tblOverlap w:val="never"/>
        <w:jc w:val="center"/>
        <w:tblLayout w:type="fixed"/>
      </w:tblPr>
      <w:tblGrid>
        <w:gridCol w:w="2357"/>
        <w:gridCol w:w="2366"/>
        <w:gridCol w:w="2194"/>
        <w:gridCol w:w="2386"/>
      </w:tblGrid>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1,274,372,624.43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500,039,861.13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774,332,763.30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1,274,372,624.43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b/>
                <w:bCs/>
                <w:color w:val="000000"/>
                <w:spacing w:val="0"/>
                <w:w w:val="100"/>
                <w:position w:val="0"/>
                <w:sz w:val="20"/>
                <w:szCs w:val="20"/>
              </w:rPr>
              <w:t>500,039,861.13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b/>
                <w:bCs/>
                <w:color w:val="000000"/>
                <w:spacing w:val="0"/>
                <w:w w:val="100"/>
                <w:position w:val="0"/>
                <w:sz w:val="20"/>
                <w:szCs w:val="20"/>
              </w:rPr>
              <w:t>774,332,763.30</w:t>
            </w:r>
          </w:p>
        </w:tc>
      </w:tr>
    </w:tbl>
    <w:p>
      <w:pPr>
        <w:widowControl w:val="0"/>
        <w:spacing w:after="79" w:line="1" w:lineRule="exact"/>
      </w:pPr>
    </w:p>
    <w:p>
      <w:pPr>
        <w:pStyle w:val="Style13"/>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①坏账准备</w:t>
      </w:r>
    </w:p>
    <w:p>
      <w:pPr>
        <w:pStyle w:val="Style13"/>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 xml:space="preserve">A.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日，处于第一阶段的其他应收款坏账准备如下:</w:t>
      </w:r>
    </w:p>
    <w:tbl>
      <w:tblPr>
        <w:tblOverlap w:val="never"/>
        <w:jc w:val="left"/>
        <w:tblLayout w:type="fixed"/>
      </w:tblPr>
      <w:tblGrid>
        <w:gridCol w:w="2453"/>
        <w:gridCol w:w="1843"/>
        <w:gridCol w:w="1560"/>
        <w:gridCol w:w="1416"/>
        <w:gridCol w:w="1594"/>
      </w:tblGrid>
      <w:tr>
        <w:trPr>
          <w:trHeight w:val="86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6" w:lineRule="exact"/>
              <w:ind w:left="0" w:right="0" w:firstLine="0"/>
              <w:jc w:val="both"/>
              <w:rPr>
                <w:sz w:val="20"/>
                <w:szCs w:val="20"/>
              </w:rPr>
            </w:pPr>
            <w:r>
              <w:rPr>
                <w:b/>
                <w:bCs/>
                <w:color w:val="000000"/>
                <w:spacing w:val="0"/>
                <w:w w:val="100"/>
                <w:position w:val="0"/>
                <w:sz w:val="20"/>
                <w:szCs w:val="20"/>
              </w:rPr>
              <w:t>未来</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月内 预期信用损失 率</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理由</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489,834,540.75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1,636,325.19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16,363.25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2,676,588.91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26,765.89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494,147,454.85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b/>
                <w:bCs/>
                <w:color w:val="000000"/>
                <w:spacing w:val="0"/>
                <w:w w:val="100"/>
                <w:position w:val="0"/>
                <w:sz w:val="20"/>
                <w:szCs w:val="2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b/>
                <w:bCs/>
                <w:color w:val="000000"/>
                <w:spacing w:val="0"/>
                <w:w w:val="100"/>
                <w:position w:val="0"/>
                <w:sz w:val="20"/>
                <w:szCs w:val="20"/>
              </w:rPr>
              <w:t>43,129.14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7"/>
                <w:szCs w:val="17"/>
              </w:rPr>
            </w:pPr>
            <w:r>
              <w:rPr>
                <w:color w:val="000000"/>
                <w:spacing w:val="0"/>
                <w:w w:val="100"/>
                <w:position w:val="0"/>
                <w:sz w:val="17"/>
                <w:szCs w:val="17"/>
              </w:rPr>
              <w:t>—</w:t>
            </w:r>
          </w:p>
        </w:tc>
      </w:tr>
    </w:tbl>
    <w:p>
      <w:pPr>
        <w:pStyle w:val="Style30"/>
        <w:keepNext w:val="0"/>
        <w:keepLines w:val="0"/>
        <w:widowControl w:val="0"/>
        <w:shd w:val="clear" w:color="auto" w:fill="auto"/>
        <w:tabs>
          <w:tab w:pos="859" w:val="left"/>
        </w:tabs>
        <w:bidi w:val="0"/>
        <w:spacing w:before="0" w:after="0" w:line="240" w:lineRule="auto"/>
        <w:ind w:left="475" w:right="0" w:firstLine="0"/>
        <w:jc w:val="left"/>
        <w:rPr>
          <w:sz w:val="22"/>
          <w:szCs w:val="22"/>
        </w:rPr>
      </w:pPr>
      <w:r>
        <w:rPr>
          <w:rFonts w:ascii="Times New Roman" w:eastAsia="Times New Roman" w:hAnsi="Times New Roman" w:cs="Times New Roman"/>
          <w:color w:val="000000"/>
          <w:spacing w:val="0"/>
          <w:w w:val="100"/>
          <w:position w:val="0"/>
          <w:sz w:val="22"/>
          <w:szCs w:val="22"/>
        </w:rPr>
        <w:t>B</w:t>
      </w:r>
      <w:r>
        <w:rPr>
          <w:color w:val="000000"/>
          <w:spacing w:val="0"/>
          <w:w w:val="100"/>
          <w:position w:val="0"/>
          <w:sz w:val="22"/>
          <w:szCs w:val="22"/>
        </w:rPr>
        <w:t>.</w:t>
        <w:tab/>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日，处于第三阶段的其他应收款坏账准备如下:</w:t>
      </w:r>
    </w:p>
    <w:p>
      <w:pPr>
        <w:widowControl w:val="0"/>
        <w:spacing w:after="79" w:line="1" w:lineRule="exact"/>
      </w:pPr>
    </w:p>
    <w:p>
      <w:pPr>
        <w:widowControl w:val="0"/>
        <w:spacing w:line="1" w:lineRule="exact"/>
      </w:pPr>
    </w:p>
    <w:tbl>
      <w:tblPr>
        <w:tblOverlap w:val="never"/>
        <w:jc w:val="center"/>
        <w:tblLayout w:type="fixed"/>
      </w:tblPr>
      <w:tblGrid>
        <w:gridCol w:w="2438"/>
        <w:gridCol w:w="1843"/>
        <w:gridCol w:w="1704"/>
        <w:gridCol w:w="1699"/>
        <w:gridCol w:w="1594"/>
      </w:tblGrid>
      <w:tr>
        <w:trPr>
          <w:trHeight w:val="58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20"/>
                <w:szCs w:val="20"/>
              </w:rPr>
            </w:pPr>
            <w:r>
              <w:rPr>
                <w:b/>
                <w:bCs/>
                <w:color w:val="000000"/>
                <w:spacing w:val="0"/>
                <w:w w:val="100"/>
                <w:position w:val="0"/>
                <w:sz w:val="20"/>
                <w:szCs w:val="20"/>
              </w:rPr>
              <w:t>整个存续期预期 信用损失率</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b/>
                <w:bCs/>
                <w:color w:val="000000"/>
                <w:spacing w:val="0"/>
                <w:w w:val="100"/>
                <w:position w:val="0"/>
                <w:sz w:val="20"/>
                <w:szCs w:val="20"/>
              </w:rPr>
              <w:t>理由</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深圳前海国民投资管理</w:t>
            </w:r>
          </w:p>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226,126,252.69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226,126,252.69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预计无法收回</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226,126,252.69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226,126,252.69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r>
    </w:tbl>
    <w:p>
      <w:pPr>
        <w:pStyle w:val="Style30"/>
        <w:keepNext w:val="0"/>
        <w:keepLines w:val="0"/>
        <w:widowControl w:val="0"/>
        <w:shd w:val="clear" w:color="auto" w:fill="auto"/>
        <w:bidi w:val="0"/>
        <w:spacing w:before="0" w:after="0" w:line="240" w:lineRule="auto"/>
        <w:ind w:left="470" w:right="0" w:firstLine="0"/>
        <w:jc w:val="left"/>
        <w:rPr>
          <w:sz w:val="22"/>
          <w:szCs w:val="22"/>
        </w:rPr>
      </w:pPr>
      <w:r>
        <w:rPr>
          <w:color w:val="000000"/>
          <w:spacing w:val="0"/>
          <w:w w:val="100"/>
          <w:position w:val="0"/>
          <w:sz w:val="22"/>
          <w:szCs w:val="22"/>
        </w:rPr>
        <w:t>②坏账准备的变动</w:t>
      </w:r>
    </w:p>
    <w:p>
      <w:pPr>
        <w:widowControl w:val="0"/>
        <w:spacing w:after="79" w:line="1" w:lineRule="exact"/>
      </w:pPr>
    </w:p>
    <w:p>
      <w:pPr>
        <w:widowControl w:val="0"/>
        <w:spacing w:line="1" w:lineRule="exact"/>
      </w:pPr>
    </w:p>
    <w:tbl>
      <w:tblPr>
        <w:tblOverlap w:val="never"/>
        <w:jc w:val="center"/>
        <w:tblLayout w:type="fixed"/>
      </w:tblPr>
      <w:tblGrid>
        <w:gridCol w:w="2098"/>
        <w:gridCol w:w="1546"/>
        <w:gridCol w:w="1891"/>
        <w:gridCol w:w="2016"/>
        <w:gridCol w:w="1800"/>
      </w:tblGrid>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第三阶段</w:t>
            </w: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2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未来</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个 月内预期信 用损失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320" w:right="0" w:firstLine="20"/>
              <w:jc w:val="left"/>
              <w:rPr>
                <w:sz w:val="20"/>
                <w:szCs w:val="20"/>
              </w:rPr>
            </w:pPr>
            <w:r>
              <w:rPr>
                <w:b/>
                <w:bCs/>
                <w:color w:val="000000"/>
                <w:spacing w:val="0"/>
                <w:w w:val="100"/>
                <w:position w:val="0"/>
                <w:sz w:val="20"/>
                <w:szCs w:val="20"/>
              </w:rPr>
              <w:t>整个存续期预 期信用损失</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未 发生信用减值</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6" w:lineRule="exact"/>
              <w:ind w:left="0" w:right="0" w:firstLine="0"/>
              <w:jc w:val="center"/>
              <w:rPr>
                <w:sz w:val="20"/>
                <w:szCs w:val="20"/>
              </w:rPr>
            </w:pPr>
            <w:r>
              <w:rPr>
                <w:b/>
                <w:bCs/>
                <w:color w:val="000000"/>
                <w:spacing w:val="0"/>
                <w:w w:val="100"/>
                <w:position w:val="0"/>
                <w:sz w:val="20"/>
                <w:szCs w:val="20"/>
              </w:rPr>
              <w:t>整个存续期预期 信用损失</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已发生 信用减值</w:t>
            </w:r>
            <w:r>
              <w:rPr>
                <w:b/>
                <w:bCs/>
                <w:color w:val="000000"/>
                <w:spacing w:val="0"/>
                <w:w w:val="100"/>
                <w:position w:val="0"/>
                <w:sz w:val="20"/>
                <w:szCs w:val="2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40"/>
              <w:jc w:val="left"/>
              <w:rPr>
                <w:sz w:val="20"/>
                <w:szCs w:val="20"/>
              </w:rPr>
            </w:pPr>
            <w:r>
              <w:rPr>
                <w:b/>
                <w:bCs/>
                <w:color w:val="000000"/>
                <w:spacing w:val="0"/>
                <w:w w:val="100"/>
                <w:position w:val="0"/>
                <w:sz w:val="20"/>
                <w:szCs w:val="20"/>
              </w:rPr>
              <w:t>合计</w:t>
            </w:r>
          </w:p>
        </w:tc>
      </w:tr>
      <w:tr>
        <w:trPr>
          <w:trHeight w:val="5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日</w:t>
            </w:r>
          </w:p>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39,861.13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500,039,861.13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期初余额在本期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2"/>
                <w:szCs w:val="22"/>
              </w:rPr>
              <w:t>一</w:t>
            </w:r>
            <w:r>
              <w:rPr>
                <w:color w:val="000000"/>
                <w:spacing w:val="0"/>
                <w:w w:val="100"/>
                <w:position w:val="0"/>
                <w:sz w:val="20"/>
                <w:szCs w:val="20"/>
              </w:rPr>
              <w:t>转入第一阶段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2"/>
                <w:szCs w:val="22"/>
              </w:rPr>
              <w:t>一</w:t>
            </w: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2"/>
                <w:szCs w:val="22"/>
              </w:rPr>
              <w:t>一</w:t>
            </w: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3,268.01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273,873,747.31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273,873,747.31</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本期转销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98"/>
        <w:gridCol w:w="1546"/>
        <w:gridCol w:w="1891"/>
        <w:gridCol w:w="2016"/>
        <w:gridCol w:w="1800"/>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32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43,129.14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226,126,252.69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226,169,381.83</w:t>
            </w:r>
          </w:p>
        </w:tc>
      </w:tr>
    </w:tbl>
    <w:p>
      <w:pPr>
        <w:pStyle w:val="Style30"/>
        <w:keepNext w:val="0"/>
        <w:keepLines w:val="0"/>
        <w:widowControl w:val="0"/>
        <w:shd w:val="clear" w:color="auto" w:fill="auto"/>
        <w:bidi w:val="0"/>
        <w:spacing w:before="0" w:after="0" w:line="240" w:lineRule="auto"/>
        <w:ind w:left="595" w:right="0" w:firstLine="0"/>
        <w:jc w:val="left"/>
        <w:rPr>
          <w:sz w:val="22"/>
          <w:szCs w:val="22"/>
        </w:rPr>
      </w:pPr>
      <w:r>
        <w:rPr>
          <w:color w:val="000000"/>
          <w:spacing w:val="0"/>
          <w:w w:val="100"/>
          <w:position w:val="0"/>
          <w:sz w:val="22"/>
          <w:szCs w:val="22"/>
        </w:rPr>
        <w:t>③报告期坏账准备转回或转销金额重要的</w:t>
      </w:r>
    </w:p>
    <w:p>
      <w:pPr>
        <w:widowControl w:val="0"/>
        <w:spacing w:after="79" w:line="1" w:lineRule="exact"/>
      </w:pPr>
    </w:p>
    <w:p>
      <w:pPr>
        <w:widowControl w:val="0"/>
        <w:spacing w:line="1" w:lineRule="exact"/>
      </w:pPr>
    </w:p>
    <w:tbl>
      <w:tblPr>
        <w:tblOverlap w:val="never"/>
        <w:jc w:val="center"/>
        <w:tblLayout w:type="fixed"/>
      </w:tblPr>
      <w:tblGrid>
        <w:gridCol w:w="3672"/>
        <w:gridCol w:w="2894"/>
        <w:gridCol w:w="2794"/>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转回或转销金额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方式</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深圳前海国民投资管理有限公司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273,873,747.31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货币资金、三方抵债</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b/>
                <w:bCs/>
                <w:color w:val="000000"/>
                <w:spacing w:val="0"/>
                <w:w w:val="100"/>
                <w:position w:val="0"/>
                <w:sz w:val="20"/>
                <w:szCs w:val="20"/>
              </w:rPr>
              <w:t>273,873,747.31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④其他应收款按款项性质分类情况</w:t>
      </w:r>
    </w:p>
    <w:p>
      <w:pPr>
        <w:widowControl w:val="0"/>
        <w:spacing w:after="79" w:line="1" w:lineRule="exact"/>
      </w:pPr>
    </w:p>
    <w:p>
      <w:pPr>
        <w:widowControl w:val="0"/>
        <w:spacing w:line="1" w:lineRule="exact"/>
      </w:pPr>
    </w:p>
    <w:tbl>
      <w:tblPr>
        <w:tblOverlap w:val="never"/>
        <w:jc w:val="center"/>
        <w:tblLayout w:type="fixed"/>
      </w:tblPr>
      <w:tblGrid>
        <w:gridCol w:w="4474"/>
        <w:gridCol w:w="2534"/>
        <w:gridCol w:w="2174"/>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20"/>
                <w:szCs w:val="20"/>
              </w:rPr>
            </w:pPr>
            <w:r>
              <w:rPr>
                <w:b/>
                <w:bCs/>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b/>
                <w:bCs/>
                <w:color w:val="000000"/>
                <w:spacing w:val="0"/>
                <w:w w:val="100"/>
                <w:position w:val="0"/>
                <w:sz w:val="20"/>
                <w:szCs w:val="20"/>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715,960,793.44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1,270,799,201.42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2,676,588.91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1,372,899.47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代垫款项及其他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1,636,325.19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1,693,325.75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应收补助款及出口退税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507,197.79</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b/>
                <w:bCs/>
                <w:color w:val="000000"/>
                <w:spacing w:val="0"/>
                <w:w w:val="100"/>
                <w:position w:val="0"/>
                <w:sz w:val="20"/>
                <w:szCs w:val="20"/>
              </w:rPr>
              <w:t>720,273,707.54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1,274,372,624.43</w:t>
            </w:r>
          </w:p>
        </w:tc>
      </w:tr>
    </w:tbl>
    <w:p>
      <w:pPr>
        <w:pStyle w:val="Style30"/>
        <w:keepNext w:val="0"/>
        <w:keepLines w:val="0"/>
        <w:widowControl w:val="0"/>
        <w:shd w:val="clear" w:color="auto" w:fill="auto"/>
        <w:bidi w:val="0"/>
        <w:spacing w:before="0" w:after="0" w:line="240" w:lineRule="auto"/>
        <w:ind w:left="518" w:right="0" w:firstLine="0"/>
        <w:jc w:val="left"/>
        <w:rPr>
          <w:sz w:val="22"/>
          <w:szCs w:val="22"/>
        </w:rPr>
      </w:pPr>
      <w:r>
        <w:rPr>
          <w:color w:val="000000"/>
          <w:spacing w:val="0"/>
          <w:w w:val="100"/>
          <w:position w:val="0"/>
          <w:sz w:val="22"/>
          <w:szCs w:val="22"/>
        </w:rPr>
        <w:t>⑤其他应收款期末余额前五名单位情况:</w:t>
      </w:r>
    </w:p>
    <w:p>
      <w:pPr>
        <w:widowControl w:val="0"/>
        <w:spacing w:after="79" w:line="1" w:lineRule="exact"/>
      </w:pPr>
    </w:p>
    <w:p>
      <w:pPr>
        <w:widowControl w:val="0"/>
        <w:spacing w:line="1" w:lineRule="exact"/>
      </w:pPr>
    </w:p>
    <w:tbl>
      <w:tblPr>
        <w:tblOverlap w:val="never"/>
        <w:jc w:val="center"/>
        <w:tblLayout w:type="fixed"/>
      </w:tblPr>
      <w:tblGrid>
        <w:gridCol w:w="1637"/>
        <w:gridCol w:w="850"/>
        <w:gridCol w:w="1205"/>
        <w:gridCol w:w="1632"/>
        <w:gridCol w:w="1296"/>
        <w:gridCol w:w="1229"/>
        <w:gridCol w:w="1877"/>
      </w:tblGrid>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是否为</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占其他应收 款期末余额 合计数的比 例（</w:t>
            </w:r>
            <w:r>
              <w:rPr>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坏账准备期末余额</w:t>
            </w:r>
          </w:p>
        </w:tc>
      </w:tr>
      <w:tr>
        <w:trPr>
          <w:trHeight w:val="86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226,126,252.69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20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 内</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226,126,252.69</w:t>
            </w:r>
          </w:p>
        </w:tc>
      </w:tr>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209,704,165.73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29.11</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151,870,503.70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21.09</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126,770,948.82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17.60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第五名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678,095.64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6,969.96</w:t>
            </w:r>
          </w:p>
        </w:tc>
      </w:tr>
      <w:tr>
        <w:trPr>
          <w:trHeight w:val="57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代垫款项及 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715,168,866.58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b/>
                <w:bCs/>
                <w:color w:val="000000"/>
                <w:spacing w:val="0"/>
                <w:w w:val="100"/>
                <w:position w:val="0"/>
                <w:sz w:val="20"/>
                <w:szCs w:val="20"/>
              </w:rPr>
              <w:t>99.29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226,133,222.65</w:t>
            </w:r>
          </w:p>
        </w:tc>
      </w:tr>
    </w:tbl>
    <w:p>
      <w:pPr>
        <w:pStyle w:val="Style30"/>
        <w:keepNext w:val="0"/>
        <w:keepLines w:val="0"/>
        <w:widowControl w:val="0"/>
        <w:shd w:val="clear" w:color="auto" w:fill="auto"/>
        <w:bidi w:val="0"/>
        <w:spacing w:before="0" w:after="0" w:line="240" w:lineRule="auto"/>
        <w:ind w:left="53" w:right="0" w:firstLine="0"/>
        <w:jc w:val="left"/>
        <w:rPr>
          <w:sz w:val="22"/>
          <w:szCs w:val="22"/>
        </w:rPr>
      </w:pPr>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sz w:val="22"/>
          <w:szCs w:val="22"/>
        </w:rPr>
        <w:t>、长期股权投资</w:t>
      </w:r>
    </w:p>
    <w:p>
      <w:pPr>
        <w:widowControl w:val="0"/>
        <w:spacing w:after="399" w:line="1" w:lineRule="exact"/>
      </w:pPr>
    </w:p>
    <w:p>
      <w:pPr>
        <w:pStyle w:val="Style1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）长期股权投资分类</w:t>
      </w:r>
      <w:r>
        <w:br w:type="page"/>
      </w:r>
    </w:p>
    <w:tbl>
      <w:tblPr>
        <w:tblOverlap w:val="never"/>
        <w:jc w:val="center"/>
        <w:tblLayout w:type="fixed"/>
      </w:tblPr>
      <w:tblGrid>
        <w:gridCol w:w="3466"/>
        <w:gridCol w:w="154"/>
        <w:gridCol w:w="1862"/>
        <w:gridCol w:w="1829"/>
        <w:gridCol w:w="1862"/>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b/>
                <w:bCs/>
                <w:color w:val="000000"/>
                <w:spacing w:val="0"/>
                <w:w w:val="100"/>
                <w:position w:val="0"/>
                <w:sz w:val="20"/>
                <w:szCs w:val="20"/>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46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对子公司投资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1,036,874,823.60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813,508,782.69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223,366,040.91</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b/>
                <w:bCs/>
                <w:color w:val="000000"/>
                <w:spacing w:val="0"/>
                <w:w w:val="100"/>
                <w:position w:val="0"/>
                <w:sz w:val="20"/>
                <w:szCs w:val="20"/>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1,036,874,823.60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813,508,782.69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223,366,040.91</w:t>
            </w:r>
          </w:p>
        </w:tc>
      </w:tr>
      <w:tr>
        <w:trPr>
          <w:trHeight w:val="485"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（续）</w:t>
            </w:r>
          </w:p>
        </w:tc>
      </w:tr>
      <w:tr>
        <w:trPr>
          <w:trHeight w:val="470" w:hRule="exact"/>
        </w:trPr>
        <w:tc>
          <w:tcPr>
            <w:gridSpan w:val="2"/>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466" w:hRule="exact"/>
        </w:trPr>
        <w:tc>
          <w:tcPr>
            <w:gridSpan w:val="2"/>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账面价值</w:t>
            </w:r>
          </w:p>
        </w:tc>
      </w:tr>
      <w:tr>
        <w:trPr>
          <w:trHeight w:val="46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881,719,360.69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813,508,782.69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68,210,578.00</w:t>
            </w:r>
          </w:p>
        </w:tc>
      </w:tr>
      <w:tr>
        <w:trPr>
          <w:trHeight w:val="485" w:hRule="exact"/>
        </w:trPr>
        <w:tc>
          <w:tcPr>
            <w:gridSpan w:val="2"/>
            <w:tcBorders>
              <w:top w:val="single" w:sz="4"/>
              <w:bottom w:val="single" w:sz="4"/>
            </w:tcBorders>
            <w:shd w:val="clear" w:color="auto" w:fill="FFFFFF"/>
            <w:vAlign w:val="center"/>
          </w:tcPr>
          <w:p>
            <w:pPr>
              <w:pStyle w:val="Style2"/>
              <w:keepNext w:val="0"/>
              <w:keepLines w:val="0"/>
              <w:widowControl w:val="0"/>
              <w:shd w:val="clear" w:color="auto" w:fill="auto"/>
              <w:tabs>
                <w:tab w:pos="2062" w:val="left"/>
              </w:tabs>
              <w:bidi w:val="0"/>
              <w:spacing w:before="0" w:after="0" w:line="240" w:lineRule="auto"/>
              <w:ind w:left="1520" w:right="0" w:firstLine="0"/>
              <w:jc w:val="left"/>
              <w:rPr>
                <w:sz w:val="20"/>
                <w:szCs w:val="20"/>
              </w:rPr>
            </w:pPr>
            <w:r>
              <w:rPr>
                <w:b/>
                <w:bCs/>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rPr>
              <w:t>881,719,360.69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813,508,782.69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68,210,578.00</w:t>
            </w:r>
          </w:p>
        </w:tc>
      </w:tr>
    </w:tbl>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）对子公司投资</w:t>
      </w:r>
    </w:p>
    <w:tbl>
      <w:tblPr>
        <w:tblOverlap w:val="never"/>
        <w:jc w:val="center"/>
        <w:tblLayout w:type="fixed"/>
      </w:tblPr>
      <w:tblGrid>
        <w:gridCol w:w="2678"/>
        <w:gridCol w:w="1872"/>
        <w:gridCol w:w="1982"/>
        <w:gridCol w:w="854"/>
        <w:gridCol w:w="2155"/>
      </w:tblGrid>
      <w:tr>
        <w:trPr>
          <w:trHeight w:val="64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b/>
                <w:bCs/>
                <w:color w:val="000000"/>
                <w:spacing w:val="0"/>
                <w:w w:val="100"/>
                <w:position w:val="0"/>
                <w:sz w:val="20"/>
                <w:szCs w:val="20"/>
              </w:rPr>
              <w:t>本期</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期末余额</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8" w:lineRule="exact"/>
              <w:ind w:left="500" w:right="0" w:firstLine="0"/>
              <w:jc w:val="left"/>
              <w:rPr>
                <w:sz w:val="20"/>
                <w:szCs w:val="20"/>
              </w:rPr>
            </w:pPr>
            <w:r>
              <w:rPr>
                <w:color w:val="000000"/>
                <w:spacing w:val="0"/>
                <w:w w:val="100"/>
                <w:position w:val="0"/>
                <w:sz w:val="20"/>
                <w:szCs w:val="20"/>
              </w:rPr>
              <w:t>国民技术（香港）有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44,259,720.00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3,822,960.00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48,082,680.00</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4" w:lineRule="exact"/>
              <w:ind w:left="500" w:right="0" w:firstLine="0"/>
              <w:jc w:val="left"/>
              <w:rPr>
                <w:sz w:val="20"/>
                <w:szCs w:val="20"/>
              </w:rPr>
            </w:pPr>
            <w:r>
              <w:rPr>
                <w:color w:val="000000"/>
                <w:spacing w:val="0"/>
                <w:w w:val="100"/>
                <w:position w:val="0"/>
                <w:sz w:val="20"/>
                <w:szCs w:val="20"/>
              </w:rPr>
              <w:t>国民科技（深圳）有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2,845,800.00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367,845,800.00</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500" w:right="0" w:firstLine="0"/>
              <w:jc w:val="left"/>
              <w:rPr>
                <w:sz w:val="20"/>
                <w:szCs w:val="20"/>
              </w:rPr>
            </w:pPr>
            <w:r>
              <w:rPr>
                <w:color w:val="000000"/>
                <w:spacing w:val="0"/>
                <w:w w:val="100"/>
                <w:position w:val="0"/>
                <w:sz w:val="20"/>
                <w:szCs w:val="20"/>
              </w:rPr>
              <w:t>深圳前海国民投资管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276,826,400.00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276,826,400.00</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9" w:lineRule="exact"/>
              <w:ind w:left="500" w:right="0" w:firstLine="0"/>
              <w:jc w:val="left"/>
              <w:rPr>
                <w:sz w:val="20"/>
                <w:szCs w:val="20"/>
              </w:rPr>
            </w:pPr>
            <w:r>
              <w:rPr>
                <w:color w:val="000000"/>
                <w:spacing w:val="0"/>
                <w:w w:val="100"/>
                <w:position w:val="0"/>
                <w:sz w:val="20"/>
                <w:szCs w:val="20"/>
              </w:rPr>
              <w:t>福建省星民智联科技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13,842,564.82</w:t>
            </w:r>
          </w:p>
        </w:tc>
      </w:tr>
      <w:tr>
        <w:trPr>
          <w:trHeight w:val="5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Nations Innovation</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Technologies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23,472,090.00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2,402,190.00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25,874,280.00</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500" w:right="0" w:firstLine="0"/>
              <w:jc w:val="left"/>
              <w:rPr>
                <w:sz w:val="20"/>
                <w:szCs w:val="20"/>
              </w:rPr>
            </w:pPr>
            <w:r>
              <w:rPr>
                <w:color w:val="000000"/>
                <w:spacing w:val="0"/>
                <w:w w:val="100"/>
                <w:position w:val="0"/>
                <w:sz w:val="20"/>
                <w:szCs w:val="20"/>
              </w:rPr>
              <w:t>深圳市斯诺实业发展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158,361,150.69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5,077,800.00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163,438,950.69</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9" w:lineRule="exact"/>
              <w:ind w:left="500" w:right="0" w:firstLine="0"/>
              <w:jc w:val="left"/>
              <w:rPr>
                <w:sz w:val="20"/>
                <w:szCs w:val="20"/>
              </w:rPr>
            </w:pPr>
            <w:r>
              <w:rPr>
                <w:color w:val="000000"/>
                <w:spacing w:val="0"/>
                <w:w w:val="100"/>
                <w:position w:val="0"/>
                <w:sz w:val="20"/>
                <w:szCs w:val="20"/>
              </w:rPr>
              <w:t>内蒙古斯诺新材料科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135,964,148.09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135,964,148.09</w:t>
            </w:r>
          </w:p>
        </w:tc>
      </w:tr>
      <w:tr>
        <w:trPr>
          <w:trHeight w:val="5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9" w:lineRule="exact"/>
              <w:ind w:left="500" w:right="0" w:firstLine="0"/>
              <w:jc w:val="left"/>
              <w:rPr>
                <w:sz w:val="20"/>
                <w:szCs w:val="20"/>
              </w:rPr>
            </w:pPr>
            <w:r>
              <w:rPr>
                <w:color w:val="000000"/>
                <w:spacing w:val="0"/>
                <w:w w:val="100"/>
                <w:position w:val="0"/>
                <w:sz w:val="20"/>
                <w:szCs w:val="20"/>
              </w:rPr>
              <w:t>广东国民新能源科技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rPr>
              <w:t>881,719,360.69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rPr>
              <w:t>155,155,462.91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1,036,874,823.60</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500"/>
              <w:jc w:val="both"/>
              <w:rPr>
                <w:sz w:val="20"/>
                <w:szCs w:val="20"/>
              </w:rPr>
            </w:pPr>
            <w:r>
              <w:rPr>
                <w:color w:val="000000"/>
                <w:spacing w:val="0"/>
                <w:w w:val="100"/>
                <w:position w:val="0"/>
                <w:sz w:val="20"/>
                <w:szCs w:val="20"/>
              </w:rPr>
              <w:t>减：长期股权投资减</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813,508,782.69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813,508,782.69</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68,210,578.00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rPr>
              <w:t>155,155,462.91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b/>
                <w:bCs/>
                <w:color w:val="000000"/>
                <w:spacing w:val="0"/>
                <w:w w:val="100"/>
                <w:position w:val="0"/>
                <w:sz w:val="20"/>
                <w:szCs w:val="20"/>
              </w:rPr>
              <w:t>223,366,040.91</w:t>
            </w:r>
          </w:p>
        </w:tc>
      </w:tr>
    </w:tbl>
    <w:p>
      <w:pPr>
        <w:pStyle w:val="Style13"/>
        <w:keepNext w:val="0"/>
        <w:keepLines w:val="0"/>
        <w:widowControl w:val="0"/>
        <w:shd w:val="clear" w:color="auto" w:fill="auto"/>
        <w:bidi w:val="0"/>
        <w:spacing w:before="0" w:after="0" w:line="461" w:lineRule="exact"/>
        <w:ind w:left="140" w:right="0" w:firstLine="460"/>
        <w:jc w:val="left"/>
      </w:pPr>
      <w:r>
        <w:rPr>
          <w:color w:val="000000"/>
          <w:spacing w:val="0"/>
          <w:w w:val="100"/>
          <w:position w:val="0"/>
        </w:rPr>
        <w:t>注：本公司于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日成立全资子公司广东国民新能源科技有限公司，注册资本为人 民币</w:t>
      </w:r>
      <w:r>
        <w:rPr>
          <w:rFonts w:ascii="Times New Roman" w:eastAsia="Times New Roman" w:hAnsi="Times New Roman" w:cs="Times New Roman"/>
          <w:color w:val="000000"/>
          <w:spacing w:val="0"/>
          <w:w w:val="100"/>
          <w:position w:val="0"/>
        </w:rPr>
        <w:t>500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日，投资款尚未支付。</w:t>
      </w:r>
    </w:p>
    <w:p>
      <w:pPr>
        <w:pStyle w:val="Style13"/>
        <w:keepNext w:val="0"/>
        <w:keepLines w:val="0"/>
        <w:widowControl w:val="0"/>
        <w:shd w:val="clear" w:color="auto" w:fill="auto"/>
        <w:bidi w:val="0"/>
        <w:spacing w:before="0" w:after="100" w:line="461" w:lineRule="exact"/>
        <w:ind w:left="0" w:right="0" w:firstLine="600"/>
        <w:jc w:val="left"/>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rPr>
        <w:t>3</w:t>
      </w:r>
      <w:r>
        <w:rPr>
          <w:color w:val="000000"/>
          <w:spacing w:val="0"/>
          <w:w w:val="100"/>
          <w:position w:val="0"/>
        </w:rPr>
        <w:t>）长期股权投资减值准备</w:t>
      </w:r>
    </w:p>
    <w:tbl>
      <w:tblPr>
        <w:tblOverlap w:val="never"/>
        <w:jc w:val="center"/>
        <w:tblLayout w:type="fixed"/>
      </w:tblPr>
      <w:tblGrid>
        <w:gridCol w:w="2947"/>
        <w:gridCol w:w="1555"/>
        <w:gridCol w:w="1550"/>
        <w:gridCol w:w="1555"/>
        <w:gridCol w:w="1584"/>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2021.12.31</w:t>
            </w:r>
          </w:p>
        </w:tc>
      </w:tr>
      <w:tr>
        <w:trPr>
          <w:trHeight w:val="60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420"/>
              <w:jc w:val="left"/>
              <w:rPr>
                <w:sz w:val="20"/>
                <w:szCs w:val="20"/>
              </w:rPr>
            </w:pPr>
            <w:r>
              <w:rPr>
                <w:color w:val="000000"/>
                <w:spacing w:val="0"/>
                <w:w w:val="100"/>
                <w:position w:val="0"/>
                <w:sz w:val="20"/>
                <w:szCs w:val="20"/>
              </w:rPr>
              <w:t>国民科技（深圳）有限公</w:t>
            </w:r>
          </w:p>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365,000,000.00</w:t>
            </w:r>
          </w:p>
        </w:tc>
      </w:tr>
    </w:tbl>
    <w:p>
      <w:pPr>
        <w:sectPr>
          <w:footnotePr>
            <w:pos w:val="pageBottom"/>
            <w:numFmt w:val="decimal"/>
            <w:numRestart w:val="continuous"/>
          </w:footnotePr>
          <w:pgSz w:w="11900" w:h="16840"/>
          <w:pgMar w:top="1096" w:right="854" w:bottom="1412" w:left="760" w:header="0" w:footer="3" w:gutter="0"/>
          <w:cols w:space="720"/>
          <w:noEndnote/>
          <w:rtlGutter w:val="0"/>
          <w:docGrid w:linePitch="360"/>
        </w:sectPr>
      </w:pPr>
    </w:p>
    <w:tbl>
      <w:tblPr>
        <w:tblOverlap w:val="never"/>
        <w:jc w:val="center"/>
        <w:tblLayout w:type="fixed"/>
      </w:tblPr>
      <w:tblGrid>
        <w:gridCol w:w="2947"/>
        <w:gridCol w:w="1555"/>
        <w:gridCol w:w="1550"/>
        <w:gridCol w:w="1555"/>
        <w:gridCol w:w="2170"/>
      </w:tblGrid>
      <w:tr>
        <w:trPr>
          <w:trHeight w:val="1133" w:hRule="exact"/>
        </w:trPr>
        <w:tc>
          <w:tcPr>
            <w:gridSpan w:val="5"/>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0"/>
                <w:szCs w:val="240"/>
              </w:rPr>
            </w:pPr>
            <w:r>
              <w:rPr>
                <w:rFonts w:ascii="MS Reference Sans Serif" w:eastAsia="MS Reference Sans Serif" w:hAnsi="MS Reference Sans Serif" w:cs="MS Reference Sans Serif"/>
                <w:b/>
                <w:bCs/>
                <w:color w:val="01418A"/>
                <w:spacing w:val="0"/>
                <w:w w:val="100"/>
                <w:position w:val="0"/>
                <w:sz w:val="40"/>
                <w:szCs w:val="40"/>
              </w:rPr>
              <w:t>Nation</w:t>
            </w:r>
            <w:r>
              <w:rPr>
                <w:color w:val="01418A"/>
                <w:spacing w:val="0"/>
                <w:w w:val="100"/>
                <w:position w:val="0"/>
                <w:sz w:val="240"/>
                <w:szCs w:val="240"/>
              </w:rPr>
              <w:t>。</w:t>
            </w:r>
          </w:p>
          <w:p>
            <w:pPr>
              <w:pStyle w:val="Style2"/>
              <w:keepNext w:val="0"/>
              <w:keepLines w:val="0"/>
              <w:widowControl w:val="0"/>
              <w:shd w:val="clear" w:color="auto" w:fill="auto"/>
              <w:tabs>
                <w:tab w:pos="6120" w:val="left"/>
              </w:tabs>
              <w:bidi w:val="0"/>
              <w:spacing w:before="0" w:after="0" w:line="240" w:lineRule="auto"/>
              <w:ind w:left="0" w:right="0" w:firstLine="720"/>
              <w:jc w:val="left"/>
              <w:rPr>
                <w:sz w:val="17"/>
                <w:szCs w:val="17"/>
              </w:rPr>
            </w:pPr>
            <w:r>
              <w:rPr>
                <w:rFonts w:ascii="SimHei" w:eastAsia="SimHei" w:hAnsi="SimHei" w:cs="SimHei"/>
                <w:color w:val="000000"/>
                <w:spacing w:val="0"/>
                <w:w w:val="100"/>
                <w:position w:val="0"/>
                <w:sz w:val="19"/>
                <w:szCs w:val="19"/>
              </w:rPr>
              <w:t>国民技术</w:t>
              <w:tab/>
            </w:r>
            <w:r>
              <w:rPr>
                <w:color w:val="000000"/>
                <w:spacing w:val="0"/>
                <w:w w:val="100"/>
                <w:position w:val="0"/>
                <w:sz w:val="17"/>
                <w:szCs w:val="17"/>
              </w:rPr>
              <w:t>国民技术股份有限公司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年年度报告全文</w:t>
            </w:r>
          </w:p>
        </w:tc>
      </w:tr>
      <w:tr>
        <w:trPr>
          <w:trHeight w:val="5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420" w:right="0" w:firstLine="0"/>
              <w:jc w:val="left"/>
              <w:rPr>
                <w:sz w:val="20"/>
                <w:szCs w:val="20"/>
              </w:rPr>
            </w:pPr>
            <w:r>
              <w:rPr>
                <w:color w:val="000000"/>
                <w:spacing w:val="0"/>
                <w:w w:val="100"/>
                <w:position w:val="0"/>
                <w:sz w:val="20"/>
                <w:szCs w:val="20"/>
              </w:rPr>
              <w:t>深圳前海国民投资管理有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276,826,400.00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276,826,400.00</w:t>
            </w:r>
          </w:p>
        </w:tc>
      </w:tr>
      <w:tr>
        <w:trPr>
          <w:trHeight w:val="58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420" w:right="0" w:firstLine="0"/>
              <w:jc w:val="left"/>
              <w:rPr>
                <w:sz w:val="20"/>
                <w:szCs w:val="20"/>
              </w:rPr>
            </w:pPr>
            <w:r>
              <w:rPr>
                <w:color w:val="000000"/>
                <w:spacing w:val="0"/>
                <w:w w:val="100"/>
                <w:position w:val="0"/>
                <w:sz w:val="20"/>
                <w:szCs w:val="20"/>
              </w:rPr>
              <w:t>深圳市斯诺实业发展有限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158,361,150.69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158,361,150.69</w:t>
            </w:r>
          </w:p>
        </w:tc>
      </w:tr>
      <w:tr>
        <w:trPr>
          <w:trHeight w:val="58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420" w:right="0" w:firstLine="0"/>
              <w:jc w:val="left"/>
              <w:rPr>
                <w:sz w:val="20"/>
                <w:szCs w:val="20"/>
              </w:rPr>
            </w:pPr>
            <w:r>
              <w:rPr>
                <w:color w:val="000000"/>
                <w:spacing w:val="0"/>
                <w:w w:val="100"/>
                <w:position w:val="0"/>
                <w:sz w:val="20"/>
                <w:szCs w:val="20"/>
              </w:rPr>
              <w:t>福建省星民智联科技有限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13,321,232.00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13,321,232.00</w:t>
            </w:r>
          </w:p>
        </w:tc>
      </w:tr>
      <w:tr>
        <w:trPr>
          <w:trHeight w:val="4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813,508,782.69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813,508,782.69</w:t>
            </w:r>
          </w:p>
        </w:tc>
      </w:tr>
    </w:tbl>
    <w:p>
      <w:pPr>
        <w:pStyle w:val="Style30"/>
        <w:keepNext w:val="0"/>
        <w:keepLines w:val="0"/>
        <w:widowControl w:val="0"/>
        <w:shd w:val="clear" w:color="auto" w:fill="auto"/>
        <w:bidi w:val="0"/>
        <w:spacing w:before="0" w:after="0" w:line="240" w:lineRule="auto"/>
        <w:ind w:left="53" w:right="0" w:firstLine="0"/>
        <w:jc w:val="left"/>
        <w:rPr>
          <w:sz w:val="22"/>
          <w:szCs w:val="22"/>
        </w:rPr>
      </w:pPr>
      <w:r>
        <w:rPr>
          <w:rFonts w:ascii="Times New Roman" w:eastAsia="Times New Roman" w:hAnsi="Times New Roman" w:cs="Times New Roman"/>
          <w:b/>
          <w:bCs/>
          <w:color w:val="000000"/>
          <w:spacing w:val="0"/>
          <w:w w:val="100"/>
          <w:position w:val="0"/>
          <w:sz w:val="22"/>
          <w:szCs w:val="22"/>
        </w:rPr>
        <w:t>4</w:t>
      </w:r>
      <w:r>
        <w:rPr>
          <w:b/>
          <w:bCs/>
          <w:color w:val="000000"/>
          <w:spacing w:val="0"/>
          <w:w w:val="100"/>
          <w:position w:val="0"/>
          <w:sz w:val="22"/>
          <w:szCs w:val="22"/>
        </w:rPr>
        <w:t>、营业收入和营业成本</w:t>
      </w:r>
    </w:p>
    <w:p>
      <w:pPr>
        <w:widowControl w:val="0"/>
        <w:spacing w:after="379" w:line="1" w:lineRule="exact"/>
      </w:pPr>
    </w:p>
    <w:tbl>
      <w:tblPr>
        <w:tblOverlap w:val="never"/>
        <w:jc w:val="center"/>
        <w:tblLayout w:type="fixed"/>
      </w:tblPr>
      <w:tblGrid>
        <w:gridCol w:w="1920"/>
        <w:gridCol w:w="1781"/>
        <w:gridCol w:w="1843"/>
        <w:gridCol w:w="1838"/>
        <w:gridCol w:w="1867"/>
      </w:tblGrid>
      <w:tr>
        <w:trPr>
          <w:trHeight w:val="379" w:hRule="exact"/>
        </w:trPr>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）营业收入及成本列示如下：</w:t>
            </w:r>
          </w:p>
        </w:tc>
      </w:tr>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成本</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589,866,970.97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242,067,375.81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199,639,503.25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90,086,369.93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17,424,749.89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2,533,040.58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16,941,978.21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2,400,180.29</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607,291,720.86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b/>
                <w:bCs/>
                <w:color w:val="000000"/>
                <w:spacing w:val="0"/>
                <w:w w:val="100"/>
                <w:position w:val="0"/>
                <w:sz w:val="20"/>
                <w:szCs w:val="20"/>
              </w:rPr>
              <w:t>244,600,416.39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216,581,481.46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92,486,550.22</w:t>
            </w:r>
          </w:p>
        </w:tc>
      </w:tr>
      <w:tr>
        <w:trPr>
          <w:trHeight w:val="485"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）主营业务收入及成本（分行业）列示如下：</w:t>
            </w:r>
          </w:p>
        </w:tc>
      </w:tr>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行业名称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成本</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180" w:right="0" w:firstLine="0"/>
              <w:jc w:val="left"/>
              <w:rPr>
                <w:sz w:val="20"/>
                <w:szCs w:val="20"/>
              </w:rPr>
            </w:pPr>
            <w:r>
              <w:rPr>
                <w:color w:val="000000"/>
                <w:spacing w:val="0"/>
                <w:w w:val="100"/>
                <w:position w:val="0"/>
                <w:sz w:val="20"/>
                <w:szCs w:val="20"/>
              </w:rPr>
              <w:t>集成电路和关键 元器件等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589,866,970.97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242,067,375.81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199,639,503.25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90,086,369.93</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589,866,970.97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242,067,375.81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199,639,503.25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90,086,369.93</w:t>
            </w:r>
          </w:p>
        </w:tc>
      </w:tr>
      <w:tr>
        <w:trPr>
          <w:trHeight w:val="485"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）主营业务收入及成本（分产品）列示如下：</w:t>
            </w:r>
          </w:p>
        </w:tc>
      </w:tr>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产品名称</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vMerge/>
            <w:tcBorders/>
            <w:shd w:val="clear" w:color="auto" w:fill="FFFFFF"/>
            <w:vAlign w:val="center"/>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成本</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芯片类产品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581,703,614.23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240,154,095.78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154,807,311.61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86,022,555.68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技术服务业务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8,163,356.74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1,913,280.03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42,933,035.55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2,272,159.11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1,899,156.09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1,791,655.14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b/>
                <w:bCs/>
                <w:color w:val="000000"/>
                <w:spacing w:val="0"/>
                <w:w w:val="100"/>
                <w:position w:val="0"/>
                <w:sz w:val="20"/>
                <w:szCs w:val="20"/>
              </w:rPr>
              <w:t>合 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589,866,970.97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242,067,375.81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199,639,503.25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90,086,369.93</w:t>
            </w:r>
          </w:p>
        </w:tc>
      </w:tr>
      <w:tr>
        <w:trPr>
          <w:trHeight w:val="490"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）主营业务收入及成本（分地区）列示如下：</w:t>
            </w:r>
          </w:p>
        </w:tc>
      </w:tr>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地区名称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rPr>
                <w:sz w:val="20"/>
                <w:szCs w:val="20"/>
              </w:rPr>
            </w:pPr>
            <w:r>
              <w:rPr>
                <w:b/>
                <w:bCs/>
                <w:color w:val="000000"/>
                <w:spacing w:val="0"/>
                <w:w w:val="100"/>
                <w:position w:val="0"/>
                <w:sz w:val="20"/>
                <w:szCs w:val="20"/>
              </w:rPr>
              <w:t>成本</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一、境内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471,911,059.83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195,410,600.98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176,961,149.40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85,405,855.55</w:t>
            </w:r>
          </w:p>
        </w:tc>
      </w:tr>
    </w:tbl>
    <w:p>
      <w:pPr>
        <w:sectPr>
          <w:footnotePr>
            <w:pos w:val="pageBottom"/>
            <w:numFmt w:val="decimal"/>
            <w:numRestart w:val="continuous"/>
          </w:footnotePr>
          <w:pgSz w:w="11900" w:h="16840"/>
          <w:pgMar w:top="313" w:right="1071" w:bottom="1369" w:left="975" w:header="0" w:footer="3" w:gutter="0"/>
          <w:cols w:space="720"/>
          <w:noEndnote/>
          <w:rtlGutter w:val="0"/>
          <w:docGrid w:linePitch="360"/>
        </w:sectPr>
      </w:pPr>
    </w:p>
    <w:tbl>
      <w:tblPr>
        <w:tblOverlap w:val="never"/>
        <w:jc w:val="left"/>
        <w:tblLayout w:type="fixed"/>
      </w:tblPr>
      <w:tblGrid>
        <w:gridCol w:w="1853"/>
        <w:gridCol w:w="1834"/>
        <w:gridCol w:w="1891"/>
        <w:gridCol w:w="1838"/>
        <w:gridCol w:w="1795"/>
      </w:tblGrid>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73,481,681.48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45,293,758.87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74,115,144.98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53,586,532.75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64,419,567.32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25,652,051.30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13,235,838.09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4,363,047.34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306,152,578.47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114,993,133.52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59,308,874.80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26,999,754.85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26,925,323.02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9,401,549.37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107,152.19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39,964.79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931,909.54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70,107.92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30,194,139.34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416,555.82</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117,955,911.14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46,656,774.83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22,678,353.85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4,680,514.38</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589,866,970.97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b/>
                <w:bCs/>
                <w:color w:val="000000"/>
                <w:spacing w:val="0"/>
                <w:w w:val="100"/>
                <w:position w:val="0"/>
                <w:sz w:val="20"/>
                <w:szCs w:val="20"/>
              </w:rPr>
              <w:t>242,067,375.81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199,639,503.25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rPr>
              <w:t>90,086,369.93</w:t>
            </w:r>
          </w:p>
        </w:tc>
      </w:tr>
    </w:tbl>
    <w:p>
      <w:pPr>
        <w:pStyle w:val="Style30"/>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年度营业收入按收入确认时间列示如下:</w:t>
      </w:r>
    </w:p>
    <w:p>
      <w:pPr>
        <w:widowControl w:val="0"/>
        <w:spacing w:after="79" w:line="1" w:lineRule="exact"/>
      </w:pPr>
    </w:p>
    <w:tbl>
      <w:tblPr>
        <w:tblOverlap w:val="never"/>
        <w:jc w:val="center"/>
        <w:tblLayout w:type="fixed"/>
      </w:tblPr>
      <w:tblGrid>
        <w:gridCol w:w="2002"/>
        <w:gridCol w:w="1646"/>
        <w:gridCol w:w="1574"/>
        <w:gridCol w:w="1416"/>
        <w:gridCol w:w="1478"/>
        <w:gridCol w:w="1738"/>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440" w:right="0" w:firstLine="0"/>
              <w:jc w:val="left"/>
              <w:rPr>
                <w:sz w:val="20"/>
                <w:szCs w:val="20"/>
              </w:rPr>
            </w:pPr>
            <w:r>
              <w:rPr>
                <w:color w:val="000000"/>
                <w:spacing w:val="0"/>
                <w:w w:val="100"/>
                <w:position w:val="0"/>
                <w:sz w:val="20"/>
                <w:szCs w:val="20"/>
              </w:rPr>
              <w:t>在某一时点确 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581,873,312.30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8,163,356.74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590,036,669.04</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3" w:lineRule="exact"/>
              <w:ind w:left="440" w:right="0" w:firstLine="0"/>
              <w:jc w:val="left"/>
              <w:rPr>
                <w:sz w:val="20"/>
                <w:szCs w:val="20"/>
              </w:rPr>
            </w:pPr>
            <w:r>
              <w:rPr>
                <w:color w:val="000000"/>
                <w:spacing w:val="0"/>
                <w:w w:val="100"/>
                <w:position w:val="0"/>
                <w:sz w:val="20"/>
                <w:szCs w:val="20"/>
              </w:rPr>
              <w:t>在某一时段确 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13,130,233.67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4,124,818.15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17,255,051.82</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581,873,312.30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13,130,233.67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8,163,356.74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4,124,818.15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607,291,720.86</w:t>
            </w:r>
          </w:p>
        </w:tc>
      </w:tr>
    </w:tbl>
    <w:p>
      <w:pPr>
        <w:widowControl w:val="0"/>
        <w:spacing w:after="79" w:line="1" w:lineRule="exact"/>
      </w:pPr>
    </w:p>
    <w:p>
      <w:pPr>
        <w:pStyle w:val="Style13"/>
        <w:keepNext w:val="0"/>
        <w:keepLines w:val="0"/>
        <w:widowControl w:val="0"/>
        <w:shd w:val="clear" w:color="auto" w:fill="auto"/>
        <w:bidi w:val="0"/>
        <w:spacing w:before="0" w:after="200" w:line="240" w:lineRule="auto"/>
        <w:ind w:left="0" w:right="0" w:firstLine="600"/>
        <w:jc w:val="left"/>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rPr>
        <w:t>6</w:t>
      </w:r>
      <w:r>
        <w:rPr>
          <w:color w:val="000000"/>
          <w:spacing w:val="0"/>
          <w:w w:val="100"/>
          <w:position w:val="0"/>
        </w:rPr>
        <w:t>）履约义务相关的信息</w:t>
      </w:r>
    </w:p>
    <w:p>
      <w:pPr>
        <w:pStyle w:val="Style13"/>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本公司收入确认政策详见附注三、</w:t>
      </w:r>
      <w:r>
        <w:rPr>
          <w:rFonts w:ascii="Times New Roman" w:eastAsia="Times New Roman" w:hAnsi="Times New Roman" w:cs="Times New Roman"/>
          <w:color w:val="000000"/>
          <w:spacing w:val="0"/>
          <w:w w:val="100"/>
          <w:position w:val="0"/>
        </w:rPr>
        <w:t>24</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公司芯片类产品、负极材料形成的产品收入均属于销售商品收入，对于不包含安装的销售商</w:t>
      </w:r>
    </w:p>
    <w:p>
      <w:pPr>
        <w:pStyle w:val="Style13"/>
        <w:keepNext w:val="0"/>
        <w:keepLines w:val="0"/>
        <w:widowControl w:val="0"/>
        <w:shd w:val="clear" w:color="auto" w:fill="auto"/>
        <w:bidi w:val="0"/>
        <w:spacing w:before="0" w:after="0" w:line="504" w:lineRule="exact"/>
        <w:ind w:left="140" w:right="0" w:firstLine="0"/>
        <w:jc w:val="left"/>
      </w:pPr>
      <w:r>
        <w:rPr>
          <w:color w:val="000000"/>
          <w:spacing w:val="0"/>
          <w:w w:val="100"/>
          <w:position w:val="0"/>
        </w:rPr>
        <w:t>品收入，本公司收入确认时点，以公司将商品控制权转移给购买方（内销收入即客户签收时点， 外销收入即货物报关离岸时点）确认商品销售收入实现。</w:t>
      </w:r>
    </w:p>
    <w:p>
      <w:pPr>
        <w:pStyle w:val="Style13"/>
        <w:keepNext w:val="0"/>
        <w:keepLines w:val="0"/>
        <w:widowControl w:val="0"/>
        <w:shd w:val="clear" w:color="auto" w:fill="auto"/>
        <w:bidi w:val="0"/>
        <w:spacing w:before="0" w:after="200" w:line="461" w:lineRule="exact"/>
        <w:ind w:left="140" w:right="0" w:firstLine="460"/>
        <w:jc w:val="both"/>
      </w:pPr>
      <w:r>
        <w:rPr>
          <w:color w:val="000000"/>
          <w:spacing w:val="0"/>
          <w:w w:val="100"/>
          <w:position w:val="0"/>
        </w:rPr>
        <w:t>对于包含安装的销售商品收入，销售商品部分和提供劳务部分不能够区分，或虽能区分但不 能够单独计量的，将销售商品部分和提供劳务部分全部作为销售商品处理。将购买方验收时点作</w:t>
      </w:r>
    </w:p>
    <w:tbl>
      <w:tblPr>
        <w:tblOverlap w:val="never"/>
        <w:jc w:val="center"/>
        <w:tblLayout w:type="fixed"/>
      </w:tblPr>
      <w:tblGrid>
        <w:gridCol w:w="5899"/>
        <w:gridCol w:w="4042"/>
      </w:tblGrid>
      <w:tr>
        <w:trPr>
          <w:trHeight w:val="840" w:hRule="exact"/>
        </w:trPr>
        <w:tc>
          <w:tcPr>
            <w:gridSpan w:val="2"/>
            <w:tcBorders/>
            <w:shd w:val="clear" w:color="auto" w:fill="FFFFFF"/>
            <w:vAlign w:val="top"/>
          </w:tcPr>
          <w:p>
            <w:pPr>
              <w:pStyle w:val="Style2"/>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为控制权转移时点，确认收入。</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）分摊至剩余履约义务交易价格相关信息</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8" w:lineRule="exact"/>
              <w:ind w:left="500" w:right="0" w:firstLine="0"/>
              <w:jc w:val="left"/>
              <w:rPr>
                <w:sz w:val="20"/>
                <w:szCs w:val="20"/>
              </w:rPr>
            </w:pPr>
            <w:r>
              <w:rPr>
                <w:color w:val="000000"/>
                <w:spacing w:val="0"/>
                <w:w w:val="100"/>
                <w:position w:val="0"/>
                <w:sz w:val="20"/>
                <w:szCs w:val="20"/>
              </w:rPr>
              <w:t>期末已签订合同、但尚未履行或尚未履行完毕的履约义 务所对应的收入金额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820,766,860.52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其中：预计将于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年度确认收入的金额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702,320,599.13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预计将于</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年度确认收入的金额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15,686,479.52</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预计将于</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sz w:val="20"/>
                <w:szCs w:val="20"/>
              </w:rPr>
              <w:t>年及以后年度确认收入的金额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102,759,781.87</w:t>
            </w:r>
          </w:p>
        </w:tc>
      </w:tr>
    </w:tbl>
    <w:p>
      <w:pPr>
        <w:pStyle w:val="Style30"/>
        <w:keepNext w:val="0"/>
        <w:keepLines w:val="0"/>
        <w:widowControl w:val="0"/>
        <w:shd w:val="clear" w:color="auto" w:fill="auto"/>
        <w:bidi w:val="0"/>
        <w:spacing w:before="0" w:after="0" w:line="240" w:lineRule="auto"/>
        <w:ind w:left="619"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）本年度作为出租人相关损益情况列示如下:</w:t>
      </w:r>
    </w:p>
    <w:p>
      <w:pPr>
        <w:widowControl w:val="0"/>
        <w:spacing w:after="79" w:line="1" w:lineRule="exact"/>
      </w:pPr>
    </w:p>
    <w:tbl>
      <w:tblPr>
        <w:tblOverlap w:val="never"/>
        <w:jc w:val="center"/>
        <w:tblLayout w:type="fixed"/>
      </w:tblPr>
      <w:tblGrid>
        <w:gridCol w:w="5544"/>
        <w:gridCol w:w="3782"/>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经营租赁：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13,130,233.67</w:t>
            </w:r>
          </w:p>
        </w:tc>
      </w:tr>
      <w:tr>
        <w:trPr>
          <w:trHeight w:val="259"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w:t>
            </w:r>
          </w:p>
        </w:tc>
      </w:tr>
    </w:tbl>
    <w:p>
      <w:pPr>
        <w:sectPr>
          <w:footnotePr>
            <w:pos w:val="pageBottom"/>
            <w:numFmt w:val="decimal"/>
            <w:numRestart w:val="continuous"/>
          </w:footnotePr>
          <w:pgSz w:w="11900" w:h="16840"/>
          <w:pgMar w:top="1436" w:right="989" w:bottom="1215" w:left="970" w:header="0" w:footer="3" w:gutter="0"/>
          <w:cols w:space="720"/>
          <w:noEndnote/>
          <w:rtlGutter w:val="0"/>
          <w:docGrid w:linePitch="360"/>
        </w:sectPr>
      </w:pPr>
    </w:p>
    <w:p>
      <w:pPr>
        <w:pStyle w:val="Style30"/>
        <w:keepNext w:val="0"/>
        <w:keepLines w:val="0"/>
        <w:widowControl w:val="0"/>
        <w:shd w:val="clear" w:color="auto" w:fill="auto"/>
        <w:bidi w:val="0"/>
        <w:spacing w:before="0" w:after="0" w:line="240" w:lineRule="auto"/>
        <w:ind w:left="53" w:right="0" w:firstLine="0"/>
        <w:jc w:val="left"/>
        <w:rPr>
          <w:sz w:val="22"/>
          <w:szCs w:val="22"/>
        </w:rPr>
      </w:pPr>
      <w:r>
        <w:rPr>
          <w:rFonts w:ascii="Times New Roman" w:eastAsia="Times New Roman" w:hAnsi="Times New Roman" w:cs="Times New Roman"/>
          <w:b/>
          <w:bCs/>
          <w:color w:val="000000"/>
          <w:spacing w:val="0"/>
          <w:w w:val="100"/>
          <w:position w:val="0"/>
          <w:sz w:val="22"/>
          <w:szCs w:val="22"/>
        </w:rPr>
        <w:t>5</w:t>
      </w:r>
      <w:r>
        <w:rPr>
          <w:b/>
          <w:bCs/>
          <w:color w:val="000000"/>
          <w:spacing w:val="0"/>
          <w:w w:val="100"/>
          <w:position w:val="0"/>
          <w:sz w:val="22"/>
          <w:szCs w:val="22"/>
        </w:rPr>
        <w:t>、投资收益</w:t>
      </w:r>
    </w:p>
    <w:tbl>
      <w:tblPr>
        <w:tblOverlap w:val="never"/>
        <w:jc w:val="center"/>
        <w:tblLayout w:type="fixed"/>
      </w:tblPr>
      <w:tblGrid>
        <w:gridCol w:w="4728"/>
        <w:gridCol w:w="2294"/>
        <w:gridCol w:w="2323"/>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1,342,025.68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267,758.88</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78" w:lineRule="exact"/>
              <w:ind w:left="420" w:right="0" w:firstLine="0"/>
              <w:jc w:val="left"/>
              <w:rPr>
                <w:sz w:val="20"/>
                <w:szCs w:val="20"/>
              </w:rPr>
            </w:pPr>
            <w:r>
              <w:rPr>
                <w:color w:val="000000"/>
                <w:spacing w:val="0"/>
                <w:w w:val="100"/>
                <w:position w:val="0"/>
                <w:sz w:val="20"/>
                <w:szCs w:val="20"/>
              </w:rPr>
              <w:t>以公允价值计量且其变动计入当期损益的金 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167,468.80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b/>
                <w:bCs/>
                <w:color w:val="000000"/>
                <w:spacing w:val="0"/>
                <w:w w:val="100"/>
                <w:position w:val="0"/>
                <w:sz w:val="20"/>
                <w:szCs w:val="20"/>
              </w:rPr>
              <w:t>1,509,494.48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b/>
                <w:bCs/>
                <w:color w:val="000000"/>
                <w:spacing w:val="0"/>
                <w:w w:val="100"/>
                <w:position w:val="0"/>
                <w:sz w:val="20"/>
                <w:szCs w:val="20"/>
              </w:rPr>
              <w:t>267,758.88</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034" w:name="bookmark1034"/>
      <w:bookmarkStart w:id="1035" w:name="bookmark1035"/>
      <w:bookmarkStart w:id="1036" w:name="bookmark1036"/>
      <w:r>
        <w:rPr>
          <w:color w:val="000000"/>
          <w:spacing w:val="0"/>
          <w:w w:val="100"/>
          <w:position w:val="0"/>
        </w:rPr>
        <w:t>十六、补充资料</w:t>
      </w:r>
      <w:bookmarkEnd w:id="1034"/>
      <w:bookmarkEnd w:id="1035"/>
      <w:bookmarkEnd w:id="1036"/>
    </w:p>
    <w:p>
      <w:pPr>
        <w:pStyle w:val="Style1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、当期非经常性损益明细表</w:t>
      </w:r>
    </w:p>
    <w:tbl>
      <w:tblPr>
        <w:tblOverlap w:val="never"/>
        <w:jc w:val="center"/>
        <w:tblLayout w:type="fixed"/>
      </w:tblPr>
      <w:tblGrid>
        <w:gridCol w:w="5290"/>
        <w:gridCol w:w="2098"/>
        <w:gridCol w:w="2136"/>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说明</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500" w:right="0" w:firstLine="0"/>
              <w:jc w:val="both"/>
              <w:rPr>
                <w:sz w:val="20"/>
                <w:szCs w:val="20"/>
              </w:rPr>
            </w:pPr>
            <w:r>
              <w:rPr>
                <w:color w:val="000000"/>
                <w:spacing w:val="0"/>
                <w:w w:val="100"/>
                <w:position w:val="0"/>
                <w:sz w:val="20"/>
                <w:szCs w:val="20"/>
              </w:rPr>
              <w:t>非流动性资产处置损益，包括已计提资产减值准 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63,170.04</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500" w:right="0" w:firstLine="0"/>
              <w:jc w:val="both"/>
              <w:rPr>
                <w:sz w:val="20"/>
                <w:szCs w:val="20"/>
              </w:rPr>
            </w:pPr>
            <w:r>
              <w:rPr>
                <w:color w:val="000000"/>
                <w:spacing w:val="0"/>
                <w:w w:val="100"/>
                <w:position w:val="0"/>
                <w:sz w:val="20"/>
                <w:szCs w:val="20"/>
              </w:rPr>
              <w:t>越权审批，或无正式批准文件，或偶发性的税收 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3" w:lineRule="exact"/>
              <w:ind w:left="500" w:right="0" w:firstLine="0"/>
              <w:jc w:val="both"/>
              <w:rPr>
                <w:sz w:val="20"/>
                <w:szCs w:val="20"/>
              </w:rPr>
            </w:pPr>
            <w:r>
              <w:rPr>
                <w:color w:val="000000"/>
                <w:spacing w:val="0"/>
                <w:w w:val="100"/>
                <w:position w:val="0"/>
                <w:sz w:val="20"/>
                <w:szCs w:val="20"/>
              </w:rPr>
              <w:t>计入当期损益的政府补助，但与企业正常经营业 务密切相关，符合国家政策规定，按照一定标准 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23,534,209.89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0" w:right="0" w:firstLine="0"/>
              <w:jc w:val="both"/>
              <w:rPr>
                <w:sz w:val="20"/>
                <w:szCs w:val="20"/>
              </w:rPr>
            </w:pPr>
            <w:r>
              <w:rPr>
                <w:color w:val="000000"/>
                <w:spacing w:val="0"/>
                <w:w w:val="100"/>
                <w:position w:val="0"/>
                <w:sz w:val="20"/>
                <w:szCs w:val="2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155,312.04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计入当期损益的对非金融企业收取的资金占用费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496,109.38</w:t>
            </w: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88" w:lineRule="exact"/>
              <w:ind w:left="500" w:right="0" w:firstLine="0"/>
              <w:jc w:val="both"/>
              <w:rPr>
                <w:sz w:val="20"/>
                <w:szCs w:val="20"/>
              </w:rPr>
            </w:pPr>
            <w:r>
              <w:rPr>
                <w:color w:val="000000"/>
                <w:spacing w:val="0"/>
                <w:w w:val="100"/>
                <w:position w:val="0"/>
                <w:sz w:val="20"/>
                <w:szCs w:val="20"/>
              </w:rPr>
              <w:t>取得子公司、联营企业及合营企业的投资成本小 于取得投资时应享有被投资单位可辨认净资产公 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4" w:lineRule="exact"/>
              <w:ind w:left="500" w:right="0" w:firstLine="0"/>
              <w:jc w:val="both"/>
              <w:rPr>
                <w:sz w:val="20"/>
                <w:szCs w:val="20"/>
              </w:rPr>
            </w:pPr>
            <w:r>
              <w:rPr>
                <w:color w:val="000000"/>
                <w:spacing w:val="0"/>
                <w:w w:val="100"/>
                <w:position w:val="0"/>
                <w:sz w:val="20"/>
                <w:szCs w:val="20"/>
              </w:rPr>
              <w:t>因不可抗力因素，如遭受自然灾害而计提的各项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69" w:lineRule="exact"/>
              <w:ind w:left="500" w:right="0" w:firstLine="0"/>
              <w:jc w:val="both"/>
              <w:rPr>
                <w:sz w:val="20"/>
                <w:szCs w:val="20"/>
              </w:rPr>
            </w:pPr>
            <w:r>
              <w:rPr>
                <w:color w:val="000000"/>
                <w:spacing w:val="0"/>
                <w:w w:val="100"/>
                <w:position w:val="0"/>
                <w:sz w:val="20"/>
                <w:szCs w:val="20"/>
              </w:rPr>
              <w:t>交易价格显失公允的交易产生的超过公允价值部 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500" w:right="0" w:firstLine="0"/>
              <w:jc w:val="both"/>
              <w:rPr>
                <w:sz w:val="20"/>
                <w:szCs w:val="20"/>
              </w:rPr>
            </w:pPr>
            <w:r>
              <w:rPr>
                <w:color w:val="000000"/>
                <w:spacing w:val="0"/>
                <w:w w:val="100"/>
                <w:position w:val="0"/>
                <w:sz w:val="20"/>
                <w:szCs w:val="20"/>
              </w:rPr>
              <w:t>同一控制下企业合并产生的子公司期初至合并日</w:t>
            </w:r>
          </w:p>
          <w:p>
            <w:pPr>
              <w:pStyle w:val="Style2"/>
              <w:keepNext w:val="0"/>
              <w:keepLines w:val="0"/>
              <w:widowControl w:val="0"/>
              <w:shd w:val="clear" w:color="auto" w:fill="auto"/>
              <w:bidi w:val="0"/>
              <w:spacing w:before="0" w:after="0" w:line="240" w:lineRule="auto"/>
              <w:ind w:left="500" w:right="0" w:firstLine="0"/>
              <w:jc w:val="both"/>
              <w:rPr>
                <w:sz w:val="20"/>
                <w:szCs w:val="20"/>
              </w:rPr>
            </w:pPr>
            <w:r>
              <w:rPr>
                <w:color w:val="000000"/>
                <w:spacing w:val="0"/>
                <w:w w:val="100"/>
                <w:position w:val="0"/>
                <w:sz w:val="20"/>
                <w:szCs w:val="20"/>
              </w:rPr>
              <w:t>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0" w:right="0" w:firstLine="0"/>
              <w:jc w:val="both"/>
              <w:rPr>
                <w:sz w:val="20"/>
                <w:szCs w:val="20"/>
              </w:rPr>
            </w:pPr>
            <w:r>
              <w:rPr>
                <w:color w:val="000000"/>
                <w:spacing w:val="0"/>
                <w:w w:val="100"/>
                <w:position w:val="0"/>
                <w:sz w:val="20"/>
                <w:szCs w:val="2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45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88" w:lineRule="exact"/>
              <w:ind w:left="500" w:right="0" w:firstLine="0"/>
              <w:jc w:val="both"/>
              <w:rPr>
                <w:sz w:val="20"/>
                <w:szCs w:val="20"/>
              </w:rPr>
            </w:pPr>
            <w:r>
              <w:rPr>
                <w:color w:val="000000"/>
                <w:spacing w:val="0"/>
                <w:w w:val="100"/>
                <w:position w:val="0"/>
                <w:sz w:val="20"/>
                <w:szCs w:val="20"/>
              </w:rPr>
              <w:t>除同公司正常经营业务相关的有效套期保值业务 夕卜，持有交易性金融资产、交易性金融负债、衍 生金融资产、衍生金融负债产生的公允价值变动 损益，以及处置交易性金融资产、交易性金融负 债、衍生金融资产、衍生金融负债和其他债权投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83,670,526.27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2"/>
        <w:gridCol w:w="1843"/>
        <w:gridCol w:w="331"/>
        <w:gridCol w:w="2098"/>
        <w:gridCol w:w="2136"/>
      </w:tblGrid>
      <w:tr>
        <w:trPr>
          <w:trHeight w:val="485"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1,342,025.68</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处置划分为持有待售的长期股权投资投资收益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69,074,708.63</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27,286,427.70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720" w:right="0" w:firstLine="0"/>
              <w:jc w:val="left"/>
              <w:rPr>
                <w:sz w:val="20"/>
                <w:szCs w:val="20"/>
              </w:rPr>
            </w:pPr>
            <w:r>
              <w:rPr>
                <w:color w:val="000000"/>
                <w:spacing w:val="0"/>
                <w:w w:val="100"/>
                <w:position w:val="0"/>
                <w:sz w:val="20"/>
                <w:szCs w:val="20"/>
              </w:rPr>
              <w:t>采用公允价值模式进行后续计量的投资性房地产 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-6,070,349.00</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720" w:right="0" w:firstLine="0"/>
              <w:jc w:val="left"/>
              <w:rPr>
                <w:sz w:val="20"/>
                <w:szCs w:val="20"/>
              </w:rPr>
            </w:pPr>
            <w:r>
              <w:rPr>
                <w:color w:val="000000"/>
                <w:spacing w:val="0"/>
                <w:w w:val="100"/>
                <w:position w:val="0"/>
                <w:sz w:val="20"/>
                <w:szCs w:val="20"/>
              </w:rPr>
              <w:t>根据税收、会计等法律、法规的要求对当期损益 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471,950.28</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3,085,380.58</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非经常性损益总额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203,109,471.49</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减：非经常性损益的所得税影响数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30,129,689.88</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非经常性损益净额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172,979,781.61</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减：归属于少数股东的非经常性损益净影响数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361,841.24</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rPr>
              <w:t>归属于公司普通股股东的非经常性损益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172,617,940.37</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注：计入当期损益的其他收益中列入经常性损益的项目及理由：</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涉及金额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原因</w:t>
            </w:r>
          </w:p>
        </w:tc>
      </w:tr>
      <w:tr>
        <w:trPr>
          <w:trHeight w:val="88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软件产品增值税实际税负超过</w:t>
            </w:r>
          </w:p>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的部分即征即退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13,101,715.00</w:t>
            </w:r>
          </w:p>
        </w:tc>
        <w:tc>
          <w:tcPr>
            <w:gridSpan w:val="3"/>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与公司正常经营业务密切相关，符合国家 政策规定、按照一定标准定额或定量持续 享受的政府补助</w:t>
            </w:r>
          </w:p>
        </w:tc>
      </w:tr>
    </w:tbl>
    <w:p>
      <w:pPr>
        <w:widowControl w:val="0"/>
        <w:spacing w:after="299" w:line="1" w:lineRule="exact"/>
      </w:pPr>
    </w:p>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、净资产收益率及每股收益</w:t>
      </w:r>
    </w:p>
    <w:tbl>
      <w:tblPr>
        <w:tblOverlap w:val="never"/>
        <w:jc w:val="center"/>
        <w:tblLayout w:type="fixed"/>
      </w:tblPr>
      <w:tblGrid>
        <w:gridCol w:w="2424"/>
        <w:gridCol w:w="2678"/>
        <w:gridCol w:w="2059"/>
        <w:gridCol w:w="2131"/>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280"/>
              <w:jc w:val="both"/>
              <w:rPr>
                <w:sz w:val="20"/>
                <w:szCs w:val="20"/>
              </w:rPr>
            </w:pPr>
            <w:r>
              <w:rPr>
                <w:b/>
                <w:bCs/>
                <w:color w:val="000000"/>
                <w:spacing w:val="0"/>
                <w:w w:val="100"/>
                <w:position w:val="0"/>
                <w:sz w:val="20"/>
                <w:szCs w:val="20"/>
              </w:rPr>
              <w:t>加权平均净资产收益率</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每股收益</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稀释每股收益</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98" w:lineRule="exact"/>
              <w:ind w:left="420" w:right="0" w:firstLine="0"/>
              <w:jc w:val="left"/>
              <w:rPr>
                <w:sz w:val="20"/>
                <w:szCs w:val="20"/>
              </w:rPr>
            </w:pPr>
            <w:r>
              <w:rPr>
                <w:color w:val="000000"/>
                <w:spacing w:val="0"/>
                <w:w w:val="100"/>
                <w:position w:val="0"/>
                <w:sz w:val="20"/>
                <w:szCs w:val="20"/>
              </w:rPr>
              <w:t>归属于公司普通股 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0.3877</w:t>
            </w:r>
          </w:p>
        </w:tc>
      </w:tr>
      <w:tr>
        <w:trPr>
          <w:trHeight w:val="88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88" w:lineRule="exact"/>
              <w:ind w:left="420" w:right="0" w:firstLine="0"/>
              <w:jc w:val="left"/>
              <w:rPr>
                <w:sz w:val="20"/>
                <w:szCs w:val="20"/>
              </w:rPr>
            </w:pPr>
            <w:r>
              <w:rPr>
                <w:color w:val="000000"/>
                <w:spacing w:val="0"/>
                <w:w w:val="100"/>
                <w:position w:val="0"/>
                <w:sz w:val="20"/>
                <w:szCs w:val="20"/>
              </w:rPr>
              <w:t>扣除非经常损益后 归属于普通股股东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0.0821</w:t>
            </w:r>
          </w:p>
        </w:tc>
      </w:tr>
    </w:tbl>
    <w:p>
      <w:pPr>
        <w:sectPr>
          <w:footnotePr>
            <w:pos w:val="pageBottom"/>
            <w:numFmt w:val="decimal"/>
            <w:numRestart w:val="continuous"/>
          </w:footnotePr>
          <w:pgSz w:w="11900" w:h="16840"/>
          <w:pgMar w:top="1422" w:right="1176" w:bottom="1455" w:left="994" w:header="0" w:footer="3" w:gutter="0"/>
          <w:cols w:space="720"/>
          <w:noEndnote/>
          <w:rtlGutter w:val="0"/>
          <w:docGrid w:linePitch="360"/>
        </w:sectPr>
      </w:pPr>
    </w:p>
    <w:p>
      <w:pPr>
        <w:widowControl w:val="0"/>
        <w:jc w:val="center"/>
        <w:rPr>
          <w:sz w:val="2"/>
          <w:szCs w:val="2"/>
        </w:rPr>
      </w:pPr>
      <w:r>
        <w:drawing>
          <wp:inline>
            <wp:extent cx="1932305" cy="51181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7"/>
                    <a:stretch/>
                  </pic:blipFill>
                  <pic:spPr>
                    <a:xfrm>
                      <a:ext cx="1932305" cy="511810"/>
                    </a:xfrm>
                    <a:prstGeom prst="rect"/>
                  </pic:spPr>
                </pic:pic>
              </a:graphicData>
            </a:graphic>
          </wp:inline>
        </w:drawing>
      </w:r>
    </w:p>
    <w:p>
      <w:pPr>
        <w:widowControl w:val="0"/>
        <w:spacing w:after="519" w:line="1" w:lineRule="exact"/>
      </w:pPr>
    </w:p>
    <w:p>
      <w:pPr>
        <w:pStyle w:val="Style13"/>
        <w:keepNext w:val="0"/>
        <w:keepLines w:val="0"/>
        <w:widowControl w:val="0"/>
        <w:shd w:val="clear" w:color="auto" w:fill="auto"/>
        <w:bidi w:val="0"/>
        <w:spacing w:before="0" w:after="320" w:line="240" w:lineRule="auto"/>
        <w:ind w:left="0" w:right="0" w:firstLine="0"/>
        <w:jc w:val="center"/>
        <w:rPr>
          <w:sz w:val="24"/>
          <w:szCs w:val="24"/>
        </w:rPr>
      </w:pPr>
      <w:r>
        <w:rPr>
          <w:color w:val="000000"/>
          <w:spacing w:val="0"/>
          <w:w w:val="100"/>
          <w:position w:val="0"/>
          <w:sz w:val="24"/>
          <w:szCs w:val="24"/>
        </w:rPr>
        <w:t>国民技术股份有限公司</w:t>
      </w:r>
    </w:p>
    <w:p>
      <w:pPr>
        <w:pStyle w:val="Style74"/>
        <w:keepNext w:val="0"/>
        <w:keepLines w:val="0"/>
        <w:widowControl w:val="0"/>
        <w:shd w:val="clear" w:color="auto" w:fill="auto"/>
        <w:bidi w:val="0"/>
        <w:spacing w:before="0" w:after="420" w:line="240" w:lineRule="auto"/>
        <w:ind w:left="0" w:right="0" w:firstLine="0"/>
        <w:jc w:val="center"/>
        <w:rPr>
          <w:sz w:val="24"/>
          <w:szCs w:val="24"/>
        </w:rPr>
      </w:pPr>
      <w:r>
        <w:rPr>
          <w:color w:val="000000"/>
          <w:spacing w:val="0"/>
          <w:w w:val="100"/>
          <w:position w:val="0"/>
          <w:sz w:val="24"/>
          <w:szCs w:val="24"/>
        </w:rPr>
        <w:t>2022</w:t>
      </w:r>
      <w:r>
        <w:rPr>
          <w:rFonts w:ascii="SimSun" w:eastAsia="SimSun" w:hAnsi="SimSun" w:cs="SimSun"/>
          <w:color w:val="000000"/>
          <w:spacing w:val="0"/>
          <w:w w:val="100"/>
          <w:position w:val="0"/>
          <w:sz w:val="24"/>
          <w:szCs w:val="24"/>
        </w:rPr>
        <w:t>年</w:t>
      </w:r>
      <w:r>
        <w:rPr>
          <w:color w:val="000000"/>
          <w:spacing w:val="0"/>
          <w:w w:val="100"/>
          <w:position w:val="0"/>
          <w:sz w:val="24"/>
          <w:szCs w:val="24"/>
        </w:rPr>
        <w:t>3</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sectPr>
      <w:footnotePr>
        <w:pos w:val="pageBottom"/>
        <w:numFmt w:val="decimal"/>
        <w:numRestart w:val="continuous"/>
      </w:footnotePr>
      <w:pgSz w:w="11900" w:h="16840"/>
      <w:pgMar w:top="274" w:right="1112" w:bottom="1368" w:left="72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6">
    <w:name w:val="Body text (3)_"/>
    <w:basedOn w:val="DefaultParagraphFont"/>
    <w:link w:val="Style5"/>
    <w:rPr>
      <w:rFonts w:ascii="SimHei" w:eastAsia="SimHei" w:hAnsi="SimHei" w:cs="SimHei"/>
      <w:b w:val="0"/>
      <w:bCs w:val="0"/>
      <w:i w:val="0"/>
      <w:iCs w:val="0"/>
      <w:smallCaps w:val="0"/>
      <w:strike w:val="0"/>
      <w:sz w:val="19"/>
      <w:szCs w:val="19"/>
      <w:u w:val="none"/>
      <w:shd w:val="clear" w:color="auto" w:fill="auto"/>
    </w:rPr>
  </w:style>
  <w:style w:type="character" w:customStyle="1" w:styleId="CharStyle14">
    <w:name w:val="Body text_"/>
    <w:basedOn w:val="DefaultParagraphFont"/>
    <w:link w:val="Style13"/>
    <w:rPr>
      <w:rFonts w:ascii="SimSun" w:eastAsia="SimSun" w:hAnsi="SimSun" w:cs="SimSun"/>
      <w:b w:val="0"/>
      <w:bCs w:val="0"/>
      <w:i w:val="0"/>
      <w:iCs w:val="0"/>
      <w:smallCaps w:val="0"/>
      <w:strike w:val="0"/>
      <w:sz w:val="22"/>
      <w:szCs w:val="22"/>
      <w:u w:val="none"/>
      <w:shd w:val="clear" w:color="auto" w:fill="auto"/>
    </w:rPr>
  </w:style>
  <w:style w:type="character" w:customStyle="1" w:styleId="CharStyle18">
    <w:name w:val="Heading #3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Body text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Table of contents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31">
    <w:name w:val="Table caption_"/>
    <w:basedOn w:val="DefaultParagraphFont"/>
    <w:link w:val="Style30"/>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Heading #4_"/>
    <w:basedOn w:val="DefaultParagraphFont"/>
    <w:link w:val="Style33"/>
    <w:rPr>
      <w:rFonts w:ascii="SimSun" w:eastAsia="SimSun" w:hAnsi="SimSun" w:cs="SimSun"/>
      <w:b/>
      <w:bCs/>
      <w:i w:val="0"/>
      <w:iCs w:val="0"/>
      <w:smallCaps w:val="0"/>
      <w:strike w:val="0"/>
      <w:sz w:val="22"/>
      <w:szCs w:val="22"/>
      <w:u w:val="none"/>
      <w:shd w:val="clear" w:color="auto" w:fill="auto"/>
    </w:rPr>
  </w:style>
  <w:style w:type="character" w:customStyle="1" w:styleId="CharStyle38">
    <w:name w:val="Heading #5_"/>
    <w:basedOn w:val="DefaultParagraphFont"/>
    <w:link w:val="Style37"/>
    <w:rPr>
      <w:rFonts w:ascii="SimSun" w:eastAsia="SimSun" w:hAnsi="SimSun" w:cs="SimSun"/>
      <w:b/>
      <w:bCs/>
      <w:i w:val="0"/>
      <w:iCs w:val="0"/>
      <w:smallCaps w:val="0"/>
      <w:strike w:val="0"/>
      <w:sz w:val="22"/>
      <w:szCs w:val="22"/>
      <w:u w:val="none"/>
      <w:shd w:val="clear" w:color="auto" w:fill="auto"/>
    </w:rPr>
  </w:style>
  <w:style w:type="character" w:customStyle="1" w:styleId="CharStyle41">
    <w:name w:val="Heading #2_"/>
    <w:basedOn w:val="DefaultParagraphFont"/>
    <w:link w:val="Style40"/>
    <w:rPr>
      <w:rFonts w:ascii="MS Reference Sans Serif" w:eastAsia="MS Reference Sans Serif" w:hAnsi="MS Reference Sans Serif" w:cs="MS Reference Sans Serif"/>
      <w:b/>
      <w:bCs/>
      <w:i w:val="0"/>
      <w:iCs w:val="0"/>
      <w:smallCaps w:val="0"/>
      <w:strike w:val="0"/>
      <w:color w:val="01418A"/>
      <w:sz w:val="40"/>
      <w:szCs w:val="40"/>
      <w:u w:val="none"/>
      <w:shd w:val="clear" w:color="auto" w:fill="auto"/>
    </w:rPr>
  </w:style>
  <w:style w:type="character" w:customStyle="1" w:styleId="CharStyle43">
    <w:name w:val="Picture caption_"/>
    <w:basedOn w:val="DefaultParagraphFont"/>
    <w:link w:val="Style42"/>
    <w:rPr>
      <w:rFonts w:ascii="SimSun" w:eastAsia="SimSun" w:hAnsi="SimSun" w:cs="SimSun"/>
      <w:b w:val="0"/>
      <w:bCs w:val="0"/>
      <w:i w:val="0"/>
      <w:iCs w:val="0"/>
      <w:smallCaps w:val="0"/>
      <w:strike w:val="0"/>
      <w:sz w:val="22"/>
      <w:szCs w:val="22"/>
      <w:u w:val="none"/>
      <w:shd w:val="clear" w:color="auto" w:fill="auto"/>
    </w:rPr>
  </w:style>
  <w:style w:type="character" w:customStyle="1" w:styleId="CharStyle75">
    <w:name w:val="Body text (6)_"/>
    <w:basedOn w:val="DefaultParagraphFont"/>
    <w:link w:val="Style74"/>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CharStyle90">
    <w:name w:val="Other (3)_"/>
    <w:basedOn w:val="DefaultParagraphFont"/>
    <w:link w:val="Style89"/>
    <w:rPr>
      <w:rFonts w:ascii="SimSun" w:eastAsia="SimSun" w:hAnsi="SimSun" w:cs="SimSun"/>
      <w:b/>
      <w:bCs/>
      <w:i w:val="0"/>
      <w:iCs w:val="0"/>
      <w:smallCaps w:val="0"/>
      <w:strike w:val="0"/>
      <w:sz w:val="22"/>
      <w:szCs w:val="22"/>
      <w:u w:val="none"/>
      <w:shd w:val="clear" w:color="auto" w:fill="auto"/>
    </w:rPr>
  </w:style>
  <w:style w:type="paragraph" w:customStyle="1" w:styleId="Style2">
    <w:name w:val="Other"/>
    <w:basedOn w:val="Normal"/>
    <w:link w:val="CharStyle3"/>
    <w:pPr>
      <w:widowControl w:val="0"/>
      <w:shd w:val="clear" w:color="auto" w:fill="auto"/>
      <w:spacing w:line="44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5">
    <w:name w:val="Body text (3)"/>
    <w:basedOn w:val="Normal"/>
    <w:link w:val="CharStyle6"/>
    <w:pPr>
      <w:widowControl w:val="0"/>
      <w:shd w:val="clear" w:color="auto" w:fill="auto"/>
      <w:spacing w:after="620"/>
      <w:ind w:firstLine="660"/>
    </w:pPr>
    <w:rPr>
      <w:rFonts w:ascii="SimHei" w:eastAsia="SimHei" w:hAnsi="SimHei" w:cs="SimHei"/>
      <w:b w:val="0"/>
      <w:bCs w:val="0"/>
      <w:i w:val="0"/>
      <w:iCs w:val="0"/>
      <w:smallCaps w:val="0"/>
      <w:strike w:val="0"/>
      <w:sz w:val="19"/>
      <w:szCs w:val="19"/>
      <w:u w:val="none"/>
      <w:shd w:val="clear" w:color="auto" w:fill="auto"/>
    </w:rPr>
  </w:style>
  <w:style w:type="paragraph" w:styleId="Style13">
    <w:name w:val="Body text"/>
    <w:basedOn w:val="Normal"/>
    <w:link w:val="CharStyle14"/>
    <w:qFormat/>
    <w:pPr>
      <w:widowControl w:val="0"/>
      <w:shd w:val="clear" w:color="auto" w:fill="auto"/>
      <w:spacing w:line="44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7">
    <w:name w:val="Heading #3"/>
    <w:basedOn w:val="Normal"/>
    <w:link w:val="CharStyle18"/>
    <w:pPr>
      <w:widowControl w:val="0"/>
      <w:shd w:val="clear" w:color="auto" w:fill="auto"/>
      <w:spacing w:after="36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9">
    <w:name w:val="Body text (2)"/>
    <w:basedOn w:val="Normal"/>
    <w:link w:val="CharStyle20"/>
    <w:pPr>
      <w:widowControl w:val="0"/>
      <w:shd w:val="clear" w:color="auto" w:fill="auto"/>
      <w:spacing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Table of contents"/>
    <w:basedOn w:val="Normal"/>
    <w:link w:val="CharStyle23"/>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customStyle="1" w:styleId="Style30">
    <w:name w:val="Table caption"/>
    <w:basedOn w:val="Normal"/>
    <w:link w:val="CharStyle3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Heading #4"/>
    <w:basedOn w:val="Normal"/>
    <w:link w:val="CharStyle34"/>
    <w:pPr>
      <w:widowControl w:val="0"/>
      <w:shd w:val="clear" w:color="auto" w:fill="auto"/>
      <w:spacing w:after="360" w:line="314" w:lineRule="exact"/>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7">
    <w:name w:val="Heading #5"/>
    <w:basedOn w:val="Normal"/>
    <w:link w:val="CharStyle38"/>
    <w:pPr>
      <w:widowControl w:val="0"/>
      <w:shd w:val="clear" w:color="auto" w:fill="auto"/>
      <w:spacing w:after="120" w:line="468" w:lineRule="exact"/>
      <w:ind w:firstLine="460"/>
      <w:outlineLvl w:val="4"/>
    </w:pPr>
    <w:rPr>
      <w:rFonts w:ascii="SimSun" w:eastAsia="SimSun" w:hAnsi="SimSun" w:cs="SimSun"/>
      <w:b/>
      <w:bCs/>
      <w:i w:val="0"/>
      <w:iCs w:val="0"/>
      <w:smallCaps w:val="0"/>
      <w:strike w:val="0"/>
      <w:sz w:val="22"/>
      <w:szCs w:val="22"/>
      <w:u w:val="none"/>
      <w:shd w:val="clear" w:color="auto" w:fill="auto"/>
    </w:rPr>
  </w:style>
  <w:style w:type="paragraph" w:customStyle="1" w:styleId="Style40">
    <w:name w:val="Heading #2"/>
    <w:basedOn w:val="Normal"/>
    <w:link w:val="CharStyle41"/>
    <w:pPr>
      <w:widowControl w:val="0"/>
      <w:shd w:val="clear" w:color="auto" w:fill="auto"/>
      <w:outlineLvl w:val="1"/>
    </w:pPr>
    <w:rPr>
      <w:rFonts w:ascii="MS Reference Sans Serif" w:eastAsia="MS Reference Sans Serif" w:hAnsi="MS Reference Sans Serif" w:cs="MS Reference Sans Serif"/>
      <w:b/>
      <w:bCs/>
      <w:i w:val="0"/>
      <w:iCs w:val="0"/>
      <w:smallCaps w:val="0"/>
      <w:strike w:val="0"/>
      <w:color w:val="01418A"/>
      <w:sz w:val="40"/>
      <w:szCs w:val="40"/>
      <w:u w:val="none"/>
      <w:shd w:val="clear" w:color="auto" w:fill="auto"/>
    </w:rPr>
  </w:style>
  <w:style w:type="paragraph" w:customStyle="1" w:styleId="Style42">
    <w:name w:val="Picture caption"/>
    <w:basedOn w:val="Normal"/>
    <w:link w:val="CharStyle43"/>
    <w:pPr>
      <w:widowControl w:val="0"/>
      <w:shd w:val="clear" w:color="auto" w:fill="auto"/>
      <w:jc w:val="center"/>
    </w:pPr>
    <w:rPr>
      <w:rFonts w:ascii="SimSun" w:eastAsia="SimSun" w:hAnsi="SimSun" w:cs="SimSun"/>
      <w:b w:val="0"/>
      <w:bCs w:val="0"/>
      <w:i w:val="0"/>
      <w:iCs w:val="0"/>
      <w:smallCaps w:val="0"/>
      <w:strike w:val="0"/>
      <w:sz w:val="22"/>
      <w:szCs w:val="22"/>
      <w:u w:val="none"/>
      <w:shd w:val="clear" w:color="auto" w:fill="auto"/>
    </w:rPr>
  </w:style>
  <w:style w:type="paragraph" w:customStyle="1" w:styleId="Style74">
    <w:name w:val="Body text (6)"/>
    <w:basedOn w:val="Normal"/>
    <w:link w:val="CharStyle75"/>
    <w:pPr>
      <w:widowControl w:val="0"/>
      <w:shd w:val="clear" w:color="auto" w:fill="auto"/>
      <w:ind w:left="5860"/>
    </w:pPr>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89">
    <w:name w:val="Other (3)"/>
    <w:basedOn w:val="Normal"/>
    <w:link w:val="CharStyle90"/>
    <w:pPr>
      <w:widowControl w:val="0"/>
      <w:shd w:val="clear" w:color="auto" w:fill="auto"/>
      <w:jc w:val="center"/>
    </w:pPr>
    <w:rPr>
      <w:rFonts w:ascii="SimSun" w:eastAsia="SimSun" w:hAnsi="SimSun" w:cs="SimSun"/>
      <w:b/>
      <w:bCs/>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国民技术股份有限公司2021年年度报告</dc:title>
  <dc:subject/>
  <dc:creator>国民技术股份有限公司</dc:creator>
  <cp:keywords/>
</cp:coreProperties>
</file>