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44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2"/>
        <w:keepNext w:val="0"/>
        <w:keepLines w:val="0"/>
        <w:widowControl w:val="0"/>
        <w:shd w:val="clear" w:color="auto" w:fill="auto"/>
        <w:bidi w:val="0"/>
        <w:spacing w:before="0" w:after="3180" w:line="240" w:lineRule="auto"/>
        <w:ind w:left="1020" w:right="0" w:firstLine="0"/>
        <w:jc w:val="left"/>
        <w:rPr>
          <w:sz w:val="19"/>
          <w:szCs w:val="19"/>
        </w:rPr>
      </w:pPr>
      <w:r>
        <w:rPr>
          <w:rFonts w:ascii="SimHei" w:eastAsia="SimHei" w:hAnsi="SimHei" w:cs="SimHei"/>
          <w:color w:val="000000"/>
          <w:spacing w:val="0"/>
          <w:w w:val="100"/>
          <w:position w:val="0"/>
          <w:sz w:val="19"/>
          <w:szCs w:val="19"/>
        </w:rPr>
        <w:t>国民技木</w:t>
      </w:r>
      <w:r>
        <w:rPr>
          <w:rFonts w:ascii="SimHei" w:eastAsia="SimHei" w:hAnsi="SimHei" w:cs="SimHei"/>
          <w:color w:val="01408A"/>
          <w:spacing w:val="0"/>
          <w:w w:val="100"/>
          <w:position w:val="0"/>
          <w:sz w:val="19"/>
          <w:szCs w:val="19"/>
        </w:rPr>
        <w:t>▼</w:t>
      </w:r>
    </w:p>
    <w:p>
      <w:pPr>
        <w:pStyle w:val="Style2"/>
        <w:keepNext w:val="0"/>
        <w:keepLines w:val="0"/>
        <w:widowControl w:val="0"/>
        <w:shd w:val="clear" w:color="auto" w:fill="auto"/>
        <w:bidi w:val="0"/>
        <w:spacing w:before="0" w:after="260" w:line="240" w:lineRule="auto"/>
        <w:ind w:left="0" w:right="0" w:firstLine="0"/>
        <w:jc w:val="center"/>
        <w:rPr>
          <w:sz w:val="82"/>
          <w:szCs w:val="82"/>
        </w:rPr>
      </w:pPr>
      <w:r>
        <w:rPr>
          <w:rFonts w:ascii="Verdana" w:eastAsia="Verdana" w:hAnsi="Verdana" w:cs="Verdana"/>
          <w:b/>
          <w:bCs/>
          <w:color w:val="01408A"/>
          <w:spacing w:val="0"/>
          <w:w w:val="100"/>
          <w:position w:val="0"/>
          <w:sz w:val="82"/>
          <w:szCs w:val="82"/>
        </w:rPr>
        <w:t>Nation ©</w:t>
      </w:r>
    </w:p>
    <w:p>
      <w:pPr>
        <w:pStyle w:val="Style2"/>
        <w:keepNext w:val="0"/>
        <w:keepLines w:val="0"/>
        <w:widowControl w:val="0"/>
        <w:shd w:val="clear" w:color="auto" w:fill="auto"/>
        <w:bidi w:val="0"/>
        <w:spacing w:before="0" w:after="0" w:line="600" w:lineRule="exact"/>
        <w:ind w:left="0" w:right="0" w:firstLine="0"/>
        <w:jc w:val="center"/>
        <w:rPr>
          <w:sz w:val="58"/>
          <w:szCs w:val="58"/>
        </w:rPr>
      </w:pPr>
      <w:r>
        <w:rPr>
          <w:rFonts w:ascii="SimHei" w:eastAsia="SimHei" w:hAnsi="SimHei" w:cs="SimHei"/>
          <w:b/>
          <w:bCs/>
          <w:color w:val="000000"/>
          <w:spacing w:val="0"/>
          <w:w w:val="100"/>
          <w:position w:val="0"/>
          <w:sz w:val="58"/>
          <w:szCs w:val="58"/>
          <w:shd w:val="clear" w:color="auto" w:fill="FFFFFF"/>
        </w:rPr>
        <w:t>国民技术股份有限公司</w:t>
      </w:r>
    </w:p>
    <w:p>
      <w:pPr>
        <w:pStyle w:val="Style2"/>
        <w:keepNext w:val="0"/>
        <w:keepLines w:val="0"/>
        <w:widowControl w:val="0"/>
        <w:shd w:val="clear" w:color="auto" w:fill="auto"/>
        <w:bidi w:val="0"/>
        <w:spacing w:before="0" w:after="1280" w:line="600" w:lineRule="exact"/>
        <w:ind w:left="0" w:right="0" w:firstLine="0"/>
        <w:jc w:val="center"/>
        <w:rPr>
          <w:sz w:val="48"/>
          <w:szCs w:val="48"/>
        </w:rPr>
      </w:pPr>
      <w:r>
        <w:rPr>
          <w:rFonts w:ascii="Times New Roman" w:eastAsia="Times New Roman" w:hAnsi="Times New Roman" w:cs="Times New Roman"/>
          <w:b/>
          <w:bCs/>
          <w:color w:val="000000"/>
          <w:spacing w:val="0"/>
          <w:w w:val="100"/>
          <w:position w:val="0"/>
          <w:sz w:val="48"/>
          <w:szCs w:val="48"/>
        </w:rPr>
        <w:t>Nations Technologies Inc.</w:t>
      </w:r>
    </w:p>
    <w:p>
      <w:pPr>
        <w:pStyle w:val="Style2"/>
        <w:keepNext w:val="0"/>
        <w:keepLines w:val="0"/>
        <w:widowControl w:val="0"/>
        <w:shd w:val="clear" w:color="auto" w:fill="auto"/>
        <w:bidi w:val="0"/>
        <w:spacing w:before="0" w:after="740" w:line="240" w:lineRule="auto"/>
        <w:ind w:left="0" w:right="0" w:firstLine="0"/>
        <w:jc w:val="center"/>
        <w:rPr>
          <w:sz w:val="52"/>
          <w:szCs w:val="52"/>
        </w:rPr>
      </w:pPr>
      <w:r>
        <w:rPr>
          <w:rFonts w:ascii="Times New Roman" w:eastAsia="Times New Roman" w:hAnsi="Times New Roman" w:cs="Times New Roman"/>
          <w:b/>
          <w:bCs/>
          <w:color w:val="000000"/>
          <w:spacing w:val="0"/>
          <w:w w:val="100"/>
          <w:position w:val="0"/>
          <w:sz w:val="52"/>
          <w:szCs w:val="52"/>
        </w:rPr>
        <w:t>2020</w:t>
      </w:r>
      <w:r>
        <w:rPr>
          <w:b/>
          <w:bCs/>
          <w:color w:val="000000"/>
          <w:spacing w:val="0"/>
          <w:w w:val="100"/>
          <w:position w:val="0"/>
          <w:sz w:val="52"/>
          <w:szCs w:val="52"/>
        </w:rPr>
        <w:t>年年度报告</w:t>
      </w:r>
    </w:p>
    <w:p>
      <w:pPr>
        <w:pStyle w:val="Style17"/>
        <w:keepNext w:val="0"/>
        <w:keepLines w:val="0"/>
        <w:widowControl w:val="0"/>
        <w:shd w:val="clear" w:color="auto" w:fill="auto"/>
        <w:bidi w:val="0"/>
        <w:spacing w:before="0" w:after="4380" w:line="240" w:lineRule="auto"/>
        <w:ind w:left="0" w:right="0" w:firstLine="0"/>
        <w:jc w:val="center"/>
        <w:rPr>
          <w:sz w:val="24"/>
          <w:szCs w:val="24"/>
        </w:rPr>
      </w:pPr>
      <w:r>
        <w:rPr>
          <w:b w:val="0"/>
          <w:bCs w:val="0"/>
          <w:color w:val="000000"/>
          <w:spacing w:val="0"/>
          <w:w w:val="100"/>
          <w:position w:val="0"/>
          <w:sz w:val="24"/>
          <w:szCs w:val="24"/>
        </w:rPr>
        <w:t>（公告编号：</w:t>
      </w:r>
      <w:r>
        <w:rPr>
          <w:rFonts w:ascii="Times New Roman" w:eastAsia="Times New Roman" w:hAnsi="Times New Roman" w:cs="Times New Roman"/>
          <w:b w:val="0"/>
          <w:bCs w:val="0"/>
          <w:color w:val="000000"/>
          <w:spacing w:val="0"/>
          <w:w w:val="100"/>
          <w:position w:val="0"/>
          <w:sz w:val="24"/>
          <w:szCs w:val="24"/>
        </w:rPr>
        <w:t>2021-016</w:t>
      </w:r>
      <w:r>
        <w:rPr>
          <w:b w:val="0"/>
          <w:bCs w:val="0"/>
          <w:color w:val="000000"/>
          <w:spacing w:val="0"/>
          <w:w w:val="100"/>
          <w:position w:val="0"/>
          <w:sz w:val="24"/>
          <w:szCs w:val="24"/>
        </w:rPr>
        <w:t>）</w:t>
      </w:r>
    </w:p>
    <w:p>
      <w:pPr>
        <w:pStyle w:val="Style17"/>
        <w:keepNext w:val="0"/>
        <w:keepLines w:val="0"/>
        <w:widowControl w:val="0"/>
        <w:shd w:val="clear" w:color="auto" w:fill="auto"/>
        <w:bidi w:val="0"/>
        <w:spacing w:before="0" w:after="0" w:line="240" w:lineRule="auto"/>
        <w:ind w:left="0" w:right="0" w:firstLine="0"/>
        <w:jc w:val="center"/>
        <w:sectPr>
          <w:headerReference w:type="default" r:id="rId5"/>
          <w:headerReference w:type="even" r:id="rId6"/>
          <w:footnotePr>
            <w:pos w:val="pageBottom"/>
            <w:numFmt w:val="decimal"/>
            <w:numRestart w:val="continuous"/>
          </w:footnotePr>
          <w:pgSz w:w="11900" w:h="16840"/>
          <w:pgMar w:top="168" w:right="1071" w:bottom="1" w:left="1052" w:header="0" w:footer="3" w:gutter="0"/>
          <w:pgNumType w:start="1"/>
          <w:cols w:space="720"/>
          <w:noEndnote/>
          <w:rtlGutter w:val="0"/>
          <w:docGrid w:linePitch="360"/>
        </w:sectPr>
      </w:pPr>
      <w:bookmarkStart w:id="0" w:name="bookmark0"/>
      <w:r>
        <w:rPr>
          <w:b w:val="0"/>
          <w:bCs w:val="0"/>
          <w:color w:val="000000"/>
          <w:spacing w:val="0"/>
          <w:w w:val="100"/>
          <w:position w:val="0"/>
        </w:rPr>
        <w:t>二</w:t>
      </w:r>
      <w:bookmarkEnd w:id="0"/>
      <w:r>
        <w:rPr>
          <w:b w:val="0"/>
          <w:bCs w:val="0"/>
          <w:color w:val="000000"/>
          <w:spacing w:val="0"/>
          <w:w w:val="100"/>
          <w:position w:val="0"/>
        </w:rPr>
        <w:t>。二一年四月</w:t>
      </w:r>
    </w:p>
    <w:p>
      <w:pPr>
        <w:pStyle w:val="Style22"/>
        <w:keepNext/>
        <w:keepLines/>
        <w:widowControl w:val="0"/>
        <w:shd w:val="clear" w:color="auto" w:fill="auto"/>
        <w:bidi w:val="0"/>
        <w:spacing w:before="0" w:line="240" w:lineRule="auto"/>
        <w:ind w:left="0" w:right="0" w:firstLine="0"/>
        <w:jc w:val="center"/>
      </w:pPr>
      <w:bookmarkStart w:id="1" w:name="bookmark1"/>
      <w:bookmarkStart w:id="2" w:name="bookmark2"/>
      <w:bookmarkStart w:id="3" w:name="bookmark3"/>
      <w:r>
        <w:rPr>
          <w:color w:val="000000"/>
          <w:spacing w:val="0"/>
          <w:w w:val="100"/>
          <w:position w:val="0"/>
        </w:rPr>
        <w:t>第一节重要提示、目录和释义</w:t>
      </w:r>
      <w:bookmarkEnd w:id="1"/>
      <w:bookmarkEnd w:id="2"/>
      <w:bookmarkEnd w:id="3"/>
    </w:p>
    <w:p>
      <w:pPr>
        <w:pStyle w:val="Style17"/>
        <w:keepNext w:val="0"/>
        <w:keepLines w:val="0"/>
        <w:widowControl w:val="0"/>
        <w:shd w:val="clear" w:color="auto" w:fill="auto"/>
        <w:bidi w:val="0"/>
        <w:spacing w:before="0" w:after="100" w:line="624"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7"/>
        <w:keepNext w:val="0"/>
        <w:keepLines w:val="0"/>
        <w:widowControl w:val="0"/>
        <w:shd w:val="clear" w:color="auto" w:fill="auto"/>
        <w:bidi w:val="0"/>
        <w:spacing w:before="0" w:after="0"/>
        <w:ind w:left="0" w:right="0"/>
        <w:jc w:val="both"/>
      </w:pPr>
      <w:r>
        <w:rPr>
          <w:color w:val="000000"/>
          <w:spacing w:val="0"/>
          <w:w w:val="100"/>
          <w:position w:val="0"/>
        </w:rPr>
        <w:t xml:space="preserve">公司负责人孙迎彤先生、主管会计工作负责人徐辉先生及会计机构负责人 </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余永德先生声明:保证年度报告中财务报告的真实、准确、完整。</w:t>
      </w:r>
    </w:p>
    <w:p>
      <w:pPr>
        <w:pStyle w:val="Style17"/>
        <w:keepNext w:val="0"/>
        <w:keepLines w:val="0"/>
        <w:widowControl w:val="0"/>
        <w:shd w:val="clear" w:color="auto" w:fill="auto"/>
        <w:bidi w:val="0"/>
        <w:spacing w:before="0" w:after="0"/>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after="0"/>
        <w:ind w:left="0" w:right="0"/>
        <w:jc w:val="both"/>
      </w:pPr>
      <w:r>
        <w:rPr>
          <w:color w:val="000000"/>
          <w:spacing w:val="0"/>
          <w:w w:val="100"/>
          <w:position w:val="0"/>
        </w:rPr>
        <w:t>业绩大幅下滑或亏损的风险提示：</w:t>
      </w:r>
    </w:p>
    <w:p>
      <w:pPr>
        <w:pStyle w:val="Style17"/>
        <w:keepNext w:val="0"/>
        <w:keepLines w:val="0"/>
        <w:widowControl w:val="0"/>
        <w:shd w:val="clear" w:color="auto" w:fill="auto"/>
        <w:tabs>
          <w:tab w:pos="1453" w:val="left"/>
        </w:tabs>
        <w:bidi w:val="0"/>
        <w:spacing w:before="0" w:after="0"/>
        <w:ind w:left="0" w:right="0"/>
        <w:jc w:val="both"/>
      </w:pPr>
      <w:bookmarkStart w:id="4" w:name="bookmark4"/>
      <w:r>
        <w:rPr>
          <w:color w:val="000000"/>
          <w:spacing w:val="0"/>
          <w:w w:val="100"/>
          <w:position w:val="0"/>
        </w:rPr>
        <w:t>（</w:t>
      </w:r>
      <w:bookmarkEnd w:id="4"/>
      <w:r>
        <w:rPr>
          <w:color w:val="000000"/>
          <w:spacing w:val="0"/>
          <w:w w:val="100"/>
          <w:position w:val="0"/>
        </w:rPr>
        <w:t>一）</w:t>
        <w:tab/>
        <w:t>业绩下滑具体原因：一是本报告期非经常性损益的金额较上年同期 大幅减少。二是受疫情影响，公司及产业链复工时间延迟，对公司业务正常开 展带来一定负面影响，导致新产品对公司业绩贡献有所延后；三是公司为持续 增强核心竞争力，不断丰富产品线、加快新产品布局，保持了较高的研发投入。 已在本报告第四节“经营情况讨论与分析”之“概述”做了具体描述。</w:t>
      </w:r>
    </w:p>
    <w:p>
      <w:pPr>
        <w:pStyle w:val="Style17"/>
        <w:keepNext w:val="0"/>
        <w:keepLines w:val="0"/>
        <w:widowControl w:val="0"/>
        <w:shd w:val="clear" w:color="auto" w:fill="auto"/>
        <w:tabs>
          <w:tab w:pos="1453" w:val="left"/>
        </w:tabs>
        <w:bidi w:val="0"/>
        <w:spacing w:before="0" w:after="0"/>
        <w:ind w:left="0" w:right="0"/>
        <w:jc w:val="both"/>
      </w:pPr>
      <w:bookmarkStart w:id="5" w:name="bookmark5"/>
      <w:r>
        <w:rPr>
          <w:color w:val="000000"/>
          <w:spacing w:val="0"/>
          <w:w w:val="100"/>
          <w:position w:val="0"/>
        </w:rPr>
        <w:t>（</w:t>
      </w:r>
      <w:bookmarkEnd w:id="5"/>
      <w:r>
        <w:rPr>
          <w:color w:val="000000"/>
          <w:spacing w:val="0"/>
          <w:w w:val="100"/>
          <w:position w:val="0"/>
        </w:rPr>
        <w:t>二）</w:t>
        <w:tab/>
        <w:t>公司的基本面及主营业务、核心竞争力、主要财务指标等均未发生 重大不利变化，与行业趋势一致。</w:t>
      </w:r>
    </w:p>
    <w:p>
      <w:pPr>
        <w:pStyle w:val="Style17"/>
        <w:keepNext w:val="0"/>
        <w:keepLines w:val="0"/>
        <w:widowControl w:val="0"/>
        <w:shd w:val="clear" w:color="auto" w:fill="auto"/>
        <w:tabs>
          <w:tab w:pos="1453" w:val="left"/>
        </w:tabs>
        <w:bidi w:val="0"/>
        <w:spacing w:before="0" w:after="0"/>
        <w:ind w:left="0" w:right="0"/>
        <w:jc w:val="both"/>
      </w:pPr>
      <w:bookmarkStart w:id="6" w:name="bookmark6"/>
      <w:r>
        <w:rPr>
          <w:color w:val="000000"/>
          <w:spacing w:val="0"/>
          <w:w w:val="100"/>
          <w:position w:val="0"/>
        </w:rPr>
        <w:t>（</w:t>
      </w:r>
      <w:bookmarkEnd w:id="6"/>
      <w:r>
        <w:rPr>
          <w:color w:val="000000"/>
          <w:spacing w:val="0"/>
          <w:w w:val="100"/>
          <w:position w:val="0"/>
        </w:rPr>
        <w:t>三）</w:t>
        <w:tab/>
        <w:t>公司所处行业，不存在产能过剩、持续衰退或者技术替代等情况， 持续经营能力不存在重大风险。</w:t>
      </w:r>
    </w:p>
    <w:p>
      <w:pPr>
        <w:pStyle w:val="Style17"/>
        <w:keepNext w:val="0"/>
        <w:keepLines w:val="0"/>
        <w:widowControl w:val="0"/>
        <w:shd w:val="clear" w:color="auto" w:fill="auto"/>
        <w:bidi w:val="0"/>
        <w:spacing w:before="0" w:after="0"/>
        <w:ind w:left="0" w:right="0"/>
        <w:jc w:val="both"/>
      </w:pPr>
      <w:r>
        <w:rPr>
          <w:color w:val="000000"/>
          <w:spacing w:val="0"/>
          <w:w w:val="100"/>
          <w:position w:val="0"/>
        </w:rPr>
        <w:t>本报告涉及的未来计划、发展战略等前瞻性描述不构成公司对投资者的实 质承诺，敬请投资者注意投资风险。</w:t>
      </w:r>
    </w:p>
    <w:p>
      <w:pPr>
        <w:pStyle w:val="Style17"/>
        <w:keepNext w:val="0"/>
        <w:keepLines w:val="0"/>
        <w:widowControl w:val="0"/>
        <w:shd w:val="clear" w:color="auto" w:fill="auto"/>
        <w:bidi w:val="0"/>
        <w:spacing w:before="0" w:after="100"/>
        <w:ind w:left="0" w:right="0"/>
        <w:jc w:val="both"/>
        <w:rPr>
          <w:sz w:val="28"/>
          <w:szCs w:val="28"/>
        </w:rPr>
      </w:pPr>
      <w:r>
        <w:rPr>
          <w:color w:val="000000"/>
          <w:spacing w:val="0"/>
          <w:w w:val="100"/>
          <w:position w:val="0"/>
          <w:sz w:val="26"/>
          <w:szCs w:val="26"/>
        </w:rPr>
        <w:t>公司需遵守《深圳证券交易所创业板行业信息披露指引第</w:t>
      </w:r>
      <w:r>
        <w:rPr>
          <w:rFonts w:ascii="Times New Roman" w:eastAsia="Times New Roman" w:hAnsi="Times New Roman" w:cs="Times New Roman"/>
          <w:color w:val="000000"/>
          <w:spacing w:val="0"/>
          <w:w w:val="100"/>
          <w:position w:val="0"/>
          <w:sz w:val="28"/>
          <w:szCs w:val="28"/>
        </w:rPr>
        <w:t>12</w:t>
      </w:r>
      <w:r>
        <w:rPr>
          <w:color w:val="000000"/>
          <w:spacing w:val="0"/>
          <w:w w:val="100"/>
          <w:position w:val="0"/>
          <w:sz w:val="26"/>
          <w:szCs w:val="26"/>
        </w:rPr>
        <w:t>号一一上市公 司从事集成电路相关业务》及《深圳证券交易所创业板行业信息披露指引第</w:t>
      </w:r>
      <w:r>
        <w:rPr>
          <w:rFonts w:ascii="Times New Roman" w:eastAsia="Times New Roman" w:hAnsi="Times New Roman" w:cs="Times New Roman"/>
          <w:color w:val="000000"/>
          <w:spacing w:val="0"/>
          <w:w w:val="100"/>
          <w:position w:val="0"/>
          <w:sz w:val="28"/>
          <w:szCs w:val="28"/>
        </w:rPr>
        <w:t>13</w:t>
      </w:r>
    </w:p>
    <w:p>
      <w:pPr>
        <w:pStyle w:val="Style28"/>
        <w:keepNext w:val="0"/>
        <w:keepLines w:val="0"/>
        <w:widowControl w:val="0"/>
        <w:shd w:val="clear" w:color="auto" w:fill="auto"/>
        <w:bidi w:val="0"/>
        <w:spacing w:before="0" w:after="100" w:line="240" w:lineRule="auto"/>
        <w:ind w:left="0" w:right="0" w:firstLine="0"/>
        <w:jc w:val="center"/>
        <w:sectPr>
          <w:headerReference w:type="default" r:id="rId7"/>
          <w:headerReference w:type="even" r:id="rId8"/>
          <w:footnotePr>
            <w:pos w:val="pageBottom"/>
            <w:numFmt w:val="decimal"/>
            <w:numRestart w:val="continuous"/>
          </w:footnotePr>
          <w:pgSz w:w="11900" w:h="16840"/>
          <w:pgMar w:top="1959" w:right="1071" w:bottom="994" w:left="1052" w:header="0" w:footer="566" w:gutter="0"/>
          <w:cols w:space="720"/>
          <w:noEndnote/>
          <w:rtlGutter w:val="0"/>
          <w:docGrid w:linePitch="360"/>
        </w:sectPr>
      </w:pPr>
      <w:r>
        <w:rPr>
          <w:color w:val="000000"/>
          <w:spacing w:val="0"/>
          <w:w w:val="100"/>
          <w:position w:val="0"/>
        </w:rPr>
        <w:t>1</w:t>
      </w:r>
    </w:p>
    <w:p>
      <w:pPr>
        <w:pStyle w:val="Style17"/>
        <w:keepNext w:val="0"/>
        <w:keepLines w:val="0"/>
        <w:widowControl w:val="0"/>
        <w:shd w:val="clear" w:color="auto" w:fill="auto"/>
        <w:bidi w:val="0"/>
        <w:spacing w:before="0" w:after="0" w:line="631" w:lineRule="exact"/>
        <w:ind w:left="0" w:right="0" w:firstLine="0"/>
        <w:jc w:val="both"/>
      </w:pPr>
      <w:r>
        <w:rPr>
          <w:color w:val="000000"/>
          <w:spacing w:val="0"/>
          <w:w w:val="100"/>
          <w:position w:val="0"/>
        </w:rPr>
        <w:t>号一一上市公司从事锂离子电池产业链相关业务》的披露要求。</w:t>
      </w:r>
    </w:p>
    <w:p>
      <w:pPr>
        <w:pStyle w:val="Style17"/>
        <w:keepNext w:val="0"/>
        <w:keepLines w:val="0"/>
        <w:widowControl w:val="0"/>
        <w:shd w:val="clear" w:color="auto" w:fill="auto"/>
        <w:bidi w:val="0"/>
        <w:spacing w:before="0" w:after="0" w:line="631" w:lineRule="exact"/>
        <w:ind w:left="0" w:right="0"/>
        <w:jc w:val="both"/>
      </w:pPr>
      <w:r>
        <w:rPr>
          <w:color w:val="000000"/>
          <w:spacing w:val="0"/>
          <w:w w:val="100"/>
          <w:position w:val="0"/>
        </w:rPr>
        <w:t>公司在本报告第四节“经营情况讨论与分析”之“九、公司未来发展的展 望”部分，详细描述了公司经营中可能存在的风险及应对措施，敬请投资者关 注相关内容。</w:t>
      </w:r>
    </w:p>
    <w:p>
      <w:pPr>
        <w:pStyle w:val="Style17"/>
        <w:keepNext w:val="0"/>
        <w:keepLines w:val="0"/>
        <w:widowControl w:val="0"/>
        <w:shd w:val="clear" w:color="auto" w:fill="auto"/>
        <w:bidi w:val="0"/>
        <w:spacing w:before="0" w:after="0" w:line="624" w:lineRule="exact"/>
        <w:ind w:left="0" w:right="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614" w:right="1071" w:bottom="1614" w:left="1066" w:header="0" w:footer="3" w:gutter="0"/>
          <w:pgNumType w:start="2"/>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557,615,000</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股（含税），以资本公积 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w:t>
      </w:r>
    </w:p>
    <w:p>
      <w:pPr>
        <w:widowControl w:val="0"/>
        <w:jc w:val="center"/>
        <w:rPr>
          <w:sz w:val="2"/>
          <w:szCs w:val="2"/>
        </w:rPr>
      </w:pPr>
      <w:r>
        <w:drawing>
          <wp:inline>
            <wp:extent cx="1944370" cy="52451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stretch/>
                  </pic:blipFill>
                  <pic:spPr>
                    <a:xfrm>
                      <a:ext cx="1944370" cy="524510"/>
                    </a:xfrm>
                    <a:prstGeom prst="rect"/>
                  </pic:spPr>
                </pic:pic>
              </a:graphicData>
            </a:graphic>
          </wp:inline>
        </w:drawing>
      </w:r>
    </w:p>
    <w:p>
      <w:pPr>
        <w:widowControl w:val="0"/>
        <w:spacing w:after="3859" w:line="1" w:lineRule="exact"/>
      </w:pPr>
    </w:p>
    <w:p>
      <w:pPr>
        <w:pStyle w:val="Style31"/>
        <w:keepNext w:val="0"/>
        <w:keepLines w:val="0"/>
        <w:widowControl w:val="0"/>
        <w:shd w:val="clear" w:color="auto" w:fill="auto"/>
        <w:tabs>
          <w:tab w:leader="dot" w:pos="9614" w:val="right"/>
        </w:tabs>
        <w:bidi w:val="0"/>
        <w:spacing w:before="0" w:line="240" w:lineRule="auto"/>
        <w:ind w:left="0" w:right="0" w:firstLine="0"/>
        <w:jc w:val="both"/>
        <w:rPr>
          <w:sz w:val="28"/>
          <w:szCs w:val="28"/>
        </w:rPr>
      </w:pPr>
      <w:r>
        <w:fldChar w:fldCharType="begin"/>
        <w:instrText xml:space="preserve"> TOC \o "1-5" \h \z </w:instrText>
        <w:fldChar w:fldCharType="separate"/>
      </w:r>
      <w:hyperlink w:anchor="bookmark2" w:tooltip="Current Document">
        <w:r>
          <w:rPr>
            <w:color w:val="000000"/>
            <w:spacing w:val="0"/>
            <w:w w:val="100"/>
            <w:position w:val="0"/>
            <w:sz w:val="26"/>
            <w:szCs w:val="26"/>
          </w:rPr>
          <w:t>第一节重要提示、目录和释义</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1</w:t>
        </w:r>
      </w:hyperlink>
    </w:p>
    <w:p>
      <w:pPr>
        <w:pStyle w:val="Style31"/>
        <w:keepNext w:val="0"/>
        <w:keepLines w:val="0"/>
        <w:widowControl w:val="0"/>
        <w:shd w:val="clear" w:color="auto" w:fill="auto"/>
        <w:tabs>
          <w:tab w:leader="dot" w:pos="9614" w:val="right"/>
        </w:tabs>
        <w:bidi w:val="0"/>
        <w:spacing w:before="0" w:line="240" w:lineRule="auto"/>
        <w:ind w:left="0" w:right="0" w:firstLine="0"/>
        <w:jc w:val="both"/>
        <w:rPr>
          <w:sz w:val="28"/>
          <w:szCs w:val="28"/>
        </w:rPr>
      </w:pPr>
      <w:hyperlink w:anchor="bookmark8" w:tooltip="Current Document">
        <w:r>
          <w:rPr>
            <w:color w:val="000000"/>
            <w:spacing w:val="0"/>
            <w:w w:val="100"/>
            <w:position w:val="0"/>
            <w:sz w:val="26"/>
            <w:szCs w:val="26"/>
          </w:rPr>
          <w:t>第二节公司简介和主要财务指标</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6</w:t>
        </w:r>
      </w:hyperlink>
    </w:p>
    <w:p>
      <w:pPr>
        <w:pStyle w:val="Style31"/>
        <w:keepNext w:val="0"/>
        <w:keepLines w:val="0"/>
        <w:widowControl w:val="0"/>
        <w:shd w:val="clear" w:color="auto" w:fill="auto"/>
        <w:tabs>
          <w:tab w:leader="dot" w:pos="9614" w:val="right"/>
        </w:tabs>
        <w:bidi w:val="0"/>
        <w:spacing w:before="0" w:line="240" w:lineRule="auto"/>
        <w:ind w:left="0" w:right="0" w:firstLine="0"/>
        <w:jc w:val="both"/>
        <w:rPr>
          <w:sz w:val="28"/>
          <w:szCs w:val="28"/>
        </w:rPr>
      </w:pPr>
      <w:hyperlink w:anchor="bookmark46" w:tooltip="Current Document">
        <w:r>
          <w:rPr>
            <w:color w:val="000000"/>
            <w:spacing w:val="0"/>
            <w:w w:val="100"/>
            <w:position w:val="0"/>
            <w:sz w:val="26"/>
            <w:szCs w:val="26"/>
          </w:rPr>
          <w:t>第三节公司业务概要</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11</w:t>
        </w:r>
      </w:hyperlink>
    </w:p>
    <w:p>
      <w:pPr>
        <w:pStyle w:val="Style31"/>
        <w:keepNext w:val="0"/>
        <w:keepLines w:val="0"/>
        <w:widowControl w:val="0"/>
        <w:shd w:val="clear" w:color="auto" w:fill="auto"/>
        <w:tabs>
          <w:tab w:leader="dot" w:pos="9614" w:val="right"/>
        </w:tabs>
        <w:bidi w:val="0"/>
        <w:spacing w:before="0" w:line="240" w:lineRule="auto"/>
        <w:ind w:left="0" w:right="0" w:firstLine="0"/>
        <w:jc w:val="both"/>
        <w:rPr>
          <w:sz w:val="28"/>
          <w:szCs w:val="28"/>
        </w:rPr>
      </w:pPr>
      <w:hyperlink w:anchor="bookmark94" w:tooltip="Current Document">
        <w:r>
          <w:rPr>
            <w:color w:val="000000"/>
            <w:spacing w:val="0"/>
            <w:w w:val="100"/>
            <w:position w:val="0"/>
            <w:sz w:val="26"/>
            <w:szCs w:val="26"/>
          </w:rPr>
          <w:t>第四节经营情况讨论与分析</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21</w:t>
        </w:r>
      </w:hyperlink>
    </w:p>
    <w:p>
      <w:pPr>
        <w:pStyle w:val="Style31"/>
        <w:keepNext w:val="0"/>
        <w:keepLines w:val="0"/>
        <w:widowControl w:val="0"/>
        <w:shd w:val="clear" w:color="auto" w:fill="auto"/>
        <w:tabs>
          <w:tab w:leader="dot" w:pos="9614" w:val="right"/>
        </w:tabs>
        <w:bidi w:val="0"/>
        <w:spacing w:before="0" w:line="240" w:lineRule="auto"/>
        <w:ind w:left="0" w:right="0" w:firstLine="0"/>
        <w:jc w:val="both"/>
        <w:rPr>
          <w:sz w:val="28"/>
          <w:szCs w:val="28"/>
        </w:rPr>
      </w:pPr>
      <w:hyperlink w:anchor="bookmark286" w:tooltip="Current Document">
        <w:r>
          <w:rPr>
            <w:color w:val="000000"/>
            <w:spacing w:val="0"/>
            <w:w w:val="100"/>
            <w:position w:val="0"/>
            <w:sz w:val="26"/>
            <w:szCs w:val="26"/>
          </w:rPr>
          <w:t>第五节重要事项</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54</w:t>
        </w:r>
      </w:hyperlink>
    </w:p>
    <w:p>
      <w:pPr>
        <w:pStyle w:val="Style31"/>
        <w:keepNext w:val="0"/>
        <w:keepLines w:val="0"/>
        <w:widowControl w:val="0"/>
        <w:shd w:val="clear" w:color="auto" w:fill="auto"/>
        <w:tabs>
          <w:tab w:leader="dot" w:pos="9614" w:val="right"/>
        </w:tabs>
        <w:bidi w:val="0"/>
        <w:spacing w:before="0" w:line="240" w:lineRule="auto"/>
        <w:ind w:left="0" w:right="0" w:firstLine="0"/>
        <w:jc w:val="both"/>
        <w:rPr>
          <w:sz w:val="28"/>
          <w:szCs w:val="28"/>
        </w:rPr>
      </w:pPr>
      <w:hyperlink w:anchor="bookmark431" w:tooltip="Current Document">
        <w:r>
          <w:rPr>
            <w:color w:val="000000"/>
            <w:spacing w:val="0"/>
            <w:w w:val="100"/>
            <w:position w:val="0"/>
            <w:sz w:val="26"/>
            <w:szCs w:val="26"/>
          </w:rPr>
          <w:t>第六节股份变动及股东情况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67</w:t>
        </w:r>
      </w:hyperlink>
    </w:p>
    <w:p>
      <w:pPr>
        <w:pStyle w:val="Style31"/>
        <w:keepNext w:val="0"/>
        <w:keepLines w:val="0"/>
        <w:widowControl w:val="0"/>
        <w:shd w:val="clear" w:color="auto" w:fill="auto"/>
        <w:tabs>
          <w:tab w:leader="dot" w:pos="9614" w:val="right"/>
        </w:tabs>
        <w:bidi w:val="0"/>
        <w:spacing w:before="0" w:line="240" w:lineRule="auto"/>
        <w:ind w:left="0" w:right="0" w:firstLine="0"/>
        <w:jc w:val="both"/>
        <w:rPr>
          <w:sz w:val="28"/>
          <w:szCs w:val="28"/>
        </w:rPr>
      </w:pPr>
      <w:hyperlink w:anchor="bookmark486" w:tooltip="Current Document">
        <w:r>
          <w:rPr>
            <w:color w:val="000000"/>
            <w:spacing w:val="0"/>
            <w:w w:val="100"/>
            <w:position w:val="0"/>
            <w:sz w:val="26"/>
            <w:szCs w:val="26"/>
          </w:rPr>
          <w:t>第七节优先股相关情况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72</w:t>
        </w:r>
      </w:hyperlink>
    </w:p>
    <w:p>
      <w:pPr>
        <w:pStyle w:val="Style31"/>
        <w:keepNext w:val="0"/>
        <w:keepLines w:val="0"/>
        <w:widowControl w:val="0"/>
        <w:shd w:val="clear" w:color="auto" w:fill="auto"/>
        <w:tabs>
          <w:tab w:leader="dot" w:pos="9614" w:val="right"/>
        </w:tabs>
        <w:bidi w:val="0"/>
        <w:spacing w:before="0" w:line="240" w:lineRule="auto"/>
        <w:ind w:left="0" w:right="0" w:firstLine="0"/>
        <w:jc w:val="both"/>
        <w:rPr>
          <w:sz w:val="28"/>
          <w:szCs w:val="28"/>
        </w:rPr>
      </w:pPr>
      <w:hyperlink w:anchor="bookmark489" w:tooltip="Current Document">
        <w:r>
          <w:rPr>
            <w:color w:val="000000"/>
            <w:spacing w:val="0"/>
            <w:w w:val="100"/>
            <w:position w:val="0"/>
            <w:sz w:val="26"/>
            <w:szCs w:val="26"/>
          </w:rPr>
          <w:t>第八节可转换公司债券相关情况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73</w:t>
        </w:r>
      </w:hyperlink>
    </w:p>
    <w:p>
      <w:pPr>
        <w:pStyle w:val="Style31"/>
        <w:keepNext w:val="0"/>
        <w:keepLines w:val="0"/>
        <w:widowControl w:val="0"/>
        <w:shd w:val="clear" w:color="auto" w:fill="auto"/>
        <w:tabs>
          <w:tab w:leader="dot" w:pos="9614" w:val="right"/>
        </w:tabs>
        <w:bidi w:val="0"/>
        <w:spacing w:before="0" w:line="240" w:lineRule="auto"/>
        <w:ind w:left="0" w:right="0" w:firstLine="0"/>
        <w:jc w:val="both"/>
        <w:rPr>
          <w:sz w:val="28"/>
          <w:szCs w:val="28"/>
        </w:rPr>
      </w:pPr>
      <w:hyperlink w:anchor="bookmark492" w:tooltip="Current Document">
        <w:r>
          <w:rPr>
            <w:color w:val="000000"/>
            <w:spacing w:val="0"/>
            <w:w w:val="100"/>
            <w:position w:val="0"/>
            <w:sz w:val="26"/>
            <w:szCs w:val="26"/>
          </w:rPr>
          <w:t>第九节董事、监事、高级管理人员和员工情况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74</w:t>
        </w:r>
      </w:hyperlink>
    </w:p>
    <w:p>
      <w:pPr>
        <w:pStyle w:val="Style31"/>
        <w:keepNext w:val="0"/>
        <w:keepLines w:val="0"/>
        <w:widowControl w:val="0"/>
        <w:shd w:val="clear" w:color="auto" w:fill="auto"/>
        <w:tabs>
          <w:tab w:leader="dot" w:pos="9614" w:val="right"/>
        </w:tabs>
        <w:bidi w:val="0"/>
        <w:spacing w:before="0" w:line="240" w:lineRule="auto"/>
        <w:ind w:left="0" w:right="0" w:firstLine="0"/>
        <w:jc w:val="both"/>
        <w:rPr>
          <w:sz w:val="28"/>
          <w:szCs w:val="28"/>
        </w:rPr>
      </w:pPr>
      <w:hyperlink w:anchor="bookmark534" w:tooltip="Current Document">
        <w:r>
          <w:rPr>
            <w:color w:val="000000"/>
            <w:spacing w:val="0"/>
            <w:w w:val="100"/>
            <w:position w:val="0"/>
            <w:sz w:val="26"/>
            <w:szCs w:val="26"/>
          </w:rPr>
          <w:t>第十节公司治理</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82</w:t>
        </w:r>
      </w:hyperlink>
    </w:p>
    <w:p>
      <w:pPr>
        <w:pStyle w:val="Style31"/>
        <w:keepNext w:val="0"/>
        <w:keepLines w:val="0"/>
        <w:widowControl w:val="0"/>
        <w:shd w:val="clear" w:color="auto" w:fill="auto"/>
        <w:tabs>
          <w:tab w:leader="dot" w:pos="9614" w:val="right"/>
        </w:tabs>
        <w:bidi w:val="0"/>
        <w:spacing w:before="0" w:line="240" w:lineRule="auto"/>
        <w:ind w:left="0" w:right="0" w:firstLine="0"/>
        <w:jc w:val="both"/>
        <w:rPr>
          <w:sz w:val="28"/>
          <w:szCs w:val="28"/>
        </w:rPr>
      </w:pPr>
      <w:hyperlink w:anchor="bookmark630" w:tooltip="Current Document">
        <w:r>
          <w:rPr>
            <w:color w:val="000000"/>
            <w:spacing w:val="0"/>
            <w:w w:val="100"/>
            <w:position w:val="0"/>
            <w:sz w:val="26"/>
            <w:szCs w:val="26"/>
          </w:rPr>
          <w:t>第十一节公司债券相关情况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88</w:t>
        </w:r>
      </w:hyperlink>
    </w:p>
    <w:p>
      <w:pPr>
        <w:pStyle w:val="Style31"/>
        <w:keepNext w:val="0"/>
        <w:keepLines w:val="0"/>
        <w:widowControl w:val="0"/>
        <w:shd w:val="clear" w:color="auto" w:fill="auto"/>
        <w:tabs>
          <w:tab w:leader="dot" w:pos="9614" w:val="right"/>
        </w:tabs>
        <w:bidi w:val="0"/>
        <w:spacing w:before="0" w:line="240" w:lineRule="auto"/>
        <w:ind w:left="0" w:right="0" w:firstLine="0"/>
        <w:jc w:val="both"/>
        <w:rPr>
          <w:sz w:val="28"/>
          <w:szCs w:val="28"/>
        </w:rPr>
      </w:pPr>
      <w:hyperlink w:anchor="bookmark633" w:tooltip="Current Document">
        <w:r>
          <w:rPr>
            <w:color w:val="000000"/>
            <w:spacing w:val="0"/>
            <w:w w:val="100"/>
            <w:position w:val="0"/>
            <w:sz w:val="26"/>
            <w:szCs w:val="26"/>
          </w:rPr>
          <w:t>第十二节财务报告</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89</w:t>
        </w:r>
      </w:hyperlink>
    </w:p>
    <w:p>
      <w:pPr>
        <w:pStyle w:val="Style31"/>
        <w:keepNext w:val="0"/>
        <w:keepLines w:val="0"/>
        <w:widowControl w:val="0"/>
        <w:shd w:val="clear" w:color="auto" w:fill="auto"/>
        <w:tabs>
          <w:tab w:pos="1392" w:val="left"/>
          <w:tab w:leader="dot" w:pos="9614" w:val="right"/>
        </w:tabs>
        <w:bidi w:val="0"/>
        <w:spacing w:before="0" w:line="240" w:lineRule="auto"/>
        <w:ind w:left="0" w:right="0" w:firstLine="0"/>
        <w:jc w:val="both"/>
        <w:rPr>
          <w:sz w:val="28"/>
          <w:szCs w:val="28"/>
        </w:rPr>
      </w:pPr>
      <w:hyperlink w:anchor="bookmark1343" w:tooltip="Current Document">
        <w:r>
          <w:rPr>
            <w:color w:val="000000"/>
            <w:spacing w:val="0"/>
            <w:w w:val="100"/>
            <w:position w:val="0"/>
            <w:sz w:val="26"/>
            <w:szCs w:val="26"/>
          </w:rPr>
          <w:t>第十三节</w:t>
          <w:tab/>
          <w:t>备查文件目录</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221</w:t>
        </w:r>
      </w:hyperlink>
      <w:r>
        <w:br w:type="page"/>
      </w:r>
      <w:r>
        <w:fldChar w:fldCharType="end"/>
      </w:r>
    </w:p>
    <w:p>
      <w:pPr>
        <w:pStyle w:val="Style2"/>
        <w:keepNext w:val="0"/>
        <w:keepLines w:val="0"/>
        <w:widowControl w:val="0"/>
        <w:shd w:val="clear" w:color="auto" w:fill="auto"/>
        <w:bidi w:val="0"/>
        <w:spacing w:before="0" w:after="12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2242"/>
        <w:gridCol w:w="854"/>
        <w:gridCol w:w="6490"/>
      </w:tblGrid>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释义内容</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证监会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中国证券监督管理委员会</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深交所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深圳证券交易所</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国民技术、本公司、公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国民技术股份有限公司</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国民技术股份有限公司股东、股东大会</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董事、董事会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国民技术股份有限公司董事、董事会</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监事、监事会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国民技术股份有限公司监事、监事会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国民科技（深圳）有限公司，原深圳市国民电子商务有限公司，于</w:t>
            </w:r>
            <w:r>
              <w:rPr>
                <w:rFonts w:ascii="Times New Roman" w:eastAsia="Times New Roman" w:hAnsi="Times New Roman" w:cs="Times New Roman"/>
                <w:color w:val="000000"/>
                <w:spacing w:val="0"/>
                <w:w w:val="100"/>
                <w:position w:val="0"/>
                <w:sz w:val="20"/>
                <w:szCs w:val="20"/>
              </w:rPr>
              <w:t xml:space="preserve">2019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月完成更名，系公司全资子公司</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国民投资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深圳前海国民投资管理有限公司，系公司全资子公司</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斯诺实业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深圳市斯诺实业发展有限公司，系公司控股公司</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内蒙斯诺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内蒙古斯诺新材料科技有限公司，系斯诺实业的全资子公司</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华夏芯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华夏芯（北京）通用处理器技术有限公司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国民天成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成都国民天成半导体产业发展有限公司（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日已更名为： 成都国芯天成半导体产业发展有限公司）</w:t>
            </w:r>
          </w:p>
        </w:tc>
      </w:tr>
      <w:tr>
        <w:trPr>
          <w:trHeight w:val="11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IC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5"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Integrated Circuit</w:t>
            </w:r>
            <w:r>
              <w:rPr>
                <w:color w:val="000000"/>
                <w:spacing w:val="0"/>
                <w:w w:val="100"/>
                <w:position w:val="0"/>
                <w:sz w:val="20"/>
                <w:szCs w:val="20"/>
              </w:rPr>
              <w:t>的缩写，即集成电路，是指采用半导体制作工艺，在 一块较小的单晶硅片上制作许多晶体管及电阻器、电容器等元器件，并 按照多层布线或遂道布线的方法将元器件组合成完整的电子电路。</w:t>
            </w:r>
          </w:p>
        </w:tc>
      </w:tr>
      <w:tr>
        <w:trPr>
          <w:trHeight w:val="11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Fabless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20"/>
                <w:szCs w:val="20"/>
              </w:rPr>
              <w:t>无晶圆厂的集成电路企业的经营模式，该种经营模式下企业仅进行芯片 的设计、研发、应用和销售，而将晶圆制造、封装和测试外包给专业的 晶圆代工、封装和测试厂商</w:t>
            </w:r>
          </w:p>
        </w:tc>
      </w:tr>
      <w:tr>
        <w:trPr>
          <w:trHeight w:val="26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封装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20"/>
                <w:szCs w:val="20"/>
              </w:rPr>
              <w:t>把硅片上的电路管脚，用导线接引到外部接头处，以便与其它器件连接。 它不仅起着安装、固定、密封、保护芯片及增强电热性能等方面的作用， 而且还通过芯片上的接点用导线连接到封装外壳的引脚上，这些引脚又 通过印刷电路板上的导线与其他器件相连接，从而实现内部芯片与外部 电路的连接。通过封装使芯片与外界隔离，以防止空气中的杂质对芯片 电路的腐蚀而造成电气性能下降，另一方面，封装后的芯片也更便于安 装和运输。</w:t>
            </w:r>
          </w:p>
        </w:tc>
      </w:tr>
      <w:tr>
        <w:trPr>
          <w:trHeight w:val="117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安全芯片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2" w:lineRule="exact"/>
              <w:ind w:left="0" w:right="0" w:firstLine="0"/>
              <w:jc w:val="left"/>
              <w:rPr>
                <w:sz w:val="20"/>
                <w:szCs w:val="20"/>
              </w:rPr>
            </w:pPr>
            <w:r>
              <w:rPr>
                <w:color w:val="000000"/>
                <w:spacing w:val="0"/>
                <w:w w:val="100"/>
                <w:position w:val="0"/>
                <w:sz w:val="20"/>
                <w:szCs w:val="20"/>
              </w:rPr>
              <w:t>一种可独立进行密钥生成、数字签名、数据加解密的装置，内部拥有独 立的处理器和存储单元，可存储密钥和特征数据，用来提供数据加密和 安全认证服务。</w:t>
            </w:r>
          </w:p>
        </w:tc>
      </w:tr>
    </w:tbl>
    <w:p>
      <w:pPr>
        <w:sectPr>
          <w:footnotePr>
            <w:pos w:val="pageBottom"/>
            <w:numFmt w:val="decimal"/>
            <w:numRestart w:val="continuous"/>
          </w:footnotePr>
          <w:pgSz w:w="11900" w:h="16840"/>
          <w:pgMar w:top="1181" w:right="880" w:bottom="1561" w:left="940" w:header="0" w:footer="3" w:gutter="0"/>
          <w:cols w:space="720"/>
          <w:noEndnote/>
          <w:rtlGutter w:val="0"/>
          <w:docGrid w:linePitch="360"/>
        </w:sectPr>
      </w:pPr>
    </w:p>
    <w:tbl>
      <w:tblPr>
        <w:tblOverlap w:val="never"/>
        <w:jc w:val="center"/>
        <w:tblLayout w:type="fixed"/>
      </w:tblPr>
      <w:tblGrid>
        <w:gridCol w:w="2242"/>
        <w:gridCol w:w="854"/>
        <w:gridCol w:w="6490"/>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SoC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SoC</w:t>
            </w:r>
            <w:r>
              <w:rPr>
                <w:color w:val="000000"/>
                <w:spacing w:val="0"/>
                <w:w w:val="100"/>
                <w:position w:val="0"/>
                <w:sz w:val="20"/>
                <w:szCs w:val="20"/>
              </w:rPr>
              <w:t>称为系统级芯片或片上系统，是一个有专用目标的集成电路</w:t>
            </w:r>
            <w:r>
              <w:rPr>
                <w:color w:val="000000"/>
                <w:spacing w:val="0"/>
                <w:w w:val="100"/>
                <w:position w:val="0"/>
                <w:sz w:val="20"/>
                <w:szCs w:val="20"/>
              </w:rPr>
              <w:t>，</w:t>
            </w:r>
            <w:r>
              <w:rPr>
                <w:color w:val="000000"/>
                <w:spacing w:val="0"/>
                <w:w w:val="100"/>
                <w:position w:val="0"/>
                <w:sz w:val="20"/>
                <w:szCs w:val="20"/>
              </w:rPr>
              <w:t>其中 包含完整系统并有嵌入软件的全部内容。</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USBKEY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一种</w:t>
            </w:r>
            <w:r>
              <w:rPr>
                <w:rFonts w:ascii="Times New Roman" w:eastAsia="Times New Roman" w:hAnsi="Times New Roman" w:cs="Times New Roman"/>
                <w:color w:val="000000"/>
                <w:spacing w:val="0"/>
                <w:w w:val="100"/>
                <w:position w:val="0"/>
                <w:sz w:val="20"/>
                <w:szCs w:val="20"/>
              </w:rPr>
              <w:t>USB</w:t>
            </w:r>
            <w:r>
              <w:rPr>
                <w:color w:val="000000"/>
                <w:spacing w:val="0"/>
                <w:w w:val="100"/>
                <w:position w:val="0"/>
                <w:sz w:val="20"/>
                <w:szCs w:val="20"/>
              </w:rPr>
              <w:t>接口的硬件设备，内置安全芯片，可安全存储用户密钥或数 字证书，利用内置的密码算法实现对用户身份的认证，并实现数据加解 密等功能。</w:t>
            </w:r>
          </w:p>
        </w:tc>
      </w:tr>
      <w:tr>
        <w:trPr>
          <w:trHeight w:val="11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移动支付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58" w:lineRule="exact"/>
              <w:ind w:left="0" w:right="0" w:firstLine="0"/>
              <w:jc w:val="both"/>
              <w:rPr>
                <w:sz w:val="20"/>
                <w:szCs w:val="20"/>
              </w:rPr>
            </w:pPr>
            <w:r>
              <w:rPr>
                <w:color w:val="000000"/>
                <w:spacing w:val="0"/>
                <w:w w:val="100"/>
                <w:position w:val="0"/>
                <w:sz w:val="20"/>
                <w:szCs w:val="20"/>
              </w:rPr>
              <w:t>一种利用手机等移动终端实现移动电子商务的技术，通过改造移动终端 或其内部</w:t>
            </w:r>
            <w:r>
              <w:rPr>
                <w:rFonts w:ascii="Times New Roman" w:eastAsia="Times New Roman" w:hAnsi="Times New Roman" w:cs="Times New Roman"/>
                <w:color w:val="000000"/>
                <w:spacing w:val="0"/>
                <w:w w:val="100"/>
                <w:position w:val="0"/>
                <w:sz w:val="20"/>
                <w:szCs w:val="20"/>
              </w:rPr>
              <w:t>SIM</w:t>
            </w:r>
            <w:r>
              <w:rPr>
                <w:color w:val="000000"/>
                <w:spacing w:val="0"/>
                <w:w w:val="100"/>
                <w:position w:val="0"/>
                <w:sz w:val="20"/>
                <w:szCs w:val="20"/>
              </w:rPr>
              <w:t>卡等用户识别模块，与读卡器装置进行近距离通讯实现 离线支付，或利用手机网络实现在线交易以及动态业务下载。</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RCC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Range Controlled Communications</w:t>
            </w:r>
            <w:r>
              <w:rPr>
                <w:color w:val="000000"/>
                <w:spacing w:val="0"/>
                <w:w w:val="100"/>
                <w:position w:val="0"/>
                <w:sz w:val="20"/>
                <w:szCs w:val="20"/>
              </w:rPr>
              <w:t>的缩写，即限域通信，一种多距离范 围的受控通信技术。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MCU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MCU(Micro Control Unit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中文名称为微控制器，是指将</w:t>
            </w:r>
            <w:r>
              <w:rPr>
                <w:rFonts w:ascii="Times New Roman" w:eastAsia="Times New Roman" w:hAnsi="Times New Roman" w:cs="Times New Roman"/>
                <w:color w:val="000000"/>
                <w:spacing w:val="0"/>
                <w:w w:val="100"/>
                <w:position w:val="0"/>
                <w:sz w:val="20"/>
                <w:szCs w:val="20"/>
              </w:rPr>
              <w:t>CPU</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RAM</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ROM</w:t>
            </w:r>
            <w:r>
              <w:rPr>
                <w:color w:val="000000"/>
                <w:spacing w:val="0"/>
                <w:w w:val="100"/>
                <w:position w:val="0"/>
                <w:sz w:val="20"/>
                <w:szCs w:val="20"/>
              </w:rPr>
              <w:t>、</w:t>
            </w:r>
            <w:r>
              <w:rPr>
                <w:color w:val="000000"/>
                <w:spacing w:val="0"/>
                <w:w w:val="100"/>
                <w:position w:val="0"/>
                <w:sz w:val="20"/>
                <w:szCs w:val="20"/>
              </w:rPr>
              <w:t>定时计数器和多种</w:t>
            </w:r>
            <w:r>
              <w:rPr>
                <w:rFonts w:ascii="Times New Roman" w:eastAsia="Times New Roman" w:hAnsi="Times New Roman" w:cs="Times New Roman"/>
                <w:color w:val="000000"/>
                <w:spacing w:val="0"/>
                <w:w w:val="100"/>
                <w:position w:val="0"/>
                <w:sz w:val="20"/>
                <w:szCs w:val="20"/>
              </w:rPr>
              <w:t>I/O</w:t>
            </w:r>
            <w:r>
              <w:rPr>
                <w:color w:val="000000"/>
                <w:spacing w:val="0"/>
                <w:w w:val="100"/>
                <w:position w:val="0"/>
                <w:sz w:val="20"/>
                <w:szCs w:val="20"/>
              </w:rPr>
              <w:t>接口集</w:t>
            </w:r>
            <w:r>
              <w:rPr>
                <w:color w:val="000000"/>
                <w:spacing w:val="0"/>
                <w:w w:val="100"/>
                <w:position w:val="0"/>
                <w:sz w:val="20"/>
                <w:szCs w:val="20"/>
              </w:rPr>
              <w:t>成在一片芯片上，形成芯片级的 处理器。</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国民技术</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股股票</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《公司章程》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《国民技术股份有限公司章程》</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上年同期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人民币元、人民币万元</w:t>
            </w:r>
          </w:p>
        </w:tc>
      </w:tr>
      <w:tr>
        <w:trPr>
          <w:trHeight w:val="4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巨潮资讯网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533" w:val="left"/>
              </w:tabs>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http</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//www.cninfo.com</w:t>
            </w:r>
            <w:r>
              <w:rPr>
                <w:rFonts w:ascii="Times New Roman" w:eastAsia="Times New Roman" w:hAnsi="Times New Roman" w:cs="Times New Roman"/>
                <w:color w:val="000000"/>
                <w:spacing w:val="0"/>
                <w:w w:val="100"/>
                <w:position w:val="0"/>
                <w:sz w:val="20"/>
                <w:szCs w:val="20"/>
              </w:rPr>
              <w:t xml:space="preserve"> .cn</w:t>
            </w:r>
          </w:p>
        </w:tc>
      </w:tr>
    </w:tbl>
    <w:p>
      <w:pPr>
        <w:spacing w:lineRule="exact" w:line="1"/>
        <w:rPr>
          <w:sz w:val="2"/>
          <w:szCs w:val="2"/>
        </w:rPr>
      </w:pPr>
      <w:r>
        <w:br w:type="page"/>
      </w:r>
    </w:p>
    <w:p>
      <w:pPr>
        <w:pStyle w:val="Style22"/>
        <w:keepNext/>
        <w:keepLines/>
        <w:widowControl w:val="0"/>
        <w:shd w:val="clear" w:color="auto" w:fill="auto"/>
        <w:bidi w:val="0"/>
        <w:spacing w:before="0" w:after="54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38"/>
        <w:keepNext w:val="0"/>
        <w:keepLines w:val="0"/>
        <w:widowControl w:val="0"/>
        <w:shd w:val="clear" w:color="auto" w:fill="auto"/>
        <w:bidi w:val="0"/>
        <w:spacing w:before="0" w:after="0" w:line="240" w:lineRule="auto"/>
        <w:ind w:left="245" w:right="0" w:firstLine="0"/>
        <w:jc w:val="left"/>
      </w:pPr>
      <w:bookmarkStart w:id="10" w:name="bookmark10"/>
      <w:r>
        <w:rPr>
          <w:b/>
          <w:bCs/>
          <w:color w:val="000000"/>
          <w:spacing w:val="0"/>
          <w:w w:val="100"/>
          <w:position w:val="0"/>
        </w:rPr>
        <w:t>、公司信息</w:t>
      </w:r>
      <w:bookmarkEnd w:id="10"/>
    </w:p>
    <w:tbl>
      <w:tblPr>
        <w:tblOverlap w:val="never"/>
        <w:jc w:val="center"/>
        <w:tblLayout w:type="fixed"/>
      </w:tblPr>
      <w:tblGrid>
        <w:gridCol w:w="2270"/>
        <w:gridCol w:w="2966"/>
        <w:gridCol w:w="2160"/>
        <w:gridCol w:w="2256"/>
      </w:tblGrid>
      <w:tr>
        <w:trPr>
          <w:trHeight w:val="4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国民技术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300077</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国民技术股份有限公司</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国民技术</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Nations Technologies Inc.</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公司的外文名称缩写</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Nations</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孙迎彤</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深圳市南山区西丽街道松坪山社区宝深路</w:t>
            </w:r>
            <w:r>
              <w:rPr>
                <w:rFonts w:ascii="Times New Roman" w:eastAsia="Times New Roman" w:hAnsi="Times New Roman" w:cs="Times New Roman"/>
                <w:color w:val="000000"/>
                <w:spacing w:val="0"/>
                <w:w w:val="100"/>
                <w:position w:val="0"/>
                <w:sz w:val="22"/>
                <w:szCs w:val="22"/>
              </w:rPr>
              <w:t>109</w:t>
            </w:r>
            <w:r>
              <w:rPr>
                <w:color w:val="000000"/>
                <w:spacing w:val="0"/>
                <w:w w:val="100"/>
                <w:position w:val="0"/>
                <w:sz w:val="20"/>
                <w:szCs w:val="20"/>
              </w:rPr>
              <w:t>号国民技术大厦</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楼</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518057</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深圳市南山区西丽街道松坪山社区宝深路</w:t>
            </w:r>
            <w:r>
              <w:rPr>
                <w:rFonts w:ascii="Times New Roman" w:eastAsia="Times New Roman" w:hAnsi="Times New Roman" w:cs="Times New Roman"/>
                <w:color w:val="000000"/>
                <w:spacing w:val="0"/>
                <w:w w:val="100"/>
                <w:position w:val="0"/>
                <w:sz w:val="22"/>
                <w:szCs w:val="22"/>
              </w:rPr>
              <w:t>109</w:t>
            </w:r>
            <w:r>
              <w:rPr>
                <w:color w:val="000000"/>
                <w:spacing w:val="0"/>
                <w:w w:val="100"/>
                <w:position w:val="0"/>
                <w:sz w:val="20"/>
                <w:szCs w:val="20"/>
              </w:rPr>
              <w:t>号国民技术大厦</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518057</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"http://www.nationstech.com" </w:instrText>
            </w:r>
            <w:r>
              <w:fldChar w:fldCharType="separate"/>
            </w:r>
            <w:r>
              <w:rPr>
                <w:rFonts w:ascii="Times New Roman" w:eastAsia="Times New Roman" w:hAnsi="Times New Roman" w:cs="Times New Roman"/>
                <w:color w:val="000000"/>
                <w:spacing w:val="0"/>
                <w:w w:val="100"/>
                <w:position w:val="0"/>
              </w:rPr>
              <w:t>www.nationstech.com</w:t>
            </w:r>
            <w:r>
              <w:fldChar w:fldCharType="end"/>
            </w: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"mailto:info@nationstech.com" </w:instrText>
            </w:r>
            <w:r>
              <w:fldChar w:fldCharType="separate"/>
            </w:r>
            <w:r>
              <w:rPr>
                <w:rFonts w:ascii="Times New Roman" w:eastAsia="Times New Roman" w:hAnsi="Times New Roman" w:cs="Times New Roman"/>
                <w:color w:val="000000"/>
                <w:spacing w:val="0"/>
                <w:w w:val="100"/>
                <w:position w:val="0"/>
              </w:rPr>
              <w:t>info@nationstech.com</w:t>
            </w:r>
            <w:r>
              <w:fldChar w:fldCharType="end"/>
            </w:r>
          </w:p>
        </w:tc>
      </w:tr>
    </w:tbl>
    <w:p>
      <w:pPr>
        <w:widowControl w:val="0"/>
        <w:spacing w:after="299" w:line="1" w:lineRule="exact"/>
      </w:pPr>
    </w:p>
    <w:p>
      <w:pPr>
        <w:pStyle w:val="Style38"/>
        <w:keepNext w:val="0"/>
        <w:keepLines w:val="0"/>
        <w:widowControl w:val="0"/>
        <w:shd w:val="clear" w:color="auto" w:fill="auto"/>
        <w:bidi w:val="0"/>
        <w:spacing w:before="0" w:after="0" w:line="240" w:lineRule="auto"/>
        <w:ind w:left="245" w:right="0" w:firstLine="0"/>
        <w:jc w:val="left"/>
      </w:pPr>
      <w:bookmarkStart w:id="11" w:name="bookmark11"/>
      <w:r>
        <w:rPr>
          <w:b/>
          <w:bCs/>
          <w:color w:val="000000"/>
          <w:spacing w:val="0"/>
          <w:w w:val="100"/>
          <w:position w:val="0"/>
        </w:rPr>
        <w:t>、联系人和联系方式</w:t>
      </w:r>
      <w:bookmarkEnd w:id="11"/>
    </w:p>
    <w:tbl>
      <w:tblPr>
        <w:tblOverlap w:val="never"/>
        <w:jc w:val="center"/>
        <w:tblLayout w:type="fixed"/>
      </w:tblPr>
      <w:tblGrid>
        <w:gridCol w:w="2837"/>
        <w:gridCol w:w="3370"/>
        <w:gridCol w:w="3374"/>
      </w:tblGrid>
      <w:tr>
        <w:trPr>
          <w:trHeight w:val="46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证券事务代表</w:t>
            </w:r>
          </w:p>
        </w:tc>
      </w:tr>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叶艳桃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欧弘妍</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联系地址</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深圳市南山区高新北区宝深路</w:t>
            </w:r>
            <w:r>
              <w:rPr>
                <w:rFonts w:ascii="Times New Roman" w:eastAsia="Times New Roman" w:hAnsi="Times New Roman" w:cs="Times New Roman"/>
                <w:color w:val="000000"/>
                <w:spacing w:val="0"/>
                <w:w w:val="100"/>
                <w:position w:val="0"/>
                <w:sz w:val="22"/>
                <w:szCs w:val="22"/>
              </w:rPr>
              <w:t>109</w:t>
            </w:r>
            <w:r>
              <w:rPr>
                <w:color w:val="000000"/>
                <w:spacing w:val="0"/>
                <w:w w:val="100"/>
                <w:position w:val="0"/>
                <w:sz w:val="20"/>
                <w:szCs w:val="20"/>
              </w:rPr>
              <w:t>号国民技术大厦</w:t>
            </w:r>
            <w:r>
              <w:rPr>
                <w:rFonts w:ascii="Times New Roman" w:eastAsia="Times New Roman" w:hAnsi="Times New Roman" w:cs="Times New Roman"/>
                <w:color w:val="000000"/>
                <w:spacing w:val="0"/>
                <w:w w:val="100"/>
                <w:position w:val="0"/>
                <w:sz w:val="22"/>
                <w:szCs w:val="22"/>
              </w:rPr>
              <w:t>21</w:t>
            </w:r>
            <w:r>
              <w:rPr>
                <w:color w:val="000000"/>
                <w:spacing w:val="0"/>
                <w:w w:val="100"/>
                <w:position w:val="0"/>
                <w:sz w:val="20"/>
                <w:szCs w:val="20"/>
              </w:rPr>
              <w:t>层</w:t>
            </w:r>
          </w:p>
        </w:tc>
      </w:tr>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0755-86916692</w:t>
            </w:r>
          </w:p>
        </w:tc>
      </w:tr>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0755-86916692</w:t>
            </w:r>
          </w:p>
        </w:tc>
      </w:tr>
      <w:tr>
        <w:trPr>
          <w:trHeight w:val="4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"mailto:investors@nationstech.com" </w:instrText>
            </w:r>
            <w:r>
              <w:fldChar w:fldCharType="separate"/>
            </w:r>
            <w:r>
              <w:rPr>
                <w:rFonts w:ascii="Times New Roman" w:eastAsia="Times New Roman" w:hAnsi="Times New Roman" w:cs="Times New Roman"/>
                <w:color w:val="000000"/>
                <w:spacing w:val="0"/>
                <w:w w:val="100"/>
                <w:position w:val="0"/>
              </w:rPr>
              <w:t>investors@nationstech.com</w:t>
            </w:r>
            <w:r>
              <w:fldChar w:fldCharType="end"/>
            </w:r>
          </w:p>
        </w:tc>
      </w:tr>
    </w:tbl>
    <w:p>
      <w:pPr>
        <w:widowControl w:val="0"/>
        <w:spacing w:after="299" w:line="1" w:lineRule="exact"/>
      </w:pPr>
    </w:p>
    <w:p>
      <w:pPr>
        <w:pStyle w:val="Style38"/>
        <w:keepNext w:val="0"/>
        <w:keepLines w:val="0"/>
        <w:widowControl w:val="0"/>
        <w:shd w:val="clear" w:color="auto" w:fill="auto"/>
        <w:bidi w:val="0"/>
        <w:spacing w:before="0" w:after="0" w:line="240" w:lineRule="auto"/>
        <w:ind w:left="178" w:right="0" w:firstLine="0"/>
        <w:jc w:val="left"/>
      </w:pPr>
      <w:bookmarkStart w:id="12" w:name="bookmark12"/>
      <w:r>
        <w:rPr>
          <w:b/>
          <w:bCs/>
          <w:color w:val="000000"/>
          <w:spacing w:val="0"/>
          <w:w w:val="100"/>
          <w:position w:val="0"/>
        </w:rPr>
        <w:t>三、信息披露及备置地点</w:t>
      </w:r>
      <w:bookmarkEnd w:id="12"/>
    </w:p>
    <w:tbl>
      <w:tblPr>
        <w:tblOverlap w:val="never"/>
        <w:jc w:val="center"/>
        <w:tblLayout w:type="fixed"/>
      </w:tblPr>
      <w:tblGrid>
        <w:gridCol w:w="4118"/>
        <w:gridCol w:w="5678"/>
      </w:tblGrid>
      <w:tr>
        <w:trPr>
          <w:trHeight w:val="52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《证券时报》、《中国证券报》、《证券日报》、《上海证券报》</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登载年度报告的中国证监会指定网站的网 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巨潮资讯网</w:t>
            </w:r>
            <w:r>
              <w:fldChar w:fldCharType="begin"/>
            </w:r>
            <w:r>
              <w:rPr/>
              <w:instrText> HYPERLINK "http://www.cninfo.com.cn/" </w:instrText>
            </w:r>
            <w:r>
              <w:fldChar w:fldCharType="separate"/>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rPr>
              <w:t>www.cninfb.com.cn</w:t>
            </w:r>
            <w:r>
              <w:fldChar w:fldCharType="end"/>
            </w:r>
          </w:p>
        </w:tc>
      </w:tr>
      <w:tr>
        <w:trPr>
          <w:trHeight w:val="53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国民技术股份有限公司证券事务部</w:t>
            </w:r>
          </w:p>
        </w:tc>
      </w:tr>
    </w:tbl>
    <w:p>
      <w:pPr>
        <w:spacing w:lineRule="exact" w:line="1"/>
        <w:rPr>
          <w:sz w:val="2"/>
          <w:szCs w:val="2"/>
        </w:rPr>
      </w:pPr>
      <w:r>
        <w:br w:type="page"/>
      </w:r>
    </w:p>
    <w:p>
      <w:pPr>
        <w:pStyle w:val="Style42"/>
        <w:keepNext/>
        <w:keepLines/>
        <w:widowControl w:val="0"/>
        <w:shd w:val="clear" w:color="auto" w:fill="auto"/>
        <w:bidi w:val="0"/>
        <w:spacing w:before="0" w:after="360" w:line="240" w:lineRule="auto"/>
        <w:ind w:left="0" w:right="0"/>
        <w:jc w:val="left"/>
      </w:pPr>
      <w:bookmarkStart w:id="13" w:name="bookmark13"/>
      <w:bookmarkStart w:id="14" w:name="bookmark14"/>
      <w:bookmarkStart w:id="15" w:name="bookmark15"/>
      <w:bookmarkStart w:id="16" w:name="bookmark16"/>
      <w:r>
        <w:rPr>
          <w:color w:val="000000"/>
          <w:spacing w:val="0"/>
          <w:w w:val="100"/>
          <w:position w:val="0"/>
        </w:rPr>
        <w:t>四</w:t>
      </w:r>
      <w:bookmarkEnd w:id="15"/>
      <w:r>
        <w:rPr>
          <w:color w:val="000000"/>
          <w:spacing w:val="0"/>
          <w:w w:val="100"/>
          <w:position w:val="0"/>
        </w:rPr>
        <w:t>、其他有关资料</w:t>
      </w:r>
      <w:bookmarkEnd w:id="13"/>
      <w:bookmarkEnd w:id="14"/>
      <w:bookmarkEnd w:id="16"/>
    </w:p>
    <w:p>
      <w:pPr>
        <w:pStyle w:val="Style44"/>
        <w:keepNext w:val="0"/>
        <w:keepLines w:val="0"/>
        <w:widowControl w:val="0"/>
        <w:shd w:val="clear" w:color="auto" w:fill="auto"/>
        <w:bidi w:val="0"/>
        <w:spacing w:before="0" w:after="60" w:line="240" w:lineRule="auto"/>
        <w:ind w:left="0" w:right="0" w:firstLine="200"/>
        <w:jc w:val="left"/>
        <w:rPr>
          <w:sz w:val="20"/>
          <w:szCs w:val="20"/>
        </w:rPr>
      </w:pPr>
      <w:r>
        <w:rPr>
          <w:color w:val="000000"/>
          <w:spacing w:val="0"/>
          <w:w w:val="100"/>
          <w:position w:val="0"/>
          <w:sz w:val="20"/>
          <w:szCs w:val="20"/>
        </w:rPr>
        <w:t>公司聘请的会计师事务所</w:t>
      </w:r>
    </w:p>
    <w:tbl>
      <w:tblPr>
        <w:tblOverlap w:val="never"/>
        <w:jc w:val="center"/>
        <w:tblLayout w:type="fixed"/>
      </w:tblPr>
      <w:tblGrid>
        <w:gridCol w:w="2664"/>
        <w:gridCol w:w="6917"/>
      </w:tblGrid>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中兴财光华会计师事务所（特殊普通合伙）</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北京市西城区阜成门外大街</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号万通金融中心</w:t>
            </w:r>
            <w:r>
              <w:rPr>
                <w:rFonts w:ascii="Times New Roman" w:eastAsia="Times New Roman" w:hAnsi="Times New Roman" w:cs="Times New Roman"/>
                <w:color w:val="000000"/>
                <w:spacing w:val="0"/>
                <w:w w:val="100"/>
                <w:position w:val="0"/>
                <w:sz w:val="22"/>
                <w:szCs w:val="22"/>
              </w:rPr>
              <w:t>A</w:t>
            </w:r>
            <w:r>
              <w:rPr>
                <w:color w:val="000000"/>
                <w:spacing w:val="0"/>
                <w:w w:val="100"/>
                <w:position w:val="0"/>
                <w:sz w:val="20"/>
                <w:szCs w:val="20"/>
              </w:rPr>
              <w:t>座</w:t>
            </w:r>
            <w:r>
              <w:rPr>
                <w:rFonts w:ascii="Times New Roman" w:eastAsia="Times New Roman" w:hAnsi="Times New Roman" w:cs="Times New Roman"/>
                <w:color w:val="000000"/>
                <w:spacing w:val="0"/>
                <w:w w:val="100"/>
                <w:position w:val="0"/>
                <w:sz w:val="22"/>
                <w:szCs w:val="22"/>
              </w:rPr>
              <w:t>24</w:t>
            </w:r>
            <w:r>
              <w:rPr>
                <w:color w:val="000000"/>
                <w:spacing w:val="0"/>
                <w:w w:val="100"/>
                <w:position w:val="0"/>
                <w:sz w:val="20"/>
                <w:szCs w:val="20"/>
              </w:rPr>
              <w:t>层</w:t>
            </w:r>
          </w:p>
        </w:tc>
      </w:tr>
      <w:tr>
        <w:trPr>
          <w:trHeight w:val="53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王焕军、马福珠</w:t>
            </w:r>
          </w:p>
        </w:tc>
      </w:tr>
    </w:tbl>
    <w:p>
      <w:pPr>
        <w:widowControl w:val="0"/>
        <w:spacing w:after="139" w:line="1" w:lineRule="exact"/>
      </w:pPr>
    </w:p>
    <w:p>
      <w:pPr>
        <w:pStyle w:val="Style44"/>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公司聘请的报告期内履行持续督导职责的保荐机构</w:t>
      </w:r>
    </w:p>
    <w:p>
      <w:pPr>
        <w:pStyle w:val="Style44"/>
        <w:keepNext w:val="0"/>
        <w:keepLines w:val="0"/>
        <w:widowControl w:val="0"/>
        <w:shd w:val="clear" w:color="auto" w:fill="auto"/>
        <w:bidi w:val="0"/>
        <w:spacing w:before="0" w:after="420" w:line="240" w:lineRule="auto"/>
        <w:ind w:left="0" w:right="0" w:firstLine="200"/>
        <w:jc w:val="left"/>
      </w:pPr>
      <w:r>
        <w:rPr>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4"/>
        <w:keepNext w:val="0"/>
        <w:keepLines w:val="0"/>
        <w:widowControl w:val="0"/>
        <w:shd w:val="clear" w:color="auto" w:fill="auto"/>
        <w:bidi w:val="0"/>
        <w:spacing w:before="0" w:after="140" w:line="360" w:lineRule="exact"/>
        <w:ind w:left="0" w:right="0" w:firstLine="200"/>
        <w:jc w:val="left"/>
      </w:pPr>
      <w:r>
        <w:rPr>
          <w:color w:val="000000"/>
          <w:spacing w:val="0"/>
          <w:w w:val="100"/>
          <w:position w:val="0"/>
        </w:rPr>
        <w:t>公司聘请的报告期内履行持续督导职责的财务顾问</w:t>
      </w:r>
    </w:p>
    <w:p>
      <w:pPr>
        <w:pStyle w:val="Style44"/>
        <w:keepNext w:val="0"/>
        <w:keepLines w:val="0"/>
        <w:widowControl w:val="0"/>
        <w:shd w:val="clear" w:color="auto" w:fill="auto"/>
        <w:bidi w:val="0"/>
        <w:spacing w:before="0" w:after="140" w:line="343" w:lineRule="auto"/>
        <w:ind w:left="0" w:right="0" w:firstLine="2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2"/>
        <w:keepNext/>
        <w:keepLines/>
        <w:widowControl w:val="0"/>
        <w:shd w:val="clear" w:color="auto" w:fill="auto"/>
        <w:bidi w:val="0"/>
        <w:spacing w:before="0" w:after="360" w:line="360" w:lineRule="exact"/>
        <w:ind w:left="0" w:right="0"/>
        <w:jc w:val="left"/>
      </w:pPr>
      <w:bookmarkStart w:id="17" w:name="bookmark17"/>
      <w:bookmarkStart w:id="18" w:name="bookmark18"/>
      <w:bookmarkStart w:id="19" w:name="bookmark19"/>
      <w:bookmarkStart w:id="20" w:name="bookmark20"/>
      <w:r>
        <w:rPr>
          <w:color w:val="000000"/>
          <w:spacing w:val="0"/>
          <w:w w:val="100"/>
          <w:position w:val="0"/>
        </w:rPr>
        <w:t>五</w:t>
      </w:r>
      <w:bookmarkEnd w:id="19"/>
      <w:r>
        <w:rPr>
          <w:color w:val="000000"/>
          <w:spacing w:val="0"/>
          <w:w w:val="100"/>
          <w:position w:val="0"/>
        </w:rPr>
        <w:t>、主要会计数据和财务指标</w:t>
      </w:r>
      <w:bookmarkEnd w:id="17"/>
      <w:bookmarkEnd w:id="18"/>
      <w:bookmarkEnd w:id="20"/>
    </w:p>
    <w:p>
      <w:pPr>
        <w:pStyle w:val="Style38"/>
        <w:keepNext w:val="0"/>
        <w:keepLines w:val="0"/>
        <w:widowControl w:val="0"/>
        <w:shd w:val="clear" w:color="auto" w:fill="auto"/>
        <w:bidi w:val="0"/>
        <w:spacing w:before="0" w:after="0" w:line="360" w:lineRule="exact"/>
        <w:ind w:left="187" w:right="0" w:firstLine="0"/>
        <w:jc w:val="left"/>
      </w:pPr>
      <w:r>
        <w:rPr>
          <w:color w:val="000000"/>
          <w:spacing w:val="0"/>
          <w:w w:val="100"/>
          <w:position w:val="0"/>
          <w:sz w:val="20"/>
          <w:szCs w:val="20"/>
        </w:rPr>
        <w:t xml:space="preserve">公司是否因会计政策变更及会计差错更正等追溯调整或重述以前年度会计数据 </w:t>
      </w:r>
      <w:r>
        <w:rPr>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tbl>
      <w:tblPr>
        <w:tblOverlap w:val="never"/>
        <w:jc w:val="center"/>
        <w:tblLayout w:type="fixed"/>
      </w:tblPr>
      <w:tblGrid>
        <w:gridCol w:w="2693"/>
        <w:gridCol w:w="1718"/>
        <w:gridCol w:w="1987"/>
        <w:gridCol w:w="1699"/>
        <w:gridCol w:w="1814"/>
      </w:tblGrid>
      <w:tr>
        <w:trPr>
          <w:trHeight w:val="52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 xml:space="preserve">2019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2"/>
                <w:szCs w:val="22"/>
              </w:rPr>
              <w:t xml:space="preserve">2018 </w:t>
            </w:r>
            <w:r>
              <w:rPr>
                <w:color w:val="000000"/>
                <w:spacing w:val="0"/>
                <w:w w:val="100"/>
                <w:position w:val="0"/>
                <w:sz w:val="20"/>
                <w:szCs w:val="20"/>
              </w:rPr>
              <w:t>年</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379,707,203.30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394,733,173.32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602,059,726.51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归属于上市公司股东的净 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11,234,770.54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103,920,641.64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-1,614,259,415.68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2" w:lineRule="exact"/>
              <w:ind w:left="0" w:right="0" w:firstLine="0"/>
              <w:jc w:val="left"/>
              <w:rPr>
                <w:sz w:val="20"/>
                <w:szCs w:val="20"/>
              </w:rPr>
            </w:pPr>
            <w:r>
              <w:rPr>
                <w:color w:val="000000"/>
                <w:spacing w:val="0"/>
                <w:w w:val="100"/>
                <w:position w:val="0"/>
                <w:sz w:val="20"/>
                <w:szCs w:val="20"/>
              </w:rPr>
              <w:t>归属于上市公司股东的扣 除非经常性损益的净利润</w:t>
            </w:r>
          </w:p>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-146,746,086.60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-589,381,056.41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-1,664,175,566.96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经营活动产生的现金流量 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25,254,297.09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-70,379,752.58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372,734,837.31</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稀释每股收益（元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-93.57%</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2,045,496,596.22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2,013,730,013.21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2,849,224,999.10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归属于上市公司股东的净 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1,199,628,882.39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1,179,846,638.99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1,087,220,154.01</w:t>
            </w:r>
          </w:p>
        </w:tc>
      </w:tr>
    </w:tbl>
    <w:p>
      <w:pPr>
        <w:widowControl w:val="0"/>
        <w:spacing w:after="59" w:line="1" w:lineRule="exact"/>
      </w:pPr>
    </w:p>
    <w:p>
      <w:pPr>
        <w:pStyle w:val="Style44"/>
        <w:keepNext w:val="0"/>
        <w:keepLines w:val="0"/>
        <w:widowControl w:val="0"/>
        <w:shd w:val="clear" w:color="auto" w:fill="auto"/>
        <w:bidi w:val="0"/>
        <w:spacing w:before="0" w:after="140" w:line="355" w:lineRule="exact"/>
        <w:ind w:left="200" w:right="0" w:firstLine="220"/>
        <w:jc w:val="left"/>
      </w:pPr>
      <w:r>
        <w:rPr>
          <w:color w:val="000000"/>
          <w:spacing w:val="0"/>
          <w:w w:val="100"/>
          <w:position w:val="0"/>
        </w:rPr>
        <w:t>公司最近三个会计年度扣除非经常性损益前后净利润孰低者均为负值，且最近一年审计报告 显示公司持续经营能力存在不确定性</w:t>
      </w:r>
    </w:p>
    <w:p>
      <w:pPr>
        <w:pStyle w:val="Style44"/>
        <w:keepNext w:val="0"/>
        <w:keepLines w:val="0"/>
        <w:widowControl w:val="0"/>
        <w:shd w:val="clear" w:color="auto" w:fill="auto"/>
        <w:bidi w:val="0"/>
        <w:spacing w:before="0" w:after="140" w:line="355" w:lineRule="exact"/>
        <w:ind w:left="0" w:right="0" w:firstLine="200"/>
        <w:jc w:val="left"/>
      </w:pPr>
      <w:r>
        <w:rPr>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r>
        <w:br w:type="page"/>
      </w:r>
    </w:p>
    <w:p>
      <w:pPr>
        <w:pStyle w:val="Style44"/>
        <w:keepNext w:val="0"/>
        <w:keepLines w:val="0"/>
        <w:widowControl w:val="0"/>
        <w:shd w:val="clear" w:color="auto" w:fill="auto"/>
        <w:bidi w:val="0"/>
        <w:spacing w:before="0" w:after="220" w:line="240" w:lineRule="auto"/>
        <w:ind w:left="0" w:right="0" w:firstLine="160"/>
        <w:jc w:val="left"/>
      </w:pPr>
      <w:r>
        <w:rPr>
          <w:color w:val="000000"/>
          <w:spacing w:val="0"/>
          <w:w w:val="100"/>
          <w:position w:val="0"/>
        </w:rPr>
        <w:t>扣除非经常损益前后的净利润孰低者为负值</w:t>
      </w:r>
    </w:p>
    <w:p>
      <w:pPr>
        <w:pStyle w:val="Style44"/>
        <w:keepNext w:val="0"/>
        <w:keepLines w:val="0"/>
        <w:widowControl w:val="0"/>
        <w:shd w:val="clear" w:color="auto" w:fill="auto"/>
        <w:bidi w:val="0"/>
        <w:spacing w:before="0" w:after="180" w:line="240" w:lineRule="auto"/>
        <w:ind w:left="0" w:right="0" w:firstLine="160"/>
        <w:jc w:val="left"/>
      </w:pPr>
      <w:r>
        <w:rPr>
          <w:color w:val="000000"/>
          <w:spacing w:val="0"/>
          <w:w w:val="100"/>
          <w:position w:val="0"/>
        </w:rPr>
        <w:t>寸</w:t>
      </w:r>
      <w:r>
        <w:rPr>
          <w:color w:val="000000"/>
          <w:spacing w:val="0"/>
          <w:w w:val="100"/>
          <w:position w:val="0"/>
        </w:rPr>
        <w:t>是口否</w:t>
      </w:r>
    </w:p>
    <w:tbl>
      <w:tblPr>
        <w:tblOverlap w:val="never"/>
        <w:jc w:val="center"/>
        <w:tblLayout w:type="fixed"/>
      </w:tblPr>
      <w:tblGrid>
        <w:gridCol w:w="2664"/>
        <w:gridCol w:w="2122"/>
        <w:gridCol w:w="2395"/>
        <w:gridCol w:w="2400"/>
      </w:tblGrid>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 xml:space="preserve">2019 </w:t>
            </w:r>
            <w:r>
              <w:rPr>
                <w:color w:val="000000"/>
                <w:spacing w:val="0"/>
                <w:w w:val="100"/>
                <w:position w:val="0"/>
                <w:sz w:val="20"/>
                <w:szCs w:val="2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379,707,203.30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394,733,173.32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33,623,755.31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55,431,380.75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非主业相关业务</w:t>
            </w:r>
          </w:p>
        </w:tc>
      </w:tr>
      <w:tr>
        <w:trPr>
          <w:trHeight w:val="52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346,083,447.99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339,301,792.57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r>
    </w:tbl>
    <w:p>
      <w:pPr>
        <w:widowControl w:val="0"/>
        <w:spacing w:after="179" w:line="1" w:lineRule="exact"/>
      </w:pP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w:t>
      </w:r>
    </w:p>
    <w:tbl>
      <w:tblPr>
        <w:tblOverlap w:val="never"/>
        <w:jc w:val="center"/>
        <w:tblLayout w:type="fixed"/>
      </w:tblPr>
      <w:tblGrid>
        <w:gridCol w:w="4286"/>
        <w:gridCol w:w="5222"/>
      </w:tblGrid>
      <w:tr>
        <w:trPr>
          <w:trHeight w:val="48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截止披露前一交易日的公司总股本（股）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557,615,000</w:t>
            </w:r>
          </w:p>
        </w:tc>
      </w:tr>
    </w:tbl>
    <w:p>
      <w:pPr>
        <w:widowControl w:val="0"/>
        <w:spacing w:after="339" w:line="1" w:lineRule="exact"/>
      </w:pPr>
    </w:p>
    <w:p>
      <w:pPr>
        <w:pStyle w:val="Style44"/>
        <w:keepNext w:val="0"/>
        <w:keepLines w:val="0"/>
        <w:widowControl w:val="0"/>
        <w:shd w:val="clear" w:color="auto" w:fill="auto"/>
        <w:bidi w:val="0"/>
        <w:spacing w:before="0" w:after="220" w:line="360" w:lineRule="exact"/>
        <w:ind w:left="160" w:right="0" w:firstLine="20"/>
        <w:jc w:val="left"/>
      </w:pPr>
      <w:r>
        <w:rPr>
          <w:color w:val="000000"/>
          <w:spacing w:val="0"/>
          <w:w w:val="100"/>
          <w:position w:val="0"/>
        </w:rPr>
        <w:t>公司报告期末至年度报告披露日股本是否因发行新股、增发、配股、股权激励行权、回购等原 因发生变化且影响所有者权益金额</w:t>
      </w:r>
    </w:p>
    <w:p>
      <w:pPr>
        <w:pStyle w:val="Style44"/>
        <w:keepNext w:val="0"/>
        <w:keepLines w:val="0"/>
        <w:widowControl w:val="0"/>
        <w:shd w:val="clear" w:color="auto" w:fill="auto"/>
        <w:bidi w:val="0"/>
        <w:spacing w:before="0" w:after="0" w:line="343" w:lineRule="auto"/>
        <w:ind w:left="160" w:right="0" w:firstLine="2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tbl>
      <w:tblPr>
        <w:tblOverlap w:val="never"/>
        <w:jc w:val="center"/>
        <w:tblLayout w:type="fixed"/>
      </w:tblPr>
      <w:tblGrid>
        <w:gridCol w:w="4286"/>
        <w:gridCol w:w="5222"/>
      </w:tblGrid>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r>
      <w:tr>
        <w:trPr>
          <w:trHeight w:val="53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用最新股本计算的基本每股收益（元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0.0201</w:t>
            </w:r>
          </w:p>
        </w:tc>
      </w:tr>
    </w:tbl>
    <w:p>
      <w:pPr>
        <w:widowControl w:val="0"/>
        <w:spacing w:after="339" w:line="1" w:lineRule="exact"/>
      </w:pPr>
    </w:p>
    <w:p>
      <w:pPr>
        <w:pStyle w:val="Style42"/>
        <w:keepNext/>
        <w:keepLines/>
        <w:widowControl w:val="0"/>
        <w:shd w:val="clear" w:color="auto" w:fill="auto"/>
        <w:bidi w:val="0"/>
        <w:spacing w:before="0" w:after="340" w:line="240" w:lineRule="auto"/>
        <w:ind w:left="160" w:right="0" w:firstLine="20"/>
        <w:jc w:val="left"/>
      </w:pPr>
      <w:bookmarkStart w:id="21" w:name="bookmark21"/>
      <w:bookmarkStart w:id="22" w:name="bookmark22"/>
      <w:bookmarkStart w:id="23" w:name="bookmark23"/>
      <w:bookmarkStart w:id="24" w:name="bookmark24"/>
      <w:r>
        <w:rPr>
          <w:color w:val="000000"/>
          <w:spacing w:val="0"/>
          <w:w w:val="100"/>
          <w:position w:val="0"/>
        </w:rPr>
        <w:t>六</w:t>
      </w:r>
      <w:bookmarkEnd w:id="23"/>
      <w:r>
        <w:rPr>
          <w:color w:val="000000"/>
          <w:spacing w:val="0"/>
          <w:w w:val="100"/>
          <w:position w:val="0"/>
        </w:rPr>
        <w:t>、分季度主要财务指标</w:t>
      </w:r>
      <w:bookmarkEnd w:id="21"/>
      <w:bookmarkEnd w:id="22"/>
      <w:bookmarkEnd w:id="24"/>
    </w:p>
    <w:p>
      <w:pPr>
        <w:pStyle w:val="Style38"/>
        <w:keepNext w:val="0"/>
        <w:keepLines w:val="0"/>
        <w:widowControl w:val="0"/>
        <w:shd w:val="clear" w:color="auto" w:fill="auto"/>
        <w:bidi w:val="0"/>
        <w:spacing w:before="0" w:after="0" w:line="240" w:lineRule="auto"/>
        <w:ind w:left="8947"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2803"/>
        <w:gridCol w:w="1752"/>
        <w:gridCol w:w="1757"/>
        <w:gridCol w:w="1752"/>
        <w:gridCol w:w="1766"/>
      </w:tblGrid>
      <w:tr>
        <w:trPr>
          <w:trHeight w:val="52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第四季度</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79,268,059.88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89,776,246.33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106,339,504.88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104,323,392.21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归属于上市公司股东的净利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-11,756,861.26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-20,639,836.99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25,935,947.42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17,695,521.37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归属于上市公司股东的扣除 非经常性损益的净利润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-17,961,679.33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-26,904,946.77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-17,526,652.04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-84,352,808.46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经营活动产生的现金流量净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-48,066,821.89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28,311,926.05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49,308,615.52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-4,299,422.59</w:t>
            </w:r>
          </w:p>
        </w:tc>
      </w:tr>
    </w:tbl>
    <w:p>
      <w:pPr>
        <w:pStyle w:val="Style44"/>
        <w:keepNext w:val="0"/>
        <w:keepLines w:val="0"/>
        <w:widowControl w:val="0"/>
        <w:shd w:val="clear" w:color="auto" w:fill="auto"/>
        <w:bidi w:val="0"/>
        <w:spacing w:before="0" w:after="180" w:line="432" w:lineRule="exact"/>
        <w:ind w:left="160" w:right="0" w:firstLine="2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42"/>
        <w:keepNext/>
        <w:keepLines/>
        <w:widowControl w:val="0"/>
        <w:shd w:val="clear" w:color="auto" w:fill="auto"/>
        <w:bidi w:val="0"/>
        <w:spacing w:before="0" w:after="340" w:line="432" w:lineRule="exact"/>
        <w:ind w:left="0" w:right="0" w:firstLine="160"/>
        <w:jc w:val="left"/>
      </w:pPr>
      <w:bookmarkStart w:id="25" w:name="bookmark25"/>
      <w:bookmarkStart w:id="26" w:name="bookmark26"/>
      <w:bookmarkStart w:id="27" w:name="bookmark27"/>
      <w:bookmarkStart w:id="28" w:name="bookmark28"/>
      <w:r>
        <w:rPr>
          <w:color w:val="000000"/>
          <w:spacing w:val="0"/>
          <w:w w:val="100"/>
          <w:position w:val="0"/>
        </w:rPr>
        <w:t>七</w:t>
      </w:r>
      <w:bookmarkEnd w:id="27"/>
      <w:r>
        <w:rPr>
          <w:color w:val="000000"/>
          <w:spacing w:val="0"/>
          <w:w w:val="100"/>
          <w:position w:val="0"/>
        </w:rPr>
        <w:t>、境内外会计准则下会计数据差异</w:t>
      </w:r>
      <w:bookmarkEnd w:id="25"/>
      <w:bookmarkEnd w:id="26"/>
      <w:bookmarkEnd w:id="28"/>
    </w:p>
    <w:p>
      <w:pPr>
        <w:pStyle w:val="Style52"/>
        <w:keepNext/>
        <w:keepLines/>
        <w:widowControl w:val="0"/>
        <w:shd w:val="clear" w:color="auto" w:fill="auto"/>
        <w:bidi w:val="0"/>
        <w:spacing w:before="0" w:after="180" w:line="410" w:lineRule="auto"/>
        <w:ind w:left="0" w:right="0" w:firstLine="160"/>
        <w:jc w:val="left"/>
      </w:pPr>
      <w:bookmarkStart w:id="29" w:name="bookmark29"/>
      <w:bookmarkStart w:id="30" w:name="bookmark30"/>
      <w:bookmarkStart w:id="31" w:name="bookmark31"/>
      <w:bookmarkStart w:id="32" w:name="bookmark32"/>
      <w:r>
        <w:rPr>
          <w:rFonts w:ascii="Times New Roman" w:eastAsia="Times New Roman" w:hAnsi="Times New Roman" w:cs="Times New Roman"/>
          <w:color w:val="000000"/>
          <w:spacing w:val="0"/>
          <w:w w:val="100"/>
          <w:position w:val="0"/>
        </w:rPr>
        <w:t>1</w:t>
      </w:r>
      <w:bookmarkEnd w:id="31"/>
      <w:r>
        <w:rPr>
          <w:color w:val="000000"/>
          <w:spacing w:val="0"/>
          <w:w w:val="100"/>
          <w:position w:val="0"/>
        </w:rPr>
        <w:t>、同时按照国际会计准则与按照中国会计准则披露的财务报告中净利润和净资产差异情况</w:t>
      </w:r>
      <w:bookmarkEnd w:id="29"/>
      <w:bookmarkEnd w:id="30"/>
      <w:bookmarkEnd w:id="32"/>
    </w:p>
    <w:p>
      <w:pPr>
        <w:pStyle w:val="Style44"/>
        <w:keepNext w:val="0"/>
        <w:keepLines w:val="0"/>
        <w:widowControl w:val="0"/>
        <w:shd w:val="clear" w:color="auto" w:fill="auto"/>
        <w:bidi w:val="0"/>
        <w:spacing w:before="0" w:after="300" w:line="240" w:lineRule="auto"/>
        <w:ind w:left="0" w:right="0" w:firstLine="160"/>
        <w:jc w:val="left"/>
      </w:pPr>
      <w:r>
        <w:rPr>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公司报告期不存在按照国际会计准则与按照中国会计准则披露的财务报告中净利润和净资产差 异情况。</w:t>
      </w:r>
    </w:p>
    <w:p>
      <w:pPr>
        <w:pStyle w:val="Style52"/>
        <w:keepNext/>
        <w:keepLines/>
        <w:widowControl w:val="0"/>
        <w:shd w:val="clear" w:color="auto" w:fill="auto"/>
        <w:tabs>
          <w:tab w:pos="672" w:val="left"/>
        </w:tabs>
        <w:bidi w:val="0"/>
        <w:spacing w:before="0" w:line="310" w:lineRule="exact"/>
        <w:ind w:left="0" w:right="0" w:firstLine="280"/>
        <w:jc w:val="left"/>
      </w:pPr>
      <w:bookmarkStart w:id="33" w:name="bookmark33"/>
      <w:bookmarkStart w:id="34" w:name="bookmark34"/>
      <w:bookmarkStart w:id="35" w:name="bookmark35"/>
      <w:bookmarkStart w:id="36" w:name="bookmark36"/>
      <w:r>
        <w:rPr>
          <w:rFonts w:ascii="Times New Roman" w:eastAsia="Times New Roman" w:hAnsi="Times New Roman" w:cs="Times New Roman"/>
          <w:color w:val="000000"/>
          <w:spacing w:val="0"/>
          <w:w w:val="100"/>
          <w:position w:val="0"/>
        </w:rPr>
        <w:t>2</w:t>
      </w:r>
      <w:bookmarkEnd w:id="35"/>
      <w:r>
        <w:rPr>
          <w:color w:val="000000"/>
          <w:spacing w:val="0"/>
          <w:w w:val="100"/>
          <w:position w:val="0"/>
        </w:rPr>
        <w:t>、</w:t>
        <w:tab/>
        <w:t>同时按照境外会计准则与按照中国会计准则披露的财务报告中净利润和净资产差异情况</w:t>
      </w:r>
      <w:bookmarkEnd w:id="33"/>
      <w:bookmarkEnd w:id="34"/>
      <w:bookmarkEnd w:id="36"/>
    </w:p>
    <w:p>
      <w:pPr>
        <w:pStyle w:val="Style44"/>
        <w:keepNext w:val="0"/>
        <w:keepLines w:val="0"/>
        <w:widowControl w:val="0"/>
        <w:shd w:val="clear" w:color="auto" w:fill="auto"/>
        <w:bidi w:val="0"/>
        <w:spacing w:before="0" w:after="120" w:line="310" w:lineRule="exact"/>
        <w:ind w:left="0" w:right="0" w:firstLine="280"/>
        <w:jc w:val="both"/>
      </w:pPr>
      <w:r>
        <w:rPr>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4"/>
        <w:keepNext w:val="0"/>
        <w:keepLines w:val="0"/>
        <w:widowControl w:val="0"/>
        <w:shd w:val="clear" w:color="auto" w:fill="auto"/>
        <w:bidi w:val="0"/>
        <w:spacing w:before="0" w:after="300" w:line="312" w:lineRule="exact"/>
        <w:ind w:left="280" w:right="0" w:firstLine="0"/>
        <w:jc w:val="left"/>
      </w:pPr>
      <w:r>
        <w:rPr>
          <w:color w:val="000000"/>
          <w:spacing w:val="0"/>
          <w:w w:val="100"/>
          <w:position w:val="0"/>
        </w:rPr>
        <w:t>公司报告期不存在按照境外会计准则与按照中国会计准则披露的财务报告中净利润和净资产差 异情况。</w:t>
      </w:r>
    </w:p>
    <w:p>
      <w:pPr>
        <w:pStyle w:val="Style52"/>
        <w:keepNext/>
        <w:keepLines/>
        <w:widowControl w:val="0"/>
        <w:shd w:val="clear" w:color="auto" w:fill="auto"/>
        <w:tabs>
          <w:tab w:pos="672" w:val="left"/>
        </w:tabs>
        <w:bidi w:val="0"/>
        <w:spacing w:before="0" w:line="310" w:lineRule="exact"/>
        <w:ind w:left="280" w:right="0" w:firstLine="0"/>
        <w:jc w:val="left"/>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3</w:t>
      </w:r>
      <w:bookmarkEnd w:id="39"/>
      <w:r>
        <w:rPr>
          <w:color w:val="000000"/>
          <w:spacing w:val="0"/>
          <w:w w:val="100"/>
          <w:position w:val="0"/>
        </w:rPr>
        <w:t>、</w:t>
        <w:tab/>
        <w:t>境内外会计准则下会计数据差异原因说明</w:t>
      </w:r>
      <w:bookmarkEnd w:id="37"/>
      <w:bookmarkEnd w:id="38"/>
      <w:bookmarkEnd w:id="40"/>
    </w:p>
    <w:p>
      <w:pPr>
        <w:pStyle w:val="Style44"/>
        <w:keepNext w:val="0"/>
        <w:keepLines w:val="0"/>
        <w:widowControl w:val="0"/>
        <w:shd w:val="clear" w:color="auto" w:fill="auto"/>
        <w:bidi w:val="0"/>
        <w:spacing w:before="0" w:after="300" w:line="310" w:lineRule="exact"/>
        <w:ind w:left="0" w:right="0" w:firstLine="280"/>
        <w:jc w:val="left"/>
      </w:pPr>
      <w:r>
        <w:rPr>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2"/>
        <w:keepNext/>
        <w:keepLines/>
        <w:widowControl w:val="0"/>
        <w:shd w:val="clear" w:color="auto" w:fill="auto"/>
        <w:bidi w:val="0"/>
        <w:spacing w:before="0" w:after="300" w:line="310" w:lineRule="exact"/>
        <w:ind w:left="0" w:right="0" w:firstLine="280"/>
        <w:jc w:val="left"/>
      </w:pPr>
      <w:bookmarkStart w:id="41" w:name="bookmark41"/>
      <w:bookmarkStart w:id="42" w:name="bookmark42"/>
      <w:bookmarkStart w:id="43" w:name="bookmark43"/>
      <w:bookmarkStart w:id="44" w:name="bookmark44"/>
      <w:r>
        <w:rPr>
          <w:color w:val="000000"/>
          <w:spacing w:val="0"/>
          <w:w w:val="100"/>
          <w:position w:val="0"/>
        </w:rPr>
        <w:t>八</w:t>
      </w:r>
      <w:bookmarkEnd w:id="43"/>
      <w:r>
        <w:rPr>
          <w:color w:val="000000"/>
          <w:spacing w:val="0"/>
          <w:w w:val="100"/>
          <w:position w:val="0"/>
        </w:rPr>
        <w:t>、非经常性损益的项目及金额</w:t>
      </w:r>
      <w:bookmarkEnd w:id="41"/>
      <w:bookmarkEnd w:id="42"/>
      <w:bookmarkEnd w:id="44"/>
    </w:p>
    <w:p>
      <w:pPr>
        <w:pStyle w:val="Style44"/>
        <w:keepNext w:val="0"/>
        <w:keepLines w:val="0"/>
        <w:widowControl w:val="0"/>
        <w:shd w:val="clear" w:color="auto" w:fill="auto"/>
        <w:bidi w:val="0"/>
        <w:spacing w:before="0" w:after="180" w:line="310" w:lineRule="exact"/>
        <w:ind w:left="0" w:right="0" w:firstLine="2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307"/>
        <w:gridCol w:w="1517"/>
        <w:gridCol w:w="1522"/>
        <w:gridCol w:w="1522"/>
        <w:gridCol w:w="2213"/>
      </w:tblGrid>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0"/>
                <w:szCs w:val="2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0"/>
                <w:szCs w:val="2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非流动资产处置损益（包括已计提</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-309,292.61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-388,545.85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115,406.86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计入当期损益的政府补助（与企业 业务密切相关，按照国家统一标准 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24,382,081.67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37,157,695.95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11,902,001.79</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1,507,360.78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计入当期损益的对非金融企业收 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2,305,333.30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处置子公司损益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768,973.32</w:t>
            </w: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除同公司正常经营业务相关的有 效套期保值业务外，持有交易性金 融资产、衍生金融资产、交易性金 融负债、衍生金融负债产生的公允 价值变动损益，以及处置交易性金 融资产、衍生金融资产、交易性金 融负债、衍生金融负债和其他债权 投资取得的投资收益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15,381,571.48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-79,448,729.16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79,528,729.16</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单独进行减值测试的应收款项、合 同资产减值准备转回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64,806,247.87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59,662,075.28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回款金额超过单项计 提坏账准备后的账面 价值，对超过部分进行 转回。</w:t>
            </w:r>
          </w:p>
        </w:tc>
      </w:tr>
    </w:tbl>
    <w:p>
      <w:pPr>
        <w:spacing w:lineRule="exact" w:line="1"/>
        <w:rPr>
          <w:sz w:val="2"/>
          <w:szCs w:val="2"/>
        </w:rPr>
      </w:pPr>
      <w:r>
        <w:br w:type="page"/>
      </w:r>
    </w:p>
    <w:tbl>
      <w:tblPr>
        <w:tblOverlap w:val="never"/>
        <w:jc w:val="center"/>
        <w:tblLayout w:type="fixed"/>
      </w:tblPr>
      <w:tblGrid>
        <w:gridCol w:w="3307"/>
        <w:gridCol w:w="1517"/>
        <w:gridCol w:w="1522"/>
        <w:gridCol w:w="1522"/>
        <w:gridCol w:w="2213"/>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采用公允价值模式进行后续计量 的投资性房地产公允价值变动产 生的损益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-2,632,342.00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-622,073.00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1,508,975.00</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325,065.74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1,973,874.44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华夏芯业绩补偿款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74,647,410.84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确认华夏芯业绩补偿 款收入</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除上述各项之外的其他营业外收 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-523,796.33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-2,449,342.92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1,618,245.24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其他符合非经常性损益定义的损 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693,900,891.81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-46,382,082.27</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304,844.86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6,757,091.59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9,705,252.02</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19,298,605.44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12,032,390.21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-10,561,154.20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157,980,857.14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693,301,698.05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49,916,151.28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179" w:line="1" w:lineRule="exact"/>
      </w:pPr>
    </w:p>
    <w:p>
      <w:pPr>
        <w:pStyle w:val="Style44"/>
        <w:keepNext w:val="0"/>
        <w:keepLines w:val="0"/>
        <w:widowControl w:val="0"/>
        <w:shd w:val="clear" w:color="auto" w:fill="auto"/>
        <w:bidi w:val="0"/>
        <w:spacing w:before="0" w:after="80" w:line="362" w:lineRule="exact"/>
        <w:ind w:left="28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 非经常性损益项目，以及把《公开发行证券的公司信息披露解释性公告第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 益》中列举的非经常性损益项目界定为经常性损益的项目，应说明原因。</w:t>
      </w:r>
    </w:p>
    <w:p>
      <w:pPr>
        <w:pStyle w:val="Style44"/>
        <w:keepNext w:val="0"/>
        <w:keepLines w:val="0"/>
        <w:widowControl w:val="0"/>
        <w:shd w:val="clear" w:color="auto" w:fill="auto"/>
        <w:bidi w:val="0"/>
        <w:spacing w:before="0" w:after="300" w:line="362" w:lineRule="exact"/>
        <w:ind w:left="0" w:right="0" w:firstLine="280"/>
        <w:jc w:val="both"/>
      </w:pPr>
      <w:r>
        <w:rPr>
          <w:color w:val="000000"/>
          <w:spacing w:val="0"/>
          <w:w w:val="100"/>
          <w:position w:val="0"/>
        </w:rPr>
        <w:t>寸</w:t>
      </w:r>
      <w:r>
        <w:rPr>
          <w:color w:val="000000"/>
          <w:spacing w:val="0"/>
          <w:w w:val="100"/>
          <w:position w:val="0"/>
        </w:rPr>
        <w:t>适用口不适用</w:t>
      </w:r>
    </w:p>
    <w:p>
      <w:pPr>
        <w:pStyle w:val="Style38"/>
        <w:keepNext w:val="0"/>
        <w:keepLines w:val="0"/>
        <w:widowControl w:val="0"/>
        <w:shd w:val="clear" w:color="auto" w:fill="auto"/>
        <w:bidi w:val="0"/>
        <w:spacing w:before="0" w:after="0" w:line="240" w:lineRule="auto"/>
        <w:ind w:left="12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、计入当期损益的其他收益中列入经常性损益的项目及理由:</w:t>
      </w:r>
    </w:p>
    <w:tbl>
      <w:tblPr>
        <w:tblOverlap w:val="never"/>
        <w:jc w:val="center"/>
        <w:tblLayout w:type="fixed"/>
      </w:tblPr>
      <w:tblGrid>
        <w:gridCol w:w="3581"/>
        <w:gridCol w:w="1781"/>
        <w:gridCol w:w="4373"/>
      </w:tblGrid>
      <w:tr>
        <w:trPr>
          <w:trHeight w:val="470" w:hRule="exact"/>
        </w:trPr>
        <w:tc>
          <w:tcPr>
            <w:tcBorders>
              <w:top w:val="single" w:sz="4"/>
            </w:tcBorders>
            <w:shd w:val="clear" w:color="auto" w:fill="BFBFBF"/>
            <w:vAlign w:val="center"/>
          </w:tcPr>
          <w:p>
            <w:pPr>
              <w:pStyle w:val="Style2"/>
              <w:keepNext w:val="0"/>
              <w:keepLines w:val="0"/>
              <w:widowControl w:val="0"/>
              <w:shd w:val="clear" w:color="auto" w:fill="auto"/>
              <w:tabs>
                <w:tab w:pos="696" w:val="left"/>
              </w:tabs>
              <w:bidi w:val="0"/>
              <w:spacing w:before="0" w:after="0" w:line="240" w:lineRule="auto"/>
              <w:ind w:left="0" w:right="0" w:firstLine="0"/>
              <w:jc w:val="center"/>
              <w:rPr>
                <w:sz w:val="20"/>
                <w:szCs w:val="20"/>
              </w:rPr>
            </w:pPr>
            <w:r>
              <w:rPr>
                <w:color w:val="000000"/>
                <w:spacing w:val="0"/>
                <w:w w:val="100"/>
                <w:position w:val="0"/>
                <w:sz w:val="20"/>
                <w:szCs w:val="20"/>
              </w:rPr>
              <w:t>项</w:t>
              <w:tab/>
              <w:t>目</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涉及金额</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9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软件产品增值税实际税负超过</w:t>
            </w:r>
            <w:r>
              <w:rPr>
                <w:rFonts w:ascii="Times New Roman" w:eastAsia="Times New Roman" w:hAnsi="Times New Roman" w:cs="Times New Roman"/>
                <w:color w:val="000000"/>
                <w:spacing w:val="0"/>
                <w:w w:val="100"/>
                <w:position w:val="0"/>
                <w:sz w:val="22"/>
                <w:szCs w:val="22"/>
              </w:rPr>
              <w:t xml:space="preserve">3% </w:t>
            </w:r>
            <w:r>
              <w:rPr>
                <w:color w:val="000000"/>
                <w:spacing w:val="0"/>
                <w:w w:val="100"/>
                <w:position w:val="0"/>
                <w:sz w:val="20"/>
                <w:szCs w:val="20"/>
              </w:rPr>
              <w:t>的部分即征即退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1,712,822.70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与公司正常经营业务密切相关，符合国家政 策规定、按照一定标准定额或定量持续享受 的政府补助</w:t>
            </w:r>
          </w:p>
        </w:tc>
      </w:tr>
      <w:tr>
        <w:trPr>
          <w:trHeight w:val="95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失业保险金返还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2,466,861.32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81" w:lineRule="exact"/>
              <w:ind w:left="0" w:right="0" w:firstLine="0"/>
              <w:jc w:val="center"/>
              <w:rPr>
                <w:sz w:val="20"/>
                <w:szCs w:val="20"/>
              </w:rPr>
            </w:pPr>
            <w:r>
              <w:rPr>
                <w:color w:val="000000"/>
                <w:spacing w:val="0"/>
                <w:w w:val="100"/>
                <w:position w:val="0"/>
                <w:sz w:val="20"/>
                <w:szCs w:val="20"/>
              </w:rPr>
              <w:t>与疫情相关的损益在非经常性损益扣除处 理时采用从宽原则，与疫情相关的收益不作 为非经常性损益扣除</w:t>
            </w:r>
          </w:p>
        </w:tc>
      </w:tr>
    </w:tbl>
    <w:p>
      <w:pPr>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181" w:right="880" w:bottom="1561" w:left="940" w:header="0" w:footer="3" w:gutter="0"/>
          <w:cols w:space="720"/>
          <w:noEndnote/>
          <w:rtlGutter w:val="0"/>
          <w:docGrid w:linePitch="360"/>
        </w:sectPr>
      </w:pPr>
    </w:p>
    <w:p>
      <w:pPr>
        <w:pStyle w:val="Style22"/>
        <w:keepNext/>
        <w:keepLines/>
        <w:widowControl w:val="0"/>
        <w:shd w:val="clear" w:color="auto" w:fill="auto"/>
        <w:bidi w:val="0"/>
        <w:spacing w:before="0" w:line="240" w:lineRule="auto"/>
        <w:ind w:left="0" w:right="0" w:firstLine="0"/>
        <w:jc w:val="center"/>
      </w:pPr>
      <w:bookmarkStart w:id="45" w:name="bookmark45"/>
      <w:bookmarkStart w:id="46" w:name="bookmark46"/>
      <w:bookmarkStart w:id="47" w:name="bookmark47"/>
      <w:r>
        <w:rPr>
          <w:color w:val="000000"/>
          <w:spacing w:val="0"/>
          <w:w w:val="100"/>
          <w:position w:val="0"/>
        </w:rPr>
        <w:t>第三节公司业务概要</w:t>
      </w:r>
      <w:bookmarkEnd w:id="45"/>
      <w:bookmarkEnd w:id="46"/>
      <w:bookmarkEnd w:id="47"/>
    </w:p>
    <w:p>
      <w:pPr>
        <w:pStyle w:val="Style42"/>
        <w:keepNext/>
        <w:keepLines/>
        <w:widowControl w:val="0"/>
        <w:shd w:val="clear" w:color="auto" w:fill="auto"/>
        <w:bidi w:val="0"/>
        <w:spacing w:before="0" w:after="200" w:line="468" w:lineRule="exact"/>
        <w:ind w:left="280" w:right="0" w:firstLine="0"/>
        <w:jc w:val="both"/>
      </w:pPr>
      <w:bookmarkStart w:id="48" w:name="bookmark48"/>
      <w:bookmarkStart w:id="49" w:name="bookmark49"/>
      <w:bookmarkStart w:id="50" w:name="bookmark50"/>
      <w:bookmarkStart w:id="51" w:name="bookmark51"/>
      <w:r>
        <w:rPr>
          <w:color w:val="000000"/>
          <w:spacing w:val="0"/>
          <w:w w:val="100"/>
          <w:position w:val="0"/>
        </w:rPr>
        <w:t>一</w:t>
      </w:r>
      <w:bookmarkEnd w:id="50"/>
      <w:r>
        <w:rPr>
          <w:color w:val="000000"/>
          <w:spacing w:val="0"/>
          <w:w w:val="100"/>
          <w:position w:val="0"/>
        </w:rPr>
        <w:t>、报告期内公司从事的主要业务</w:t>
      </w:r>
      <w:bookmarkEnd w:id="48"/>
      <w:bookmarkEnd w:id="49"/>
      <w:bookmarkEnd w:id="51"/>
    </w:p>
    <w:p>
      <w:pPr>
        <w:pStyle w:val="Style44"/>
        <w:keepNext w:val="0"/>
        <w:keepLines w:val="0"/>
        <w:widowControl w:val="0"/>
        <w:shd w:val="clear" w:color="auto" w:fill="auto"/>
        <w:bidi w:val="0"/>
        <w:spacing w:before="0" w:after="140" w:line="473" w:lineRule="exact"/>
        <w:ind w:left="280" w:right="0" w:firstLine="0"/>
        <w:jc w:val="both"/>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号——上市公司从事集成电路相关 业务》及《深圳证券交易所创业板行业信息披露指引第</w:t>
      </w:r>
      <w:r>
        <w:rPr>
          <w:rFonts w:ascii="Times New Roman" w:eastAsia="Times New Roman" w:hAnsi="Times New Roman" w:cs="Times New Roman"/>
          <w:color w:val="000000"/>
          <w:spacing w:val="0"/>
          <w:w w:val="100"/>
          <w:position w:val="0"/>
        </w:rPr>
        <w:t>13</w:t>
      </w:r>
      <w:r>
        <w:rPr>
          <w:color w:val="000000"/>
          <w:spacing w:val="0"/>
          <w:w w:val="100"/>
          <w:position w:val="0"/>
        </w:rPr>
        <w:t>号——上市公司从事锂离子电池产业 链相关业务》的披露要求</w:t>
      </w:r>
    </w:p>
    <w:p>
      <w:pPr>
        <w:pStyle w:val="Style44"/>
        <w:keepNext w:val="0"/>
        <w:keepLines w:val="0"/>
        <w:widowControl w:val="0"/>
        <w:shd w:val="clear" w:color="auto" w:fill="auto"/>
        <w:bidi w:val="0"/>
        <w:spacing w:before="0" w:after="0" w:line="468" w:lineRule="exact"/>
        <w:ind w:left="0" w:right="0" w:firstLine="280"/>
        <w:jc w:val="left"/>
      </w:pPr>
      <w:r>
        <w:rPr>
          <w:color w:val="000000"/>
          <w:spacing w:val="0"/>
          <w:w w:val="100"/>
          <w:position w:val="0"/>
        </w:rPr>
        <w:t>报告期内公司从事的主要业务涵盖两大领域：集成电路领域及新能源负极材料领域。</w:t>
      </w:r>
    </w:p>
    <w:p>
      <w:pPr>
        <w:pStyle w:val="Style44"/>
        <w:keepNext w:val="0"/>
        <w:keepLines w:val="0"/>
        <w:widowControl w:val="0"/>
        <w:shd w:val="clear" w:color="auto" w:fill="auto"/>
        <w:bidi w:val="0"/>
        <w:spacing w:before="0" w:after="0" w:line="468" w:lineRule="exact"/>
        <w:ind w:left="0" w:right="0" w:firstLine="700"/>
        <w:jc w:val="both"/>
      </w:pPr>
      <w:bookmarkStart w:id="52" w:name="bookmark52"/>
      <w:r>
        <w:rPr>
          <w:b/>
          <w:bCs/>
          <w:color w:val="000000"/>
          <w:spacing w:val="0"/>
          <w:w w:val="100"/>
          <w:position w:val="0"/>
        </w:rPr>
        <w:t>（</w:t>
      </w:r>
      <w:bookmarkEnd w:id="52"/>
      <w:r>
        <w:rPr>
          <w:b/>
          <w:bCs/>
          <w:color w:val="000000"/>
          <w:spacing w:val="0"/>
          <w:w w:val="100"/>
          <w:position w:val="0"/>
        </w:rPr>
        <w:t>一）集成电路领域</w:t>
      </w:r>
    </w:p>
    <w:p>
      <w:pPr>
        <w:pStyle w:val="Style44"/>
        <w:keepNext w:val="0"/>
        <w:keepLines w:val="0"/>
        <w:widowControl w:val="0"/>
        <w:shd w:val="clear" w:color="auto" w:fill="auto"/>
        <w:tabs>
          <w:tab w:pos="1048" w:val="left"/>
        </w:tabs>
        <w:bidi w:val="0"/>
        <w:spacing w:before="0" w:after="0" w:line="468" w:lineRule="exact"/>
        <w:ind w:left="0" w:right="0" w:firstLine="700"/>
        <w:jc w:val="both"/>
      </w:pPr>
      <w:bookmarkStart w:id="53" w:name="bookmark53"/>
      <w:r>
        <w:rPr>
          <w:rFonts w:ascii="Times New Roman" w:eastAsia="Times New Roman" w:hAnsi="Times New Roman" w:cs="Times New Roman"/>
          <w:color w:val="000000"/>
          <w:spacing w:val="0"/>
          <w:w w:val="100"/>
          <w:position w:val="0"/>
        </w:rPr>
        <w:t>1</w:t>
      </w:r>
      <w:bookmarkEnd w:id="53"/>
      <w:r>
        <w:rPr>
          <w:color w:val="000000"/>
          <w:spacing w:val="0"/>
          <w:w w:val="100"/>
          <w:position w:val="0"/>
        </w:rPr>
        <w:t>、</w:t>
        <w:tab/>
        <w:t>公司所处细分行业及主要业务</w:t>
      </w:r>
    </w:p>
    <w:p>
      <w:pPr>
        <w:pStyle w:val="Style44"/>
        <w:keepNext w:val="0"/>
        <w:keepLines w:val="0"/>
        <w:widowControl w:val="0"/>
        <w:shd w:val="clear" w:color="auto" w:fill="auto"/>
        <w:bidi w:val="0"/>
        <w:spacing w:before="0" w:after="0" w:line="468" w:lineRule="exact"/>
        <w:ind w:left="280" w:right="0" w:firstLine="460"/>
        <w:jc w:val="both"/>
      </w:pPr>
      <w:r>
        <w:rPr>
          <w:color w:val="000000"/>
          <w:spacing w:val="0"/>
          <w:w w:val="100"/>
          <w:position w:val="0"/>
        </w:rPr>
        <w:t>公司是集成电路设计企业，主要从事自主品牌的集成电路芯片研发设计及销售，并提供相 应的系统解决方案和售后的技术支持服务。</w:t>
      </w:r>
    </w:p>
    <w:p>
      <w:pPr>
        <w:pStyle w:val="Style44"/>
        <w:keepNext w:val="0"/>
        <w:keepLines w:val="0"/>
        <w:widowControl w:val="0"/>
        <w:shd w:val="clear" w:color="auto" w:fill="auto"/>
        <w:tabs>
          <w:tab w:pos="1067" w:val="left"/>
        </w:tabs>
        <w:bidi w:val="0"/>
        <w:spacing w:before="0" w:after="0" w:line="468" w:lineRule="exact"/>
        <w:ind w:left="0" w:right="0" w:firstLine="700"/>
        <w:jc w:val="both"/>
      </w:pPr>
      <w:bookmarkStart w:id="54" w:name="bookmark54"/>
      <w:r>
        <w:rPr>
          <w:rFonts w:ascii="Times New Roman" w:eastAsia="Times New Roman" w:hAnsi="Times New Roman" w:cs="Times New Roman"/>
          <w:color w:val="000000"/>
          <w:spacing w:val="0"/>
          <w:w w:val="100"/>
          <w:position w:val="0"/>
        </w:rPr>
        <w:t>2</w:t>
      </w:r>
      <w:bookmarkEnd w:id="54"/>
      <w:r>
        <w:rPr>
          <w:color w:val="000000"/>
          <w:spacing w:val="0"/>
          <w:w w:val="100"/>
          <w:position w:val="0"/>
        </w:rPr>
        <w:t>、</w:t>
        <w:tab/>
        <w:t>主要产品及应用方向</w:t>
      </w:r>
    </w:p>
    <w:p>
      <w:pPr>
        <w:pStyle w:val="Style44"/>
        <w:keepNext w:val="0"/>
        <w:keepLines w:val="0"/>
        <w:widowControl w:val="0"/>
        <w:shd w:val="clear" w:color="auto" w:fill="auto"/>
        <w:bidi w:val="0"/>
        <w:spacing w:before="0" w:after="0" w:line="468" w:lineRule="exact"/>
        <w:ind w:left="28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年，公司持续聚焦“安全</w:t>
      </w:r>
      <w:r>
        <w:rPr>
          <w:rFonts w:ascii="Times New Roman" w:eastAsia="Times New Roman" w:hAnsi="Times New Roman" w:cs="Times New Roman"/>
          <w:color w:val="000000"/>
          <w:spacing w:val="0"/>
          <w:w w:val="100"/>
          <w:position w:val="0"/>
        </w:rPr>
        <w:t>+</w:t>
      </w:r>
      <w:r>
        <w:rPr>
          <w:color w:val="000000"/>
          <w:spacing w:val="0"/>
          <w:w w:val="100"/>
          <w:position w:val="0"/>
        </w:rPr>
        <w:t>通用”产品及市场战略，围绕信息安全、低功耗</w:t>
      </w:r>
      <w:r>
        <w:rPr>
          <w:rFonts w:ascii="Times New Roman" w:eastAsia="Times New Roman" w:hAnsi="Times New Roman" w:cs="Times New Roman"/>
          <w:color w:val="000000"/>
          <w:spacing w:val="0"/>
          <w:w w:val="100"/>
          <w:position w:val="0"/>
        </w:rPr>
        <w:t>SoC</w:t>
      </w:r>
      <w:r>
        <w:rPr>
          <w:color w:val="000000"/>
          <w:spacing w:val="0"/>
          <w:w w:val="100"/>
          <w:position w:val="0"/>
        </w:rPr>
        <w:t>、</w:t>
      </w:r>
      <w:r>
        <w:rPr>
          <w:color w:val="000000"/>
          <w:spacing w:val="0"/>
          <w:w w:val="100"/>
          <w:position w:val="0"/>
        </w:rPr>
        <w:t xml:space="preserve">无线 通信连接的核心技术优势，结合移动互联网及工业互联网、物联网、云计算、人工智能、汽车 电子、电子核心设备及信息智能终端等新一代信息技术产业发展特点，面向芯片国内国际市场 需求，不断升级核心技术水平，持续投入研制拥有自主知识产权的高等级安全芯片产品、通用 </w:t>
      </w:r>
      <w:r>
        <w:rPr>
          <w:rFonts w:ascii="Times New Roman" w:eastAsia="Times New Roman" w:hAnsi="Times New Roman" w:cs="Times New Roman"/>
          <w:color w:val="000000"/>
          <w:spacing w:val="0"/>
          <w:w w:val="100"/>
          <w:position w:val="0"/>
        </w:rPr>
        <w:t>MCU</w:t>
      </w:r>
      <w:r>
        <w:rPr>
          <w:color w:val="000000"/>
          <w:spacing w:val="0"/>
          <w:w w:val="100"/>
          <w:position w:val="0"/>
        </w:rPr>
        <w:t>芯片产品，以及多种连接技术的无线通信芯片产品及其相关解决方案。芯片产品覆盖网络 安全认证、通用微处理器、可信计算、无线通信四大类，涉及金融安全和物联网安全芯片、通 用</w:t>
      </w:r>
      <w:r>
        <w:rPr>
          <w:rFonts w:ascii="Times New Roman" w:eastAsia="Times New Roman" w:hAnsi="Times New Roman" w:cs="Times New Roman"/>
          <w:color w:val="000000"/>
          <w:spacing w:val="0"/>
          <w:w w:val="100"/>
          <w:position w:val="0"/>
        </w:rPr>
        <w:t>MCU</w:t>
      </w:r>
      <w:r>
        <w:rPr>
          <w:color w:val="000000"/>
          <w:spacing w:val="0"/>
          <w:w w:val="100"/>
          <w:position w:val="0"/>
        </w:rPr>
        <w:t>芯片、安全可信计算芯片、安全智能卡芯片、超低功耗蓝牙芯片、移动支付</w:t>
      </w:r>
      <w:r>
        <w:rPr>
          <w:rFonts w:ascii="Times New Roman" w:eastAsia="Times New Roman" w:hAnsi="Times New Roman" w:cs="Times New Roman"/>
          <w:color w:val="000000"/>
          <w:spacing w:val="0"/>
          <w:w w:val="100"/>
          <w:position w:val="0"/>
        </w:rPr>
        <w:t>RCC</w:t>
      </w:r>
      <w:r>
        <w:rPr>
          <w:color w:val="000000"/>
          <w:spacing w:val="0"/>
          <w:w w:val="100"/>
          <w:position w:val="0"/>
        </w:rPr>
        <w:t>产品及 解决方案等，广泛应用于网络信息安全认证、电子银行、电子证照、移动支付与服务器</w:t>
      </w:r>
      <w:r>
        <w:rPr>
          <w:rFonts w:ascii="Times New Roman" w:eastAsia="Times New Roman" w:hAnsi="Times New Roman" w:cs="Times New Roman"/>
          <w:color w:val="000000"/>
          <w:spacing w:val="0"/>
          <w:w w:val="100"/>
          <w:position w:val="0"/>
        </w:rPr>
        <w:t>/</w:t>
      </w:r>
      <w:r>
        <w:rPr>
          <w:color w:val="000000"/>
          <w:spacing w:val="0"/>
          <w:w w:val="100"/>
          <w:position w:val="0"/>
        </w:rPr>
        <w:t>云安全 等信息安全领域，并且拓展到物联网、车联网、工业互联网及工业控制、消费电子、智能家电 及智能家庭物联网终端、智能表计、安防、医疗电子、电机驱动、电池及能源管理、生物识别、 通讯、传感器、机器自动化等应用领域和方向。</w:t>
      </w:r>
    </w:p>
    <w:p>
      <w:pPr>
        <w:pStyle w:val="Style44"/>
        <w:keepNext w:val="0"/>
        <w:keepLines w:val="0"/>
        <w:widowControl w:val="0"/>
        <w:shd w:val="clear" w:color="auto" w:fill="auto"/>
        <w:tabs>
          <w:tab w:pos="1067" w:val="left"/>
        </w:tabs>
        <w:bidi w:val="0"/>
        <w:spacing w:before="0" w:after="0" w:line="468" w:lineRule="exact"/>
        <w:ind w:left="0" w:right="0" w:firstLine="700"/>
        <w:jc w:val="both"/>
      </w:pPr>
      <w:bookmarkStart w:id="55" w:name="bookmark55"/>
      <w:r>
        <w:rPr>
          <w:rFonts w:ascii="Times New Roman" w:eastAsia="Times New Roman" w:hAnsi="Times New Roman" w:cs="Times New Roman"/>
          <w:color w:val="000000"/>
          <w:spacing w:val="0"/>
          <w:w w:val="100"/>
          <w:position w:val="0"/>
        </w:rPr>
        <w:t>3</w:t>
      </w:r>
      <w:bookmarkEnd w:id="55"/>
      <w:r>
        <w:rPr>
          <w:color w:val="000000"/>
          <w:spacing w:val="0"/>
          <w:w w:val="100"/>
          <w:position w:val="0"/>
        </w:rPr>
        <w:t>、</w:t>
        <w:tab/>
        <w:t>经营模式</w:t>
      </w:r>
    </w:p>
    <w:p>
      <w:pPr>
        <w:pStyle w:val="Style44"/>
        <w:keepNext w:val="0"/>
        <w:keepLines w:val="0"/>
        <w:widowControl w:val="0"/>
        <w:shd w:val="clear" w:color="auto" w:fill="auto"/>
        <w:bidi w:val="0"/>
        <w:spacing w:before="0" w:after="140" w:line="470" w:lineRule="exact"/>
        <w:ind w:left="280" w:right="0" w:firstLine="460"/>
        <w:jc w:val="both"/>
      </w:pPr>
      <w:r>
        <w:rPr>
          <w:color w:val="000000"/>
          <w:spacing w:val="0"/>
          <w:w w:val="100"/>
          <w:position w:val="0"/>
        </w:rPr>
        <w:t>公司采用灵活的</w:t>
      </w:r>
      <w:r>
        <w:rPr>
          <w:rFonts w:ascii="Times New Roman" w:eastAsia="Times New Roman" w:hAnsi="Times New Roman" w:cs="Times New Roman"/>
          <w:color w:val="000000"/>
          <w:spacing w:val="0"/>
          <w:w w:val="100"/>
          <w:position w:val="0"/>
        </w:rPr>
        <w:t>Fables s</w:t>
      </w:r>
      <w:r>
        <w:rPr>
          <w:color w:val="000000"/>
          <w:spacing w:val="0"/>
          <w:w w:val="100"/>
          <w:position w:val="0"/>
        </w:rPr>
        <w:t>轻资产经营模式，从事集成电路研发设计和销售，将晶圆制造、封 装测试业务外包给专门的晶圆制造及封装测试厂商。该经营模式有利于公司集中优势资源用于 产品研发与设计环节，在完成集成电路版图的设计后，将版图交予晶圆制造厂商，由晶圆制造 厂商按照版图生产出晶圆后，再交由封装测试厂商完成封装、测试环节。公司取得芯片成品后， 主要用于对外销售，部分芯片应市场需求，委托模组加工商进一步加工成模组后对外销售。</w:t>
      </w:r>
    </w:p>
    <w:p>
      <w:pPr>
        <w:pStyle w:val="Style28"/>
        <w:keepNext w:val="0"/>
        <w:keepLines w:val="0"/>
        <w:widowControl w:val="0"/>
        <w:shd w:val="clear" w:color="auto" w:fill="auto"/>
        <w:bidi w:val="0"/>
        <w:spacing w:before="0" w:line="240" w:lineRule="auto"/>
        <w:ind w:left="0" w:right="0" w:firstLine="0"/>
        <w:jc w:val="center"/>
        <w:sectPr>
          <w:headerReference w:type="default" r:id="rId19"/>
          <w:footerReference w:type="default" r:id="rId20"/>
          <w:headerReference w:type="even" r:id="rId21"/>
          <w:footerReference w:type="even" r:id="rId22"/>
          <w:footnotePr>
            <w:pos w:val="pageBottom"/>
            <w:numFmt w:val="decimal"/>
            <w:numRestart w:val="continuous"/>
          </w:footnotePr>
          <w:pgSz w:w="11900" w:h="16840"/>
          <w:pgMar w:top="1484" w:right="841" w:bottom="1268" w:left="979" w:header="0" w:footer="840" w:gutter="0"/>
          <w:pgNumType w:start="12"/>
          <w:cols w:space="720"/>
          <w:noEndnote/>
          <w:rtlGutter w:val="0"/>
          <w:docGrid w:linePitch="360"/>
        </w:sectPr>
      </w:pPr>
      <w:r>
        <w:rPr>
          <w:color w:val="000000"/>
          <w:spacing w:val="0"/>
          <w:w w:val="100"/>
          <w:position w:val="0"/>
        </w:rPr>
        <w:t>11</w:t>
      </w:r>
    </w:p>
    <w:p>
      <w:pPr>
        <w:pStyle w:val="Style44"/>
        <w:keepNext w:val="0"/>
        <w:keepLines w:val="0"/>
        <w:widowControl w:val="0"/>
        <w:shd w:val="clear" w:color="auto" w:fill="auto"/>
        <w:bidi w:val="0"/>
        <w:spacing w:before="0" w:after="40" w:line="468" w:lineRule="exact"/>
        <w:ind w:left="0" w:right="0" w:firstLine="700"/>
        <w:jc w:val="both"/>
      </w:pPr>
      <w:r>
        <w:rPr>
          <w:color w:val="000000"/>
          <w:spacing w:val="0"/>
          <w:w w:val="100"/>
          <w:position w:val="0"/>
        </w:rPr>
        <w:t>根据行业、产品及市场需求情况，公司采取直销和渠道销售相结合的销售推广模式。</w:t>
      </w:r>
    </w:p>
    <w:p>
      <w:pPr>
        <w:pStyle w:val="Style44"/>
        <w:keepNext w:val="0"/>
        <w:keepLines w:val="0"/>
        <w:widowControl w:val="0"/>
        <w:shd w:val="clear" w:color="auto" w:fill="auto"/>
        <w:bidi w:val="0"/>
        <w:spacing w:before="0" w:after="0" w:line="468" w:lineRule="exact"/>
        <w:ind w:left="0" w:right="0" w:firstLine="700"/>
        <w:jc w:val="both"/>
      </w:pPr>
      <w:bookmarkStart w:id="56" w:name="bookmark56"/>
      <w:r>
        <w:rPr>
          <w:rFonts w:ascii="Times New Roman" w:eastAsia="Times New Roman" w:hAnsi="Times New Roman" w:cs="Times New Roman"/>
          <w:color w:val="000000"/>
          <w:spacing w:val="0"/>
          <w:w w:val="100"/>
          <w:position w:val="0"/>
        </w:rPr>
        <w:t>4</w:t>
      </w:r>
      <w:bookmarkEnd w:id="56"/>
      <w:r>
        <w:rPr>
          <w:color w:val="000000"/>
          <w:spacing w:val="0"/>
          <w:w w:val="100"/>
          <w:position w:val="0"/>
        </w:rPr>
        <w:t>、行业发展情况及趋势</w:t>
      </w:r>
    </w:p>
    <w:p>
      <w:pPr>
        <w:pStyle w:val="Style44"/>
        <w:keepNext w:val="0"/>
        <w:keepLines w:val="0"/>
        <w:widowControl w:val="0"/>
        <w:shd w:val="clear" w:color="auto" w:fill="auto"/>
        <w:bidi w:val="0"/>
        <w:spacing w:before="0" w:after="0" w:line="468" w:lineRule="exact"/>
        <w:ind w:left="280" w:right="0" w:firstLine="460"/>
        <w:jc w:val="both"/>
      </w:pPr>
      <w:r>
        <w:rPr>
          <w:color w:val="000000"/>
          <w:spacing w:val="0"/>
          <w:w w:val="100"/>
          <w:position w:val="0"/>
        </w:rPr>
        <w:t>集成电路作为信息产业的基础和核心，是关系国民经济和社会发展全局的基础性、先导性 和战略性产业，但我国集成电路产业与国际先进水平尚有差距，大量集成电路产品依赖进口。</w:t>
      </w:r>
    </w:p>
    <w:p>
      <w:pPr>
        <w:pStyle w:val="Style44"/>
        <w:keepNext w:val="0"/>
        <w:keepLines w:val="0"/>
        <w:widowControl w:val="0"/>
        <w:shd w:val="clear" w:color="auto" w:fill="auto"/>
        <w:bidi w:val="0"/>
        <w:spacing w:before="0" w:after="0" w:line="468" w:lineRule="exact"/>
        <w:ind w:left="280" w:right="0" w:firstLine="460"/>
        <w:jc w:val="both"/>
      </w:pPr>
      <w:r>
        <w:rPr>
          <w:color w:val="000000"/>
          <w:spacing w:val="0"/>
          <w:w w:val="100"/>
          <w:position w:val="0"/>
        </w:rPr>
        <w:t>我国集成电路产业在当前市场拉动和政策支持下，以及新国际战略格局下，面临重要战略 机遇和挑战：集成电路行业产业快速发展、整体实力显著提升，行业内挑战不断加大；集成电 路设计、制造能力与国际先进水平差距不断缩小，市场交付压力不断加大；封装测试技术逐步 接近国际先进水平，封测产能风险逐步显示出来。我国拥有全球规模最大的集成电路市场，市 场需求继续保持快速增长，芯片各类技术升级要求迫切。</w:t>
      </w:r>
    </w:p>
    <w:p>
      <w:pPr>
        <w:pStyle w:val="Style44"/>
        <w:keepNext w:val="0"/>
        <w:keepLines w:val="0"/>
        <w:widowControl w:val="0"/>
        <w:shd w:val="clear" w:color="auto" w:fill="auto"/>
        <w:bidi w:val="0"/>
        <w:spacing w:before="0" w:after="0" w:line="468" w:lineRule="exact"/>
        <w:ind w:left="280" w:right="0" w:firstLine="460"/>
        <w:jc w:val="both"/>
      </w:pPr>
      <w:r>
        <w:rPr>
          <w:color w:val="000000"/>
          <w:spacing w:val="0"/>
          <w:w w:val="100"/>
          <w:position w:val="0"/>
        </w:rPr>
        <w:t>受疫情影响，</w:t>
      </w:r>
      <w:r>
        <w:rPr>
          <w:rFonts w:ascii="Times New Roman" w:eastAsia="Times New Roman" w:hAnsi="Times New Roman" w:cs="Times New Roman"/>
          <w:color w:val="000000"/>
          <w:spacing w:val="0"/>
          <w:w w:val="100"/>
          <w:position w:val="0"/>
        </w:rPr>
        <w:t>2020</w:t>
      </w:r>
      <w:r>
        <w:rPr>
          <w:color w:val="000000"/>
          <w:spacing w:val="0"/>
          <w:w w:val="100"/>
          <w:position w:val="0"/>
        </w:rPr>
        <w:t>年全球经济出现明显下滑，根据</w:t>
      </w:r>
      <w:r>
        <w:rPr>
          <w:rFonts w:ascii="Times New Roman" w:eastAsia="Times New Roman" w:hAnsi="Times New Roman" w:cs="Times New Roman"/>
          <w:color w:val="000000"/>
          <w:spacing w:val="0"/>
          <w:w w:val="100"/>
          <w:position w:val="0"/>
        </w:rPr>
        <w:t xml:space="preserve">IMF </w:t>
      </w:r>
      <w:r>
        <w:rPr>
          <w:color w:val="000000"/>
          <w:spacing w:val="0"/>
          <w:w w:val="100"/>
          <w:position w:val="0"/>
        </w:rPr>
        <w:t>（国际货币基金组织）发布的报告显 示，</w:t>
      </w:r>
      <w:r>
        <w:rPr>
          <w:rFonts w:ascii="Times New Roman" w:eastAsia="Times New Roman" w:hAnsi="Times New Roman" w:cs="Times New Roman"/>
          <w:color w:val="000000"/>
          <w:spacing w:val="0"/>
          <w:w w:val="100"/>
          <w:position w:val="0"/>
        </w:rPr>
        <w:t>2020</w:t>
      </w:r>
      <w:r>
        <w:rPr>
          <w:color w:val="000000"/>
          <w:spacing w:val="0"/>
          <w:w w:val="100"/>
          <w:position w:val="0"/>
        </w:rPr>
        <w:t>年全球</w:t>
      </w:r>
      <w:r>
        <w:rPr>
          <w:rFonts w:ascii="Times New Roman" w:eastAsia="Times New Roman" w:hAnsi="Times New Roman" w:cs="Times New Roman"/>
          <w:color w:val="000000"/>
          <w:spacing w:val="0"/>
          <w:w w:val="100"/>
          <w:position w:val="0"/>
        </w:rPr>
        <w:t>GDP</w:t>
      </w:r>
      <w:r>
        <w:rPr>
          <w:color w:val="000000"/>
          <w:spacing w:val="0"/>
          <w:w w:val="100"/>
          <w:position w:val="0"/>
        </w:rPr>
        <w:t>收缩</w:t>
      </w:r>
      <w:r>
        <w:rPr>
          <w:rFonts w:ascii="Times New Roman" w:eastAsia="Times New Roman" w:hAnsi="Times New Roman" w:cs="Times New Roman"/>
          <w:color w:val="000000"/>
          <w:spacing w:val="0"/>
          <w:w w:val="100"/>
          <w:position w:val="0"/>
        </w:rPr>
        <w:t>4.9%</w:t>
      </w:r>
      <w:r>
        <w:rPr>
          <w:color w:val="000000"/>
          <w:spacing w:val="0"/>
          <w:w w:val="100"/>
          <w:position w:val="0"/>
        </w:rPr>
        <w:t>，然而全球半导体市场却逆势增长，根据</w:t>
      </w:r>
      <w:r>
        <w:rPr>
          <w:rFonts w:ascii="Times New Roman" w:eastAsia="Times New Roman" w:hAnsi="Times New Roman" w:cs="Times New Roman"/>
          <w:color w:val="000000"/>
          <w:spacing w:val="0"/>
          <w:w w:val="100"/>
          <w:position w:val="0"/>
        </w:rPr>
        <w:t xml:space="preserve">CSIA </w:t>
      </w:r>
      <w:r>
        <w:rPr>
          <w:color w:val="000000"/>
          <w:spacing w:val="0"/>
          <w:w w:val="100"/>
          <w:position w:val="0"/>
        </w:rPr>
        <w:t>（中国半导体行业 协会）公布的数据，</w:t>
      </w:r>
      <w:r>
        <w:rPr>
          <w:rFonts w:ascii="Times New Roman" w:eastAsia="Times New Roman" w:hAnsi="Times New Roman" w:cs="Times New Roman"/>
          <w:color w:val="000000"/>
          <w:spacing w:val="0"/>
          <w:w w:val="100"/>
          <w:position w:val="0"/>
        </w:rPr>
        <w:t>2020</w:t>
      </w:r>
      <w:r>
        <w:rPr>
          <w:color w:val="000000"/>
          <w:spacing w:val="0"/>
          <w:w w:val="100"/>
          <w:position w:val="0"/>
        </w:rPr>
        <w:t>年全球半导体产品的销售额达到了</w:t>
      </w:r>
      <w:r>
        <w:rPr>
          <w:rFonts w:ascii="Times New Roman" w:eastAsia="Times New Roman" w:hAnsi="Times New Roman" w:cs="Times New Roman"/>
          <w:color w:val="000000"/>
          <w:spacing w:val="0"/>
          <w:w w:val="100"/>
          <w:position w:val="0"/>
        </w:rPr>
        <w:t>4390</w:t>
      </w:r>
      <w:r>
        <w:rPr>
          <w:color w:val="000000"/>
          <w:spacing w:val="0"/>
          <w:w w:val="100"/>
          <w:position w:val="0"/>
        </w:rPr>
        <w:t>亿美元，较</w:t>
      </w:r>
      <w:r>
        <w:rPr>
          <w:rFonts w:ascii="Times New Roman" w:eastAsia="Times New Roman" w:hAnsi="Times New Roman" w:cs="Times New Roman"/>
          <w:color w:val="000000"/>
          <w:spacing w:val="0"/>
          <w:w w:val="100"/>
          <w:position w:val="0"/>
        </w:rPr>
        <w:t>2019</w:t>
      </w:r>
      <w:r>
        <w:rPr>
          <w:color w:val="000000"/>
          <w:spacing w:val="0"/>
          <w:w w:val="100"/>
          <w:position w:val="0"/>
        </w:rPr>
        <w:t>年的</w:t>
      </w:r>
      <w:r>
        <w:rPr>
          <w:rFonts w:ascii="Times New Roman" w:eastAsia="Times New Roman" w:hAnsi="Times New Roman" w:cs="Times New Roman"/>
          <w:color w:val="000000"/>
          <w:spacing w:val="0"/>
          <w:w w:val="100"/>
          <w:position w:val="0"/>
        </w:rPr>
        <w:t>4123</w:t>
      </w:r>
      <w:r>
        <w:rPr>
          <w:color w:val="000000"/>
          <w:spacing w:val="0"/>
          <w:w w:val="100"/>
          <w:position w:val="0"/>
        </w:rPr>
        <w:t>亿美 元增加</w:t>
      </w:r>
      <w:r>
        <w:rPr>
          <w:rFonts w:ascii="Times New Roman" w:eastAsia="Times New Roman" w:hAnsi="Times New Roman" w:cs="Times New Roman"/>
          <w:color w:val="000000"/>
          <w:spacing w:val="0"/>
          <w:w w:val="100"/>
          <w:position w:val="0"/>
        </w:rPr>
        <w:t>267</w:t>
      </w:r>
      <w:r>
        <w:rPr>
          <w:color w:val="000000"/>
          <w:spacing w:val="0"/>
          <w:w w:val="100"/>
          <w:position w:val="0"/>
        </w:rPr>
        <w:t>亿美元，同比增长</w:t>
      </w:r>
      <w:r>
        <w:rPr>
          <w:rFonts w:ascii="Times New Roman" w:eastAsia="Times New Roman" w:hAnsi="Times New Roman" w:cs="Times New Roman"/>
          <w:color w:val="000000"/>
          <w:spacing w:val="0"/>
          <w:w w:val="100"/>
          <w:position w:val="0"/>
        </w:rPr>
        <w:t>6.5%</w:t>
      </w:r>
      <w:r>
        <w:rPr>
          <w:color w:val="000000"/>
          <w:spacing w:val="0"/>
          <w:w w:val="100"/>
          <w:position w:val="0"/>
        </w:rPr>
        <w:t>。</w:t>
      </w:r>
      <w:r>
        <w:rPr>
          <w:rFonts w:ascii="Times New Roman" w:eastAsia="Times New Roman" w:hAnsi="Times New Roman" w:cs="Times New Roman"/>
          <w:color w:val="000000"/>
          <w:spacing w:val="0"/>
          <w:w w:val="100"/>
          <w:position w:val="0"/>
        </w:rPr>
        <w:t>CSIA</w:t>
      </w:r>
      <w:r>
        <w:rPr>
          <w:color w:val="000000"/>
          <w:spacing w:val="0"/>
          <w:w w:val="100"/>
          <w:position w:val="0"/>
        </w:rPr>
        <w:t>测算，</w:t>
      </w:r>
      <w:r>
        <w:rPr>
          <w:rFonts w:ascii="Times New Roman" w:eastAsia="Times New Roman" w:hAnsi="Times New Roman" w:cs="Times New Roman"/>
          <w:color w:val="000000"/>
          <w:spacing w:val="0"/>
          <w:w w:val="100"/>
          <w:position w:val="0"/>
        </w:rPr>
        <w:t>2020</w:t>
      </w:r>
      <w:r>
        <w:rPr>
          <w:color w:val="000000"/>
          <w:spacing w:val="0"/>
          <w:w w:val="100"/>
          <w:position w:val="0"/>
        </w:rPr>
        <w:t>年我国集成电路销售收入达到</w:t>
      </w:r>
      <w:r>
        <w:rPr>
          <w:rFonts w:ascii="Times New Roman" w:eastAsia="Times New Roman" w:hAnsi="Times New Roman" w:cs="Times New Roman"/>
          <w:color w:val="000000"/>
          <w:spacing w:val="0"/>
          <w:w w:val="100"/>
          <w:position w:val="0"/>
        </w:rPr>
        <w:t>8848</w:t>
      </w:r>
      <w:r>
        <w:rPr>
          <w:color w:val="000000"/>
          <w:spacing w:val="0"/>
          <w:w w:val="100"/>
          <w:position w:val="0"/>
        </w:rPr>
        <w:t>亿元， 平均增长率达到</w:t>
      </w:r>
      <w:r>
        <w:rPr>
          <w:rFonts w:ascii="Times New Roman" w:eastAsia="Times New Roman" w:hAnsi="Times New Roman" w:cs="Times New Roman"/>
          <w:color w:val="000000"/>
          <w:spacing w:val="0"/>
          <w:w w:val="100"/>
          <w:position w:val="0"/>
        </w:rPr>
        <w:t>20%</w:t>
      </w:r>
      <w:r>
        <w:rPr>
          <w:color w:val="000000"/>
          <w:spacing w:val="0"/>
          <w:w w:val="100"/>
          <w:position w:val="0"/>
        </w:rPr>
        <w:t>,为同期全球产业增速的</w:t>
      </w:r>
      <w:r>
        <w:rPr>
          <w:rFonts w:ascii="Times New Roman" w:eastAsia="Times New Roman" w:hAnsi="Times New Roman" w:cs="Times New Roman"/>
          <w:color w:val="000000"/>
          <w:spacing w:val="0"/>
          <w:w w:val="100"/>
          <w:position w:val="0"/>
        </w:rPr>
        <w:t>3</w:t>
      </w:r>
      <w:r>
        <w:rPr>
          <w:color w:val="000000"/>
          <w:spacing w:val="0"/>
          <w:w w:val="100"/>
          <w:position w:val="0"/>
        </w:rPr>
        <w:t>倍。</w:t>
      </w:r>
    </w:p>
    <w:p>
      <w:pPr>
        <w:pStyle w:val="Style44"/>
        <w:keepNext w:val="0"/>
        <w:keepLines w:val="0"/>
        <w:widowControl w:val="0"/>
        <w:shd w:val="clear" w:color="auto" w:fill="auto"/>
        <w:bidi w:val="0"/>
        <w:spacing w:before="0" w:after="0" w:line="468" w:lineRule="exact"/>
        <w:ind w:left="280" w:right="0" w:firstLine="460"/>
        <w:jc w:val="both"/>
      </w:pPr>
      <w:r>
        <w:rPr>
          <w:color w:val="000000"/>
          <w:spacing w:val="0"/>
          <w:w w:val="100"/>
          <w:position w:val="0"/>
        </w:rPr>
        <w:t>同时，随着国际贸易形势的变化影响，集成电路本地化已经成为国内行业的发展趋势。</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年上半年，受益于国内快速复工复产以及“新基建”的推进，集成电路本地化的进程加快。</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年，在双循环新格局下，集成电路等产业加速向国内转移，带动新材料配套需求快速提升，实 现新兴产业的自主发展，集成电路市场规模及需求将增长，行业也将迎来新的机遇。</w:t>
      </w:r>
    </w:p>
    <w:p>
      <w:pPr>
        <w:pStyle w:val="Style44"/>
        <w:keepNext w:val="0"/>
        <w:keepLines w:val="0"/>
        <w:widowControl w:val="0"/>
        <w:shd w:val="clear" w:color="auto" w:fill="auto"/>
        <w:tabs>
          <w:tab w:pos="1048" w:val="left"/>
        </w:tabs>
        <w:bidi w:val="0"/>
        <w:spacing w:before="0" w:after="0" w:line="468" w:lineRule="exact"/>
        <w:ind w:left="0" w:right="0" w:firstLine="700"/>
        <w:jc w:val="both"/>
      </w:pPr>
      <w:bookmarkStart w:id="57" w:name="bookmark57"/>
      <w:r>
        <w:rPr>
          <w:rFonts w:ascii="Times New Roman" w:eastAsia="Times New Roman" w:hAnsi="Times New Roman" w:cs="Times New Roman"/>
          <w:color w:val="000000"/>
          <w:spacing w:val="0"/>
          <w:w w:val="100"/>
          <w:position w:val="0"/>
        </w:rPr>
        <w:t>5</w:t>
      </w:r>
      <w:bookmarkEnd w:id="57"/>
      <w:r>
        <w:rPr>
          <w:color w:val="000000"/>
          <w:spacing w:val="0"/>
          <w:w w:val="100"/>
          <w:position w:val="0"/>
        </w:rPr>
        <w:t>、</w:t>
        <w:tab/>
        <w:t>下游应用领域宏观需求分析</w:t>
      </w:r>
    </w:p>
    <w:p>
      <w:pPr>
        <w:pStyle w:val="Style44"/>
        <w:keepNext w:val="0"/>
        <w:keepLines w:val="0"/>
        <w:widowControl w:val="0"/>
        <w:shd w:val="clear" w:color="auto" w:fill="auto"/>
        <w:bidi w:val="0"/>
        <w:spacing w:before="0" w:after="0" w:line="468" w:lineRule="exact"/>
        <w:ind w:left="280" w:right="0" w:firstLine="460"/>
        <w:jc w:val="both"/>
      </w:pPr>
      <w:r>
        <w:rPr>
          <w:color w:val="000000"/>
          <w:spacing w:val="0"/>
          <w:w w:val="100"/>
          <w:position w:val="0"/>
        </w:rPr>
        <w:t>当前，新一轮科技革命和产业变革正加速兴起，</w:t>
      </w:r>
      <w:r>
        <w:rPr>
          <w:rFonts w:ascii="Times New Roman" w:eastAsia="Times New Roman" w:hAnsi="Times New Roman" w:cs="Times New Roman"/>
          <w:color w:val="000000"/>
          <w:spacing w:val="0"/>
          <w:w w:val="100"/>
          <w:position w:val="0"/>
        </w:rPr>
        <w:t>5G</w:t>
      </w:r>
      <w:r>
        <w:rPr>
          <w:color w:val="000000"/>
          <w:spacing w:val="0"/>
          <w:w w:val="100"/>
          <w:position w:val="0"/>
        </w:rPr>
        <w:t>技术正在快速普及，大数据、云计算、 物联网、人工智能等信息产业技术快速发展，持续为半导体产业提供强劲市场需求，全球集成 电路产业将迎来国内芯片产业的发展机遇，遭遇国际芯片产业的巨大挑战。</w:t>
      </w:r>
    </w:p>
    <w:p>
      <w:pPr>
        <w:pStyle w:val="Style44"/>
        <w:keepNext w:val="0"/>
        <w:keepLines w:val="0"/>
        <w:widowControl w:val="0"/>
        <w:shd w:val="clear" w:color="auto" w:fill="auto"/>
        <w:bidi w:val="0"/>
        <w:spacing w:before="0" w:after="0" w:line="468" w:lineRule="exact"/>
        <w:ind w:left="280" w:right="0" w:firstLine="460"/>
        <w:jc w:val="both"/>
      </w:pPr>
      <w:r>
        <w:rPr>
          <w:color w:val="000000"/>
          <w:spacing w:val="0"/>
          <w:w w:val="100"/>
          <w:position w:val="0"/>
        </w:rPr>
        <w:t>芯片产业下游，民用、商用大量行业应用快速发展，智能家电、车联网、视觉识别、无人 值守智能管理、人工智能、云计算、工业</w:t>
      </w:r>
      <w:r>
        <w:rPr>
          <w:rFonts w:ascii="Times New Roman" w:eastAsia="Times New Roman" w:hAnsi="Times New Roman" w:cs="Times New Roman"/>
          <w:color w:val="000000"/>
          <w:spacing w:val="0"/>
          <w:w w:val="100"/>
          <w:position w:val="0"/>
        </w:rPr>
        <w:t>4.0</w:t>
      </w:r>
      <w:r>
        <w:rPr>
          <w:color w:val="000000"/>
          <w:spacing w:val="0"/>
          <w:w w:val="100"/>
          <w:position w:val="0"/>
        </w:rPr>
        <w:t>等新需求、新产品、新产业不断涌现，工业与新能 源汽车高质量、高可靠性产业应用急速加速，驱动集成电路设计行业进入新一轮大量投资、企 业快速增长的周期，同时也促使集成电路设计企业开展新一轮技术升级和产品质量突破。低功 耗技术、高安全技术、超运算能力、深视觉处理能力、超大数据支撑平台，以及高清显示技术、 各种感知技术、无线连接技术等，均是当前物联网、车联网、人工智能、智能制造等产业发展 和产品升级的关键，必然是未来集成电路设计及相关应用研发的主要方向和重点落脚点。</w:t>
      </w:r>
    </w:p>
    <w:p>
      <w:pPr>
        <w:pStyle w:val="Style44"/>
        <w:keepNext w:val="0"/>
        <w:keepLines w:val="0"/>
        <w:widowControl w:val="0"/>
        <w:shd w:val="clear" w:color="auto" w:fill="auto"/>
        <w:tabs>
          <w:tab w:pos="1048" w:val="left"/>
        </w:tabs>
        <w:bidi w:val="0"/>
        <w:spacing w:before="0" w:after="0" w:line="468" w:lineRule="exact"/>
        <w:ind w:left="0" w:right="0" w:firstLine="700"/>
        <w:jc w:val="both"/>
      </w:pPr>
      <w:bookmarkStart w:id="58" w:name="bookmark58"/>
      <w:r>
        <w:rPr>
          <w:rFonts w:ascii="Times New Roman" w:eastAsia="Times New Roman" w:hAnsi="Times New Roman" w:cs="Times New Roman"/>
          <w:color w:val="000000"/>
          <w:spacing w:val="0"/>
          <w:w w:val="100"/>
          <w:position w:val="0"/>
        </w:rPr>
        <w:t>6</w:t>
      </w:r>
      <w:bookmarkEnd w:id="58"/>
      <w:r>
        <w:rPr>
          <w:color w:val="000000"/>
          <w:spacing w:val="0"/>
          <w:w w:val="100"/>
          <w:position w:val="0"/>
        </w:rPr>
        <w:t>、</w:t>
        <w:tab/>
        <w:t>产品细分领域主流技术水平及市场需求情况</w:t>
      </w:r>
    </w:p>
    <w:p>
      <w:pPr>
        <w:pStyle w:val="Style44"/>
        <w:keepNext w:val="0"/>
        <w:keepLines w:val="0"/>
        <w:widowControl w:val="0"/>
        <w:shd w:val="clear" w:color="auto" w:fill="auto"/>
        <w:bidi w:val="0"/>
        <w:spacing w:before="0" w:after="0" w:line="467" w:lineRule="exact"/>
        <w:ind w:left="280" w:right="0" w:firstLine="460"/>
        <w:jc w:val="both"/>
      </w:pPr>
      <w:r>
        <w:rPr>
          <w:color w:val="000000"/>
          <w:spacing w:val="0"/>
          <w:w w:val="100"/>
          <w:position w:val="0"/>
        </w:rPr>
        <w:t>总体看，在大宗产品市场需求与战略型技术研发投入的双向驱动下，中国设计企业实力突 飞猛进，稳健提升，与国际领先技术水平差距，相互追赶，逐步缩小。</w:t>
      </w:r>
    </w:p>
    <w:p>
      <w:pPr>
        <w:pStyle w:val="Style44"/>
        <w:keepNext w:val="0"/>
        <w:keepLines w:val="0"/>
        <w:widowControl w:val="0"/>
        <w:shd w:val="clear" w:color="auto" w:fill="auto"/>
        <w:bidi w:val="0"/>
        <w:spacing w:before="0" w:after="0" w:line="467" w:lineRule="exact"/>
        <w:ind w:left="280" w:right="0" w:firstLine="460"/>
        <w:jc w:val="both"/>
      </w:pPr>
      <w:r>
        <w:rPr>
          <w:color w:val="000000"/>
          <w:spacing w:val="0"/>
          <w:w w:val="100"/>
          <w:position w:val="0"/>
        </w:rPr>
        <w:t>从金融与信息安全领域观察，互联网、物联网和车联网的发展，带动了信息产业的发展， 也带来了日益严重的信息安全问题；身份认证、鉴权认证以及关键信息的保密性，成为网络节 点设备、终端设备信息安全防护的重要基础，承担了中国网络环境安全至关重要的作用；特别 在近年，国家大力推动数字货币的应用，大力推动电子支付应用的推广，以企业发展来支撑国 家金融安全、金融行业产品覆盖民生需要，展示出了巨大的高端产品市场需求。伴随《中华人 民共和国密码法》的出台颁布，标志着我国在促进密码事业发展，保障网络与信息安全，维护 国家安全和社会公共利益，保护公民、法人和其他组织的合法权益方面的重大进展，为包括民 用和商用产品市场化研发、生产和应用，提供了法律保障，为国民技术股份有限公司的业务、 技术和产品发展，提供了坚实的基础和保障。</w:t>
      </w:r>
    </w:p>
    <w:p>
      <w:pPr>
        <w:pStyle w:val="Style44"/>
        <w:keepNext w:val="0"/>
        <w:keepLines w:val="0"/>
        <w:widowControl w:val="0"/>
        <w:shd w:val="clear" w:color="auto" w:fill="auto"/>
        <w:bidi w:val="0"/>
        <w:spacing w:before="0" w:after="0" w:line="467" w:lineRule="exact"/>
        <w:ind w:left="280" w:right="0" w:firstLine="460"/>
        <w:jc w:val="both"/>
      </w:pPr>
      <w:r>
        <w:rPr>
          <w:color w:val="000000"/>
          <w:spacing w:val="0"/>
          <w:w w:val="100"/>
          <w:position w:val="0"/>
        </w:rPr>
        <w:t>从</w:t>
      </w:r>
      <w:r>
        <w:rPr>
          <w:rFonts w:ascii="Times New Roman" w:eastAsia="Times New Roman" w:hAnsi="Times New Roman" w:cs="Times New Roman"/>
          <w:color w:val="000000"/>
          <w:spacing w:val="0"/>
          <w:w w:val="100"/>
          <w:position w:val="0"/>
        </w:rPr>
        <w:t>MCU</w:t>
      </w:r>
      <w:r>
        <w:rPr>
          <w:color w:val="000000"/>
          <w:spacing w:val="0"/>
          <w:w w:val="100"/>
          <w:position w:val="0"/>
        </w:rPr>
        <w:t>细分领域观察，行业竞争格局和态势上，全球主要供应商仍然以国际厂商为主，行 业集中度较高，意法半导体、瑞萨、恩智浦、德州仪器等厂商占据主导地位，国内厂商市场占 有率不高且面临中高端市场长期被国际厂商占据的现状，为了形成市场、产品差异化竞争，国 产</w:t>
      </w:r>
      <w:r>
        <w:rPr>
          <w:rFonts w:ascii="Times New Roman" w:eastAsia="Times New Roman" w:hAnsi="Times New Roman" w:cs="Times New Roman"/>
          <w:color w:val="000000"/>
          <w:spacing w:val="0"/>
          <w:w w:val="100"/>
          <w:position w:val="0"/>
        </w:rPr>
        <w:t>MCU</w:t>
      </w:r>
      <w:r>
        <w:rPr>
          <w:color w:val="000000"/>
          <w:spacing w:val="0"/>
          <w:w w:val="100"/>
          <w:position w:val="0"/>
        </w:rPr>
        <w:t>向中高端市场不断延伸，不断解决前进的技术、市场与产品应用难题成为当务之急。根 据</w:t>
      </w:r>
      <w:r>
        <w:rPr>
          <w:rFonts w:ascii="Times New Roman" w:eastAsia="Times New Roman" w:hAnsi="Times New Roman" w:cs="Times New Roman"/>
          <w:color w:val="000000"/>
          <w:spacing w:val="0"/>
          <w:w w:val="100"/>
          <w:position w:val="0"/>
        </w:rPr>
        <w:t>IC Insight</w:t>
      </w:r>
      <w:r>
        <w:rPr>
          <w:color w:val="000000"/>
          <w:spacing w:val="0"/>
          <w:w w:val="100"/>
          <w:position w:val="0"/>
        </w:rPr>
        <w:t>的数据，</w:t>
      </w:r>
      <w:r>
        <w:rPr>
          <w:rFonts w:ascii="Times New Roman" w:eastAsia="Times New Roman" w:hAnsi="Times New Roman" w:cs="Times New Roman"/>
          <w:color w:val="000000"/>
          <w:spacing w:val="0"/>
          <w:w w:val="100"/>
          <w:position w:val="0"/>
        </w:rPr>
        <w:t>2021</w:t>
      </w:r>
      <w:r>
        <w:rPr>
          <w:color w:val="000000"/>
          <w:spacing w:val="0"/>
          <w:w w:val="100"/>
          <w:position w:val="0"/>
        </w:rPr>
        <w:t>年全球</w:t>
      </w:r>
      <w:r>
        <w:rPr>
          <w:rFonts w:ascii="Times New Roman" w:eastAsia="Times New Roman" w:hAnsi="Times New Roman" w:cs="Times New Roman"/>
          <w:color w:val="000000"/>
          <w:spacing w:val="0"/>
          <w:w w:val="100"/>
          <w:position w:val="0"/>
        </w:rPr>
        <w:t>MCU</w:t>
      </w:r>
      <w:r>
        <w:rPr>
          <w:color w:val="000000"/>
          <w:spacing w:val="0"/>
          <w:w w:val="100"/>
          <w:position w:val="0"/>
        </w:rPr>
        <w:t>市场规模有望达</w:t>
      </w:r>
      <w:r>
        <w:rPr>
          <w:rFonts w:ascii="Times New Roman" w:eastAsia="Times New Roman" w:hAnsi="Times New Roman" w:cs="Times New Roman"/>
          <w:color w:val="000000"/>
          <w:spacing w:val="0"/>
          <w:w w:val="100"/>
          <w:position w:val="0"/>
        </w:rPr>
        <w:t>223</w:t>
      </w:r>
      <w:r>
        <w:rPr>
          <w:color w:val="000000"/>
          <w:spacing w:val="0"/>
          <w:w w:val="100"/>
          <w:position w:val="0"/>
        </w:rPr>
        <w:t>亿美元，同比增长</w:t>
      </w:r>
      <w:r>
        <w:rPr>
          <w:rFonts w:ascii="Times New Roman" w:eastAsia="Times New Roman" w:hAnsi="Times New Roman" w:cs="Times New Roman"/>
          <w:color w:val="000000"/>
          <w:spacing w:val="0"/>
          <w:w w:val="100"/>
          <w:position w:val="0"/>
        </w:rPr>
        <w:t>7.21%</w:t>
      </w:r>
      <w:r>
        <w:rPr>
          <w:color w:val="000000"/>
          <w:spacing w:val="0"/>
          <w:w w:val="100"/>
          <w:position w:val="0"/>
        </w:rPr>
        <w:t xml:space="preserve">。物联网时代 任务的复杂化使得对芯片的性能要求持续提升，对芯片的数据处理能力要求将越来越高，促使 </w:t>
      </w:r>
      <w:r>
        <w:rPr>
          <w:rFonts w:ascii="Times New Roman" w:eastAsia="Times New Roman" w:hAnsi="Times New Roman" w:cs="Times New Roman"/>
          <w:color w:val="000000"/>
          <w:spacing w:val="0"/>
          <w:w w:val="100"/>
          <w:position w:val="0"/>
        </w:rPr>
        <w:t>MCU</w:t>
      </w:r>
      <w:r>
        <w:rPr>
          <w:color w:val="000000"/>
          <w:spacing w:val="0"/>
          <w:w w:val="100"/>
          <w:position w:val="0"/>
        </w:rPr>
        <w:t>从</w:t>
      </w:r>
      <w:r>
        <w:rPr>
          <w:rFonts w:ascii="Times New Roman" w:eastAsia="Times New Roman" w:hAnsi="Times New Roman" w:cs="Times New Roman"/>
          <w:color w:val="000000"/>
          <w:spacing w:val="0"/>
          <w:w w:val="100"/>
          <w:position w:val="0"/>
        </w:rPr>
        <w:t>8</w:t>
      </w:r>
      <w:r>
        <w:rPr>
          <w:color w:val="000000"/>
          <w:spacing w:val="0"/>
          <w:w w:val="100"/>
          <w:position w:val="0"/>
        </w:rPr>
        <w:t>位、</w:t>
      </w:r>
      <w:r>
        <w:rPr>
          <w:rFonts w:ascii="Times New Roman" w:eastAsia="Times New Roman" w:hAnsi="Times New Roman" w:cs="Times New Roman"/>
          <w:color w:val="000000"/>
          <w:spacing w:val="0"/>
          <w:w w:val="100"/>
          <w:position w:val="0"/>
        </w:rPr>
        <w:t>16</w:t>
      </w:r>
      <w:r>
        <w:rPr>
          <w:color w:val="000000"/>
          <w:spacing w:val="0"/>
          <w:w w:val="100"/>
          <w:position w:val="0"/>
        </w:rPr>
        <w:t>位向</w:t>
      </w:r>
      <w:r>
        <w:rPr>
          <w:rFonts w:ascii="Times New Roman" w:eastAsia="Times New Roman" w:hAnsi="Times New Roman" w:cs="Times New Roman"/>
          <w:color w:val="000000"/>
          <w:spacing w:val="0"/>
          <w:w w:val="100"/>
          <w:position w:val="0"/>
        </w:rPr>
        <w:t>32</w:t>
      </w:r>
      <w:r>
        <w:rPr>
          <w:color w:val="000000"/>
          <w:spacing w:val="0"/>
          <w:w w:val="100"/>
          <w:position w:val="0"/>
        </w:rPr>
        <w:t>位迈进。当前，</w:t>
      </w:r>
      <w:r>
        <w:rPr>
          <w:rFonts w:ascii="Times New Roman" w:eastAsia="Times New Roman" w:hAnsi="Times New Roman" w:cs="Times New Roman"/>
          <w:color w:val="000000"/>
          <w:spacing w:val="0"/>
          <w:w w:val="100"/>
          <w:position w:val="0"/>
        </w:rPr>
        <w:t>32</w:t>
      </w:r>
      <w:r>
        <w:rPr>
          <w:color w:val="000000"/>
          <w:spacing w:val="0"/>
          <w:w w:val="100"/>
          <w:position w:val="0"/>
        </w:rPr>
        <w:t>位</w:t>
      </w:r>
      <w:r>
        <w:rPr>
          <w:rFonts w:ascii="Times New Roman" w:eastAsia="Times New Roman" w:hAnsi="Times New Roman" w:cs="Times New Roman"/>
          <w:color w:val="000000"/>
          <w:spacing w:val="0"/>
          <w:w w:val="100"/>
          <w:position w:val="0"/>
        </w:rPr>
        <w:t>MCU</w:t>
      </w:r>
      <w:r>
        <w:rPr>
          <w:color w:val="000000"/>
          <w:spacing w:val="0"/>
          <w:w w:val="100"/>
          <w:position w:val="0"/>
        </w:rPr>
        <w:t>市场高速增长，已成为</w:t>
      </w:r>
      <w:r>
        <w:rPr>
          <w:rFonts w:ascii="Times New Roman" w:eastAsia="Times New Roman" w:hAnsi="Times New Roman" w:cs="Times New Roman"/>
          <w:color w:val="000000"/>
          <w:spacing w:val="0"/>
          <w:w w:val="100"/>
          <w:position w:val="0"/>
        </w:rPr>
        <w:t>MCU</w:t>
      </w:r>
      <w:r>
        <w:rPr>
          <w:color w:val="000000"/>
          <w:spacing w:val="0"/>
          <w:w w:val="100"/>
          <w:position w:val="0"/>
        </w:rPr>
        <w:t>的主流产品规格。 根据电子工程专辑的数据，在</w:t>
      </w:r>
      <w:r>
        <w:rPr>
          <w:rFonts w:ascii="Times New Roman" w:eastAsia="Times New Roman" w:hAnsi="Times New Roman" w:cs="Times New Roman"/>
          <w:color w:val="000000"/>
          <w:spacing w:val="0"/>
          <w:w w:val="100"/>
          <w:position w:val="0"/>
        </w:rPr>
        <w:t>2020</w:t>
      </w:r>
      <w:r>
        <w:rPr>
          <w:color w:val="000000"/>
          <w:spacing w:val="0"/>
          <w:w w:val="100"/>
          <w:position w:val="0"/>
        </w:rPr>
        <w:t>年全球</w:t>
      </w:r>
      <w:r>
        <w:rPr>
          <w:rFonts w:ascii="Times New Roman" w:eastAsia="Times New Roman" w:hAnsi="Times New Roman" w:cs="Times New Roman"/>
          <w:color w:val="000000"/>
          <w:spacing w:val="0"/>
          <w:w w:val="100"/>
          <w:position w:val="0"/>
        </w:rPr>
        <w:t>MCU</w:t>
      </w:r>
      <w:r>
        <w:rPr>
          <w:color w:val="000000"/>
          <w:spacing w:val="0"/>
          <w:w w:val="100"/>
          <w:position w:val="0"/>
        </w:rPr>
        <w:t>市场中，</w:t>
      </w:r>
      <w:r>
        <w:rPr>
          <w:rFonts w:ascii="Times New Roman" w:eastAsia="Times New Roman" w:hAnsi="Times New Roman" w:cs="Times New Roman"/>
          <w:color w:val="000000"/>
          <w:spacing w:val="0"/>
          <w:w w:val="100"/>
          <w:position w:val="0"/>
        </w:rPr>
        <w:t>32</w:t>
      </w:r>
      <w:r>
        <w:rPr>
          <w:color w:val="000000"/>
          <w:spacing w:val="0"/>
          <w:w w:val="100"/>
          <w:position w:val="0"/>
        </w:rPr>
        <w:t>位</w:t>
      </w:r>
      <w:r>
        <w:rPr>
          <w:rFonts w:ascii="Times New Roman" w:eastAsia="Times New Roman" w:hAnsi="Times New Roman" w:cs="Times New Roman"/>
          <w:color w:val="000000"/>
          <w:spacing w:val="0"/>
          <w:w w:val="100"/>
          <w:position w:val="0"/>
        </w:rPr>
        <w:t>MCU</w:t>
      </w:r>
      <w:r>
        <w:rPr>
          <w:color w:val="000000"/>
          <w:spacing w:val="0"/>
          <w:w w:val="100"/>
          <w:position w:val="0"/>
        </w:rPr>
        <w:t>的市场占比为</w:t>
      </w:r>
      <w:r>
        <w:rPr>
          <w:rFonts w:ascii="Times New Roman" w:eastAsia="Times New Roman" w:hAnsi="Times New Roman" w:cs="Times New Roman"/>
          <w:color w:val="000000"/>
          <w:spacing w:val="0"/>
          <w:w w:val="100"/>
          <w:position w:val="0"/>
        </w:rPr>
        <w:t>62%</w:t>
      </w:r>
      <w:r>
        <w:rPr>
          <w:color w:val="000000"/>
          <w:spacing w:val="0"/>
          <w:w w:val="100"/>
          <w:position w:val="0"/>
        </w:rPr>
        <w:t>，</w:t>
      </w:r>
      <w:r>
        <w:rPr>
          <w:rFonts w:ascii="Times New Roman" w:eastAsia="Times New Roman" w:hAnsi="Times New Roman" w:cs="Times New Roman"/>
          <w:color w:val="000000"/>
          <w:spacing w:val="0"/>
          <w:w w:val="100"/>
          <w:position w:val="0"/>
        </w:rPr>
        <w:t>16</w:t>
      </w:r>
      <w:r>
        <w:rPr>
          <w:color w:val="000000"/>
          <w:spacing w:val="0"/>
          <w:w w:val="100"/>
          <w:position w:val="0"/>
        </w:rPr>
        <w:t>位为</w:t>
      </w:r>
      <w:r>
        <w:rPr>
          <w:rFonts w:ascii="Times New Roman" w:eastAsia="Times New Roman" w:hAnsi="Times New Roman" w:cs="Times New Roman"/>
          <w:color w:val="000000"/>
          <w:spacing w:val="0"/>
          <w:w w:val="100"/>
          <w:position w:val="0"/>
        </w:rPr>
        <w:t>23%</w:t>
      </w:r>
      <w:r>
        <w:rPr>
          <w:color w:val="000000"/>
          <w:spacing w:val="0"/>
          <w:w w:val="100"/>
          <w:position w:val="0"/>
        </w:rPr>
        <w:t xml:space="preserve">, </w:t>
      </w:r>
      <w:r>
        <w:rPr>
          <w:rFonts w:ascii="Times New Roman" w:eastAsia="Times New Roman" w:hAnsi="Times New Roman" w:cs="Times New Roman"/>
          <w:color w:val="000000"/>
          <w:spacing w:val="0"/>
          <w:w w:val="100"/>
          <w:position w:val="0"/>
        </w:rPr>
        <w:t>4/8</w:t>
      </w:r>
      <w:r>
        <w:rPr>
          <w:color w:val="000000"/>
          <w:spacing w:val="0"/>
          <w:w w:val="100"/>
          <w:position w:val="0"/>
        </w:rPr>
        <w:t>位为</w:t>
      </w:r>
      <w:r>
        <w:rPr>
          <w:rFonts w:ascii="Times New Roman" w:eastAsia="Times New Roman" w:hAnsi="Times New Roman" w:cs="Times New Roman"/>
          <w:color w:val="000000"/>
          <w:spacing w:val="0"/>
          <w:w w:val="100"/>
          <w:position w:val="0"/>
        </w:rPr>
        <w:t>15%</w:t>
      </w:r>
      <w:r>
        <w:rPr>
          <w:color w:val="000000"/>
          <w:spacing w:val="0"/>
          <w:w w:val="100"/>
          <w:position w:val="0"/>
        </w:rPr>
        <w:t>。预计到</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32</w:t>
      </w:r>
      <w:r>
        <w:rPr>
          <w:color w:val="000000"/>
          <w:spacing w:val="0"/>
          <w:w w:val="100"/>
          <w:position w:val="0"/>
        </w:rPr>
        <w:t>位</w:t>
      </w:r>
      <w:r>
        <w:rPr>
          <w:rFonts w:ascii="Times New Roman" w:eastAsia="Times New Roman" w:hAnsi="Times New Roman" w:cs="Times New Roman"/>
          <w:color w:val="000000"/>
          <w:spacing w:val="0"/>
          <w:w w:val="100"/>
          <w:position w:val="0"/>
        </w:rPr>
        <w:t>MCU</w:t>
      </w:r>
      <w:r>
        <w:rPr>
          <w:color w:val="000000"/>
          <w:spacing w:val="0"/>
          <w:w w:val="100"/>
          <w:position w:val="0"/>
        </w:rPr>
        <w:t>的市场占比有望达</w:t>
      </w:r>
      <w:r>
        <w:rPr>
          <w:rFonts w:ascii="Times New Roman" w:eastAsia="Times New Roman" w:hAnsi="Times New Roman" w:cs="Times New Roman"/>
          <w:color w:val="000000"/>
          <w:spacing w:val="0"/>
          <w:w w:val="100"/>
          <w:position w:val="0"/>
        </w:rPr>
        <w:t>71%</w:t>
      </w:r>
      <w:r>
        <w:rPr>
          <w:color w:val="000000"/>
          <w:spacing w:val="0"/>
          <w:w w:val="100"/>
          <w:position w:val="0"/>
        </w:rPr>
        <w:t>。</w:t>
      </w:r>
    </w:p>
    <w:p>
      <w:pPr>
        <w:pStyle w:val="Style44"/>
        <w:keepNext w:val="0"/>
        <w:keepLines w:val="0"/>
        <w:widowControl w:val="0"/>
        <w:shd w:val="clear" w:color="auto" w:fill="auto"/>
        <w:bidi w:val="0"/>
        <w:spacing w:before="0" w:after="0" w:line="467" w:lineRule="exact"/>
        <w:ind w:left="0" w:right="0" w:firstLine="740"/>
        <w:jc w:val="both"/>
      </w:pPr>
      <w:bookmarkStart w:id="59" w:name="bookmark59"/>
      <w:r>
        <w:rPr>
          <w:rFonts w:ascii="Times New Roman" w:eastAsia="Times New Roman" w:hAnsi="Times New Roman" w:cs="Times New Roman"/>
          <w:color w:val="000000"/>
          <w:spacing w:val="0"/>
          <w:w w:val="100"/>
          <w:position w:val="0"/>
        </w:rPr>
        <w:t>7</w:t>
      </w:r>
      <w:bookmarkEnd w:id="59"/>
      <w:r>
        <w:rPr>
          <w:color w:val="000000"/>
          <w:spacing w:val="0"/>
          <w:w w:val="100"/>
          <w:position w:val="0"/>
        </w:rPr>
        <w:t>、公司所处行业地位</w:t>
      </w:r>
    </w:p>
    <w:p>
      <w:pPr>
        <w:pStyle w:val="Style44"/>
        <w:keepNext w:val="0"/>
        <w:keepLines w:val="0"/>
        <w:widowControl w:val="0"/>
        <w:shd w:val="clear" w:color="auto" w:fill="auto"/>
        <w:bidi w:val="0"/>
        <w:spacing w:before="0" w:after="0" w:line="467" w:lineRule="exact"/>
        <w:ind w:left="280" w:right="0" w:firstLine="460"/>
        <w:jc w:val="both"/>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393" w:right="841" w:bottom="1575" w:left="979" w:header="0" w:footer="3" w:gutter="0"/>
          <w:pgNumType w:start="12"/>
          <w:cols w:space="720"/>
          <w:noEndnote/>
          <w:rtlGutter w:val="0"/>
          <w:docGrid w:linePitch="360"/>
        </w:sectPr>
      </w:pPr>
      <w:r>
        <w:rPr>
          <w:color w:val="000000"/>
          <w:spacing w:val="0"/>
          <w:w w:val="100"/>
          <w:position w:val="0"/>
        </w:rPr>
        <w:t>公司持续深耕信息安全市场和技术领域，作为我国最早的商用密码核心定点单位，以具有 特定优势的安全密码算法性能、低功耗及无线连接传输沉淀下来的核心技术，长期积累了丰厚 的技术优势；支撑了公司不断的提升产品安全性与产品性价比，不断的提高产品市场竞争力和 客户服务水平；同时，通过拓展多元化新产品应用市场空间，降低对既有产品市场需求的业务 依赖，弥补市场变化因素带来的不利影响；（</w:t>
      </w:r>
      <w:r>
        <w:rPr>
          <w:rFonts w:ascii="Times New Roman" w:eastAsia="Times New Roman" w:hAnsi="Times New Roman" w:cs="Times New Roman"/>
          <w:color w:val="000000"/>
          <w:spacing w:val="0"/>
          <w:w w:val="100"/>
          <w:position w:val="0"/>
        </w:rPr>
        <w:t>1</w:t>
      </w:r>
      <w:r>
        <w:rPr>
          <w:color w:val="000000"/>
          <w:spacing w:val="0"/>
          <w:w w:val="100"/>
          <w:position w:val="0"/>
        </w:rPr>
        <w:t>）保持安全芯片在行业市场中的较高市占率。其 中公司</w:t>
      </w:r>
      <w:r>
        <w:rPr>
          <w:rFonts w:ascii="Times New Roman" w:eastAsia="Times New Roman" w:hAnsi="Times New Roman" w:cs="Times New Roman"/>
          <w:color w:val="000000"/>
          <w:spacing w:val="0"/>
          <w:w w:val="100"/>
          <w:position w:val="0"/>
        </w:rPr>
        <w:t>U SBKE Y</w:t>
      </w:r>
      <w:r>
        <w:rPr>
          <w:color w:val="000000"/>
          <w:spacing w:val="0"/>
          <w:w w:val="100"/>
          <w:position w:val="0"/>
        </w:rPr>
        <w:t>芯片、蓝牙</w:t>
      </w:r>
      <w:r>
        <w:rPr>
          <w:rFonts w:ascii="Times New Roman" w:eastAsia="Times New Roman" w:hAnsi="Times New Roman" w:cs="Times New Roman"/>
          <w:color w:val="000000"/>
          <w:spacing w:val="0"/>
          <w:w w:val="100"/>
          <w:position w:val="0"/>
        </w:rPr>
        <w:t>KEY</w:t>
      </w:r>
      <w:r>
        <w:rPr>
          <w:color w:val="000000"/>
          <w:spacing w:val="0"/>
          <w:w w:val="100"/>
          <w:position w:val="0"/>
        </w:rPr>
        <w:t>芯片和行业智能卡芯片产品的领先，已成为行业市场主要的芯 片产品供货商；（</w:t>
      </w:r>
      <w:r>
        <w:rPr>
          <w:rFonts w:ascii="Times New Roman" w:eastAsia="Times New Roman" w:hAnsi="Times New Roman" w:cs="Times New Roman"/>
          <w:color w:val="000000"/>
          <w:spacing w:val="0"/>
          <w:w w:val="100"/>
          <w:position w:val="0"/>
        </w:rPr>
        <w:t>2</w:t>
      </w:r>
      <w:r>
        <w:rPr>
          <w:color w:val="000000"/>
          <w:spacing w:val="0"/>
          <w:w w:val="100"/>
          <w:position w:val="0"/>
        </w:rPr>
        <w:t>）公司在全球可信计算领域深耕多年，是国内最大的可信计算芯片厂商，国 内商业市场占有率已超过</w:t>
      </w:r>
      <w:r>
        <w:rPr>
          <w:rFonts w:ascii="Times New Roman" w:eastAsia="Times New Roman" w:hAnsi="Times New Roman" w:cs="Times New Roman"/>
          <w:color w:val="000000"/>
          <w:spacing w:val="0"/>
          <w:w w:val="100"/>
          <w:position w:val="0"/>
        </w:rPr>
        <w:t>85%</w:t>
      </w:r>
      <w:r>
        <w:rPr>
          <w:color w:val="000000"/>
          <w:spacing w:val="0"/>
          <w:w w:val="100"/>
          <w:position w:val="0"/>
        </w:rPr>
        <w:t>，同时公司参与全球安全芯片市场的销售，与微软、</w:t>
      </w:r>
      <w:r>
        <w:rPr>
          <w:rFonts w:ascii="Times New Roman" w:eastAsia="Times New Roman" w:hAnsi="Times New Roman" w:cs="Times New Roman"/>
          <w:color w:val="000000"/>
          <w:spacing w:val="0"/>
          <w:w w:val="100"/>
          <w:position w:val="0"/>
        </w:rPr>
        <w:t xml:space="preserve">Inte </w:t>
      </w:r>
      <w:r>
        <w:rPr>
          <w:rFonts w:ascii="Times New Roman" w:eastAsia="Times New Roman" w:hAnsi="Times New Roman" w:cs="Times New Roman"/>
          <w:color w:val="000000"/>
          <w:spacing w:val="0"/>
          <w:w w:val="100"/>
          <w:position w:val="0"/>
        </w:rPr>
        <w:t>1</w:t>
      </w:r>
      <w:r>
        <w:rPr>
          <w:color w:val="000000"/>
          <w:spacing w:val="0"/>
          <w:w w:val="100"/>
          <w:position w:val="0"/>
        </w:rPr>
        <w:t>等国际一 流厂商保持长期合作，将继续扩展全球市场的销售份额。</w:t>
      </w:r>
    </w:p>
    <w:p>
      <w:pPr>
        <w:pStyle w:val="Style44"/>
        <w:keepNext w:val="0"/>
        <w:keepLines w:val="0"/>
        <w:widowControl w:val="0"/>
        <w:shd w:val="clear" w:color="auto" w:fill="auto"/>
        <w:bidi w:val="0"/>
        <w:spacing w:before="0" w:after="0" w:line="469" w:lineRule="exact"/>
        <w:ind w:left="260" w:right="0" w:firstLine="460"/>
        <w:jc w:val="both"/>
      </w:pPr>
      <w:r>
        <w:rPr>
          <w:color w:val="000000"/>
          <w:spacing w:val="0"/>
          <w:w w:val="100"/>
          <w:position w:val="0"/>
        </w:rPr>
        <w:t>通用</w:t>
      </w:r>
      <w:r>
        <w:rPr>
          <w:rFonts w:ascii="Times New Roman" w:eastAsia="Times New Roman" w:hAnsi="Times New Roman" w:cs="Times New Roman"/>
          <w:color w:val="000000"/>
          <w:spacing w:val="0"/>
          <w:w w:val="100"/>
          <w:position w:val="0"/>
        </w:rPr>
        <w:t>MCU</w:t>
      </w:r>
      <w:r>
        <w:rPr>
          <w:color w:val="000000"/>
          <w:spacing w:val="0"/>
          <w:w w:val="100"/>
          <w:position w:val="0"/>
        </w:rPr>
        <w:t>领域，公司依靠精准市场定位，投入研发力量开发高性能、低功耗、安全可工业 应用的高集成度通用</w:t>
      </w:r>
      <w:r>
        <w:rPr>
          <w:rFonts w:ascii="Times New Roman" w:eastAsia="Times New Roman" w:hAnsi="Times New Roman" w:cs="Times New Roman"/>
          <w:color w:val="000000"/>
          <w:spacing w:val="0"/>
          <w:w w:val="100"/>
          <w:position w:val="0"/>
        </w:rPr>
        <w:t>MCU</w:t>
      </w:r>
      <w:r>
        <w:rPr>
          <w:color w:val="000000"/>
          <w:spacing w:val="0"/>
          <w:w w:val="100"/>
          <w:position w:val="0"/>
        </w:rPr>
        <w:t>产品，积极布局</w:t>
      </w:r>
      <w:r>
        <w:rPr>
          <w:rFonts w:ascii="Times New Roman" w:eastAsia="Times New Roman" w:hAnsi="Times New Roman" w:cs="Times New Roman"/>
          <w:color w:val="000000"/>
          <w:spacing w:val="0"/>
          <w:w w:val="100"/>
          <w:position w:val="0"/>
        </w:rPr>
        <w:t>32</w:t>
      </w:r>
      <w:r>
        <w:rPr>
          <w:color w:val="000000"/>
          <w:spacing w:val="0"/>
          <w:w w:val="100"/>
          <w:position w:val="0"/>
        </w:rPr>
        <w:t>位高、中、低全系列、全产品线路径</w:t>
      </w:r>
      <w:r>
        <w:rPr>
          <w:rFonts w:ascii="Times New Roman" w:eastAsia="Times New Roman" w:hAnsi="Times New Roman" w:cs="Times New Roman"/>
          <w:color w:val="000000"/>
          <w:spacing w:val="0"/>
          <w:w w:val="100"/>
          <w:position w:val="0"/>
        </w:rPr>
        <w:t>MCU</w:t>
      </w:r>
      <w:r>
        <w:rPr>
          <w:color w:val="000000"/>
          <w:spacing w:val="0"/>
          <w:w w:val="100"/>
          <w:position w:val="0"/>
        </w:rPr>
        <w:t>，</w:t>
      </w:r>
      <w:r>
        <w:rPr>
          <w:color w:val="000000"/>
          <w:spacing w:val="0"/>
          <w:w w:val="100"/>
          <w:position w:val="0"/>
        </w:rPr>
        <w:t>覆盖工 业控制、智慧城市、智能家电、医疗健康、生物识别、机器人控制等多种物联网应用场景。报 告期内，公司推出</w:t>
      </w:r>
      <w:r>
        <w:rPr>
          <w:rFonts w:ascii="Times New Roman" w:eastAsia="Times New Roman" w:hAnsi="Times New Roman" w:cs="Times New Roman"/>
          <w:color w:val="000000"/>
          <w:spacing w:val="0"/>
          <w:w w:val="100"/>
          <w:position w:val="0"/>
        </w:rPr>
        <w:t>70</w:t>
      </w:r>
      <w:r>
        <w:rPr>
          <w:color w:val="000000"/>
          <w:spacing w:val="0"/>
          <w:w w:val="100"/>
          <w:position w:val="0"/>
        </w:rPr>
        <w:t>余款基于</w:t>
      </w:r>
      <w:r>
        <w:rPr>
          <w:rFonts w:ascii="Times New Roman" w:eastAsia="Times New Roman" w:hAnsi="Times New Roman" w:cs="Times New Roman"/>
          <w:color w:val="000000"/>
          <w:spacing w:val="0"/>
          <w:w w:val="100"/>
          <w:position w:val="0"/>
        </w:rPr>
        <w:t>ARM Cortex-M</w:t>
      </w:r>
      <w:r>
        <w:rPr>
          <w:rFonts w:ascii="Times New Roman" w:eastAsia="Times New Roman" w:hAnsi="Times New Roman" w:cs="Times New Roman"/>
          <w:color w:val="000000"/>
          <w:spacing w:val="0"/>
          <w:w w:val="100"/>
          <w:position w:val="0"/>
        </w:rPr>
        <w:t>0</w:t>
      </w:r>
      <w:r>
        <w:rPr>
          <w:color w:val="000000"/>
          <w:spacing w:val="0"/>
          <w:w w:val="100"/>
          <w:position w:val="0"/>
        </w:rPr>
        <w:t>及</w:t>
      </w:r>
      <w:r>
        <w:rPr>
          <w:rFonts w:ascii="Times New Roman" w:eastAsia="Times New Roman" w:hAnsi="Times New Roman" w:cs="Times New Roman"/>
          <w:color w:val="000000"/>
          <w:spacing w:val="0"/>
          <w:w w:val="100"/>
          <w:position w:val="0"/>
        </w:rPr>
        <w:t>M4</w:t>
      </w:r>
      <w:r>
        <w:rPr>
          <w:color w:val="000000"/>
          <w:spacing w:val="0"/>
          <w:w w:val="100"/>
          <w:position w:val="0"/>
        </w:rPr>
        <w:t>内核的通用安全</w:t>
      </w:r>
      <w:r>
        <w:rPr>
          <w:rFonts w:ascii="Times New Roman" w:eastAsia="Times New Roman" w:hAnsi="Times New Roman" w:cs="Times New Roman"/>
          <w:color w:val="000000"/>
          <w:spacing w:val="0"/>
          <w:w w:val="100"/>
          <w:position w:val="0"/>
        </w:rPr>
        <w:t>MCU</w:t>
      </w:r>
      <w:r>
        <w:rPr>
          <w:color w:val="000000"/>
          <w:spacing w:val="0"/>
          <w:w w:val="100"/>
          <w:position w:val="0"/>
        </w:rPr>
        <w:t>产品，多款产品和方案 进入批量供货状态。公司将通过不断完善产品系列和持续服务，深入应用场景打磨解决方案， 并充分利用产业后发优势及公司</w:t>
      </w:r>
      <w:r>
        <w:rPr>
          <w:rFonts w:ascii="Times New Roman" w:eastAsia="Times New Roman" w:hAnsi="Times New Roman" w:cs="Times New Roman"/>
          <w:color w:val="000000"/>
          <w:spacing w:val="0"/>
          <w:w w:val="100"/>
          <w:position w:val="0"/>
        </w:rPr>
        <w:t>MCU</w:t>
      </w:r>
      <w:r>
        <w:rPr>
          <w:color w:val="000000"/>
          <w:spacing w:val="0"/>
          <w:w w:val="100"/>
          <w:position w:val="0"/>
        </w:rPr>
        <w:t>产品高集成度、高性能、低功耗、高性价比、安全性等差 异化优势，以提高</w:t>
      </w:r>
      <w:r>
        <w:rPr>
          <w:rFonts w:ascii="Times New Roman" w:eastAsia="Times New Roman" w:hAnsi="Times New Roman" w:cs="Times New Roman"/>
          <w:color w:val="000000"/>
          <w:spacing w:val="0"/>
          <w:w w:val="100"/>
          <w:position w:val="0"/>
        </w:rPr>
        <w:t>MCU</w:t>
      </w:r>
      <w:r>
        <w:rPr>
          <w:color w:val="000000"/>
          <w:spacing w:val="0"/>
          <w:w w:val="100"/>
          <w:position w:val="0"/>
        </w:rPr>
        <w:t>市场竞争力，努力在通用</w:t>
      </w:r>
      <w:r>
        <w:rPr>
          <w:rFonts w:ascii="Times New Roman" w:eastAsia="Times New Roman" w:hAnsi="Times New Roman" w:cs="Times New Roman"/>
          <w:color w:val="000000"/>
          <w:spacing w:val="0"/>
          <w:w w:val="100"/>
          <w:position w:val="0"/>
        </w:rPr>
        <w:t>MCU</w:t>
      </w:r>
      <w:r>
        <w:rPr>
          <w:color w:val="000000"/>
          <w:spacing w:val="0"/>
          <w:w w:val="100"/>
          <w:position w:val="0"/>
        </w:rPr>
        <w:t>领域将公司打造成为集技术优势、产品种 类的丰富性、交付质量稳定性为一体的国内领先、国际一流企业。</w:t>
      </w:r>
    </w:p>
    <w:p>
      <w:pPr>
        <w:pStyle w:val="Style44"/>
        <w:keepNext w:val="0"/>
        <w:keepLines w:val="0"/>
        <w:widowControl w:val="0"/>
        <w:shd w:val="clear" w:color="auto" w:fill="auto"/>
        <w:bidi w:val="0"/>
        <w:spacing w:before="0" w:after="0" w:line="469" w:lineRule="exact"/>
        <w:ind w:left="0" w:right="0" w:firstLine="700"/>
        <w:jc w:val="both"/>
      </w:pPr>
      <w:bookmarkStart w:id="60" w:name="bookmark60"/>
      <w:r>
        <w:rPr>
          <w:rFonts w:ascii="Times New Roman" w:eastAsia="Times New Roman" w:hAnsi="Times New Roman" w:cs="Times New Roman"/>
          <w:color w:val="000000"/>
          <w:spacing w:val="0"/>
          <w:w w:val="100"/>
          <w:position w:val="0"/>
        </w:rPr>
        <w:t>8</w:t>
      </w:r>
      <w:bookmarkEnd w:id="60"/>
      <w:r>
        <w:rPr>
          <w:color w:val="000000"/>
          <w:spacing w:val="0"/>
          <w:w w:val="100"/>
          <w:position w:val="0"/>
        </w:rPr>
        <w:t>、公司国内外主要同行业公司</w:t>
      </w:r>
    </w:p>
    <w:p>
      <w:pPr>
        <w:pStyle w:val="Style44"/>
        <w:keepNext w:val="0"/>
        <w:keepLines w:val="0"/>
        <w:widowControl w:val="0"/>
        <w:shd w:val="clear" w:color="auto" w:fill="auto"/>
        <w:bidi w:val="0"/>
        <w:spacing w:before="0" w:after="240" w:line="466" w:lineRule="exact"/>
        <w:ind w:left="260" w:right="0" w:firstLine="460"/>
        <w:jc w:val="both"/>
      </w:pPr>
      <w:r>
        <w:rPr>
          <w:color w:val="000000"/>
          <w:spacing w:val="0"/>
          <w:w w:val="100"/>
          <w:position w:val="0"/>
        </w:rPr>
        <w:t>国内外同行业公司主要有意法半导体、恩智浦半导体、英飞凌、瑞萨电子、紫光国微、复 旦微电子、兆易创新、华大半导体等芯片企业。</w:t>
      </w:r>
    </w:p>
    <w:p>
      <w:pPr>
        <w:pStyle w:val="Style44"/>
        <w:keepNext w:val="0"/>
        <w:keepLines w:val="0"/>
        <w:widowControl w:val="0"/>
        <w:shd w:val="clear" w:color="auto" w:fill="auto"/>
        <w:bidi w:val="0"/>
        <w:spacing w:before="0" w:after="0" w:line="468" w:lineRule="exact"/>
        <w:ind w:left="0" w:right="0" w:firstLine="700"/>
        <w:jc w:val="both"/>
      </w:pPr>
      <w:bookmarkStart w:id="61" w:name="bookmark61"/>
      <w:r>
        <w:rPr>
          <w:b/>
          <w:bCs/>
          <w:color w:val="000000"/>
          <w:spacing w:val="0"/>
          <w:w w:val="100"/>
          <w:position w:val="0"/>
        </w:rPr>
        <w:t>（</w:t>
      </w:r>
      <w:bookmarkEnd w:id="61"/>
      <w:r>
        <w:rPr>
          <w:b/>
          <w:bCs/>
          <w:color w:val="000000"/>
          <w:spacing w:val="0"/>
          <w:w w:val="100"/>
          <w:position w:val="0"/>
        </w:rPr>
        <w:t>二）新能源负极材料领域</w:t>
      </w:r>
    </w:p>
    <w:p>
      <w:pPr>
        <w:pStyle w:val="Style44"/>
        <w:keepNext w:val="0"/>
        <w:keepLines w:val="0"/>
        <w:widowControl w:val="0"/>
        <w:shd w:val="clear" w:color="auto" w:fill="auto"/>
        <w:tabs>
          <w:tab w:pos="1049" w:val="left"/>
        </w:tabs>
        <w:bidi w:val="0"/>
        <w:spacing w:before="0" w:after="0" w:line="468" w:lineRule="exact"/>
        <w:ind w:left="0" w:right="0" w:firstLine="700"/>
        <w:jc w:val="both"/>
      </w:pPr>
      <w:bookmarkStart w:id="62" w:name="bookmark62"/>
      <w:r>
        <w:rPr>
          <w:rFonts w:ascii="Times New Roman" w:eastAsia="Times New Roman" w:hAnsi="Times New Roman" w:cs="Times New Roman"/>
          <w:color w:val="000000"/>
          <w:spacing w:val="0"/>
          <w:w w:val="100"/>
          <w:position w:val="0"/>
        </w:rPr>
        <w:t>1</w:t>
      </w:r>
      <w:bookmarkEnd w:id="62"/>
      <w:r>
        <w:rPr>
          <w:color w:val="000000"/>
          <w:spacing w:val="0"/>
          <w:w w:val="100"/>
          <w:position w:val="0"/>
        </w:rPr>
        <w:t>、</w:t>
        <w:tab/>
        <w:t>主要业务及产品</w:t>
      </w:r>
    </w:p>
    <w:p>
      <w:pPr>
        <w:pStyle w:val="Style44"/>
        <w:keepNext w:val="0"/>
        <w:keepLines w:val="0"/>
        <w:widowControl w:val="0"/>
        <w:shd w:val="clear" w:color="auto" w:fill="auto"/>
        <w:bidi w:val="0"/>
        <w:spacing w:before="0" w:after="0" w:line="468" w:lineRule="exact"/>
        <w:ind w:left="260" w:right="0" w:firstLine="460"/>
        <w:jc w:val="both"/>
      </w:pPr>
      <w:r>
        <w:rPr>
          <w:color w:val="000000"/>
          <w:spacing w:val="0"/>
          <w:w w:val="100"/>
          <w:position w:val="0"/>
        </w:rPr>
        <w:t>新能源负极材料领域业务由子公司斯诺实业承担，其主要从事锂离子电池负极材料研发、 生产和销售，以及石墨化加工服务。负极材料主要应用于新能源汽车动力电池、</w:t>
      </w:r>
      <w:r>
        <w:rPr>
          <w:rFonts w:ascii="Times New Roman" w:eastAsia="Times New Roman" w:hAnsi="Times New Roman" w:cs="Times New Roman"/>
          <w:color w:val="000000"/>
          <w:spacing w:val="0"/>
          <w:w w:val="100"/>
          <w:position w:val="0"/>
        </w:rPr>
        <w:t>3C</w:t>
      </w:r>
      <w:r>
        <w:rPr>
          <w:color w:val="000000"/>
          <w:spacing w:val="0"/>
          <w:w w:val="100"/>
          <w:position w:val="0"/>
        </w:rPr>
        <w:t>数码和储能 等锂电池领域；石墨化加工工艺是锂离子电池负极材料生产过程中的重要环节之一。目前石墨 化加工主要为配套公司自身人造石墨负极材料生产，在满足企业内部需求的基础上，为行业其 他用户提供石墨化加工服务。</w:t>
      </w:r>
    </w:p>
    <w:p>
      <w:pPr>
        <w:pStyle w:val="Style44"/>
        <w:keepNext w:val="0"/>
        <w:keepLines w:val="0"/>
        <w:widowControl w:val="0"/>
        <w:shd w:val="clear" w:color="auto" w:fill="auto"/>
        <w:tabs>
          <w:tab w:pos="1068" w:val="left"/>
        </w:tabs>
        <w:bidi w:val="0"/>
        <w:spacing w:before="0" w:after="0" w:line="468" w:lineRule="exact"/>
        <w:ind w:left="0" w:right="0" w:firstLine="700"/>
        <w:jc w:val="both"/>
      </w:pPr>
      <w:bookmarkStart w:id="63" w:name="bookmark63"/>
      <w:r>
        <w:rPr>
          <w:rFonts w:ascii="Times New Roman" w:eastAsia="Times New Roman" w:hAnsi="Times New Roman" w:cs="Times New Roman"/>
          <w:color w:val="000000"/>
          <w:spacing w:val="0"/>
          <w:w w:val="100"/>
          <w:position w:val="0"/>
        </w:rPr>
        <w:t>2</w:t>
      </w:r>
      <w:bookmarkEnd w:id="63"/>
      <w:r>
        <w:rPr>
          <w:color w:val="000000"/>
          <w:spacing w:val="0"/>
          <w:w w:val="100"/>
          <w:position w:val="0"/>
        </w:rPr>
        <w:t>、</w:t>
        <w:tab/>
        <w:t>经营模式</w:t>
      </w:r>
    </w:p>
    <w:p>
      <w:pPr>
        <w:pStyle w:val="Style44"/>
        <w:keepNext w:val="0"/>
        <w:keepLines w:val="0"/>
        <w:widowControl w:val="0"/>
        <w:shd w:val="clear" w:color="auto" w:fill="auto"/>
        <w:tabs>
          <w:tab w:pos="1333" w:val="left"/>
        </w:tabs>
        <w:bidi w:val="0"/>
        <w:spacing w:before="0" w:after="0" w:line="470" w:lineRule="exact"/>
        <w:ind w:left="260" w:right="0" w:firstLine="460"/>
        <w:jc w:val="both"/>
      </w:pPr>
      <w:bookmarkStart w:id="64" w:name="bookmark64"/>
      <w:r>
        <w:rPr>
          <w:color w:val="000000"/>
          <w:spacing w:val="0"/>
          <w:w w:val="100"/>
          <w:position w:val="0"/>
        </w:rPr>
        <w:t>（</w:t>
      </w:r>
      <w:bookmarkEnd w:id="64"/>
      <w:r>
        <w:rPr>
          <w:rFonts w:ascii="Times New Roman" w:eastAsia="Times New Roman" w:hAnsi="Times New Roman" w:cs="Times New Roman"/>
          <w:color w:val="000000"/>
          <w:spacing w:val="0"/>
          <w:w w:val="100"/>
          <w:position w:val="0"/>
        </w:rPr>
        <w:t>1</w:t>
      </w:r>
      <w:r>
        <w:rPr>
          <w:color w:val="000000"/>
          <w:spacing w:val="0"/>
          <w:w w:val="100"/>
          <w:position w:val="0"/>
        </w:rPr>
        <w:t>）</w:t>
        <w:tab/>
        <w:t>采购模式。斯诺诺实业采购的原材料主料为焦类产品、石墨，辅料为沥青，为保障原 材料的稳定供应，同时降低采购成本，采用“按需采购”的模式。</w:t>
      </w:r>
    </w:p>
    <w:p>
      <w:pPr>
        <w:pStyle w:val="Style44"/>
        <w:keepNext w:val="0"/>
        <w:keepLines w:val="0"/>
        <w:widowControl w:val="0"/>
        <w:shd w:val="clear" w:color="auto" w:fill="auto"/>
        <w:tabs>
          <w:tab w:pos="1329" w:val="left"/>
        </w:tabs>
        <w:bidi w:val="0"/>
        <w:spacing w:before="0" w:after="0" w:line="475" w:lineRule="exact"/>
        <w:ind w:left="260" w:right="0" w:firstLine="460"/>
        <w:jc w:val="both"/>
      </w:pPr>
      <w:bookmarkStart w:id="65" w:name="bookmark65"/>
      <w:r>
        <w:rPr>
          <w:color w:val="000000"/>
          <w:spacing w:val="0"/>
          <w:w w:val="100"/>
          <w:position w:val="0"/>
        </w:rPr>
        <w:t>（</w:t>
      </w:r>
      <w:bookmarkEnd w:id="65"/>
      <w:r>
        <w:rPr>
          <w:rFonts w:ascii="Times New Roman" w:eastAsia="Times New Roman" w:hAnsi="Times New Roman" w:cs="Times New Roman"/>
          <w:color w:val="000000"/>
          <w:spacing w:val="0"/>
          <w:w w:val="100"/>
          <w:position w:val="0"/>
        </w:rPr>
        <w:t>2</w:t>
      </w:r>
      <w:r>
        <w:rPr>
          <w:color w:val="000000"/>
          <w:spacing w:val="0"/>
          <w:w w:val="100"/>
          <w:position w:val="0"/>
        </w:rPr>
        <w:t>）</w:t>
        <w:tab/>
        <w:t>生产模式。斯诺实业实行“自主生产”模式，结合各类型产品的销售情况、原材料和 成品库存量，制定下月生产计划。石墨化加工主要配套自身负极材料石墨化加工需求，在满足 自身需求的基础上剩余产能可对外提供加工服务。</w:t>
      </w:r>
    </w:p>
    <w:p>
      <w:pPr>
        <w:pStyle w:val="Style44"/>
        <w:keepNext w:val="0"/>
        <w:keepLines w:val="0"/>
        <w:widowControl w:val="0"/>
        <w:shd w:val="clear" w:color="auto" w:fill="auto"/>
        <w:tabs>
          <w:tab w:pos="1333" w:val="left"/>
        </w:tabs>
        <w:bidi w:val="0"/>
        <w:spacing w:before="0" w:after="0" w:line="475" w:lineRule="exact"/>
        <w:ind w:left="260" w:right="0" w:firstLine="460"/>
        <w:jc w:val="both"/>
      </w:pPr>
      <w:bookmarkStart w:id="66" w:name="bookmark66"/>
      <w:r>
        <w:rPr>
          <w:color w:val="000000"/>
          <w:spacing w:val="0"/>
          <w:w w:val="100"/>
          <w:position w:val="0"/>
        </w:rPr>
        <w:t>（</w:t>
      </w:r>
      <w:bookmarkEnd w:id="66"/>
      <w:r>
        <w:rPr>
          <w:rFonts w:ascii="Times New Roman" w:eastAsia="Times New Roman" w:hAnsi="Times New Roman" w:cs="Times New Roman"/>
          <w:color w:val="000000"/>
          <w:spacing w:val="0"/>
          <w:w w:val="100"/>
          <w:position w:val="0"/>
        </w:rPr>
        <w:t>3</w:t>
      </w:r>
      <w:r>
        <w:rPr>
          <w:color w:val="000000"/>
          <w:spacing w:val="0"/>
          <w:w w:val="100"/>
          <w:position w:val="0"/>
        </w:rPr>
        <w:t>）</w:t>
        <w:tab/>
        <w:t>销售模式。斯诺实业以直销为主，通过多种渠道积极响应行业内客户需求，加快自身 技术和产品的升级速度。</w:t>
      </w:r>
    </w:p>
    <w:p>
      <w:pPr>
        <w:pStyle w:val="Style44"/>
        <w:keepNext w:val="0"/>
        <w:keepLines w:val="0"/>
        <w:widowControl w:val="0"/>
        <w:shd w:val="clear" w:color="auto" w:fill="auto"/>
        <w:tabs>
          <w:tab w:pos="1068" w:val="left"/>
        </w:tabs>
        <w:bidi w:val="0"/>
        <w:spacing w:before="0" w:after="0" w:line="470" w:lineRule="exact"/>
        <w:ind w:left="0" w:right="0" w:firstLine="700"/>
        <w:jc w:val="both"/>
      </w:pPr>
      <w:bookmarkStart w:id="67" w:name="bookmark67"/>
      <w:r>
        <w:rPr>
          <w:rFonts w:ascii="Times New Roman" w:eastAsia="Times New Roman" w:hAnsi="Times New Roman" w:cs="Times New Roman"/>
          <w:color w:val="000000"/>
          <w:spacing w:val="0"/>
          <w:w w:val="100"/>
          <w:position w:val="0"/>
        </w:rPr>
        <w:t>3</w:t>
      </w:r>
      <w:bookmarkEnd w:id="67"/>
      <w:r>
        <w:rPr>
          <w:color w:val="000000"/>
          <w:spacing w:val="0"/>
          <w:w w:val="100"/>
          <w:position w:val="0"/>
        </w:rPr>
        <w:t>、</w:t>
        <w:tab/>
        <w:t>行业发展情况及趋势</w:t>
      </w:r>
    </w:p>
    <w:p>
      <w:pPr>
        <w:pStyle w:val="Style44"/>
        <w:keepNext w:val="0"/>
        <w:keepLines w:val="0"/>
        <w:widowControl w:val="0"/>
        <w:shd w:val="clear" w:color="auto" w:fill="auto"/>
        <w:bidi w:val="0"/>
        <w:spacing w:before="0" w:after="120" w:line="470" w:lineRule="exact"/>
        <w:ind w:left="260" w:right="0" w:firstLine="460"/>
        <w:jc w:val="both"/>
      </w:pPr>
      <w:r>
        <w:rPr>
          <w:color w:val="000000"/>
          <w:spacing w:val="0"/>
          <w:w w:val="100"/>
          <w:position w:val="0"/>
        </w:rPr>
        <w:t>高工产研锂电研究所</w:t>
      </w:r>
      <w:r>
        <w:rPr>
          <w:color w:val="000000"/>
          <w:spacing w:val="0"/>
          <w:w w:val="100"/>
          <w:position w:val="0"/>
        </w:rPr>
        <w:t>（</w:t>
      </w:r>
      <w:r>
        <w:rPr>
          <w:rFonts w:ascii="Times New Roman" w:eastAsia="Times New Roman" w:hAnsi="Times New Roman" w:cs="Times New Roman"/>
          <w:color w:val="000000"/>
          <w:spacing w:val="0"/>
          <w:w w:val="100"/>
          <w:position w:val="0"/>
        </w:rPr>
        <w:t>GGII</w:t>
      </w:r>
      <w:r>
        <w:rPr>
          <w:color w:val="000000"/>
          <w:spacing w:val="0"/>
          <w:w w:val="100"/>
          <w:position w:val="0"/>
        </w:rPr>
        <w:t>）</w:t>
      </w:r>
      <w:r>
        <w:rPr>
          <w:color w:val="000000"/>
          <w:spacing w:val="0"/>
          <w:w w:val="100"/>
          <w:position w:val="0"/>
        </w:rPr>
        <w:t>调研数据显示，</w:t>
      </w:r>
      <w:r>
        <w:rPr>
          <w:rFonts w:ascii="Times New Roman" w:eastAsia="Times New Roman" w:hAnsi="Times New Roman" w:cs="Times New Roman"/>
          <w:color w:val="000000"/>
          <w:spacing w:val="0"/>
          <w:w w:val="100"/>
          <w:position w:val="0"/>
        </w:rPr>
        <w:t>2020</w:t>
      </w:r>
      <w:r>
        <w:rPr>
          <w:color w:val="000000"/>
          <w:spacing w:val="0"/>
          <w:w w:val="100"/>
          <w:position w:val="0"/>
        </w:rPr>
        <w:t>年中国负极材料出货</w:t>
      </w:r>
      <w:r>
        <w:rPr>
          <w:rFonts w:ascii="Times New Roman" w:eastAsia="Times New Roman" w:hAnsi="Times New Roman" w:cs="Times New Roman"/>
          <w:color w:val="000000"/>
          <w:spacing w:val="0"/>
          <w:w w:val="100"/>
          <w:position w:val="0"/>
        </w:rPr>
        <w:t>36.5</w:t>
      </w:r>
      <w:r>
        <w:rPr>
          <w:color w:val="000000"/>
          <w:spacing w:val="0"/>
          <w:w w:val="100"/>
          <w:position w:val="0"/>
        </w:rPr>
        <w:t>万吨，同比增 长</w:t>
      </w:r>
      <w:r>
        <w:rPr>
          <w:rFonts w:ascii="Times New Roman" w:eastAsia="Times New Roman" w:hAnsi="Times New Roman" w:cs="Times New Roman"/>
          <w:color w:val="000000"/>
          <w:spacing w:val="0"/>
          <w:w w:val="100"/>
          <w:position w:val="0"/>
        </w:rPr>
        <w:t>35%</w:t>
      </w:r>
      <w:r>
        <w:rPr>
          <w:color w:val="000000"/>
          <w:spacing w:val="0"/>
          <w:w w:val="100"/>
          <w:position w:val="0"/>
        </w:rPr>
        <w:t>,其中人造石墨产品占比持续提升，市场占比达到</w:t>
      </w:r>
      <w:r>
        <w:rPr>
          <w:rFonts w:ascii="Times New Roman" w:eastAsia="Times New Roman" w:hAnsi="Times New Roman" w:cs="Times New Roman"/>
          <w:color w:val="000000"/>
          <w:spacing w:val="0"/>
          <w:w w:val="100"/>
          <w:position w:val="0"/>
        </w:rPr>
        <w:t>84%</w:t>
      </w:r>
      <w:r>
        <w:rPr>
          <w:color w:val="000000"/>
          <w:spacing w:val="0"/>
          <w:w w:val="100"/>
          <w:position w:val="0"/>
        </w:rPr>
        <w:t>。预计</w:t>
      </w:r>
      <w:r>
        <w:rPr>
          <w:rFonts w:ascii="Times New Roman" w:eastAsia="Times New Roman" w:hAnsi="Times New Roman" w:cs="Times New Roman"/>
          <w:color w:val="000000"/>
          <w:spacing w:val="0"/>
          <w:w w:val="100"/>
          <w:position w:val="0"/>
        </w:rPr>
        <w:t>2021</w:t>
      </w:r>
      <w:r>
        <w:rPr>
          <w:color w:val="000000"/>
          <w:spacing w:val="0"/>
          <w:w w:val="100"/>
          <w:position w:val="0"/>
        </w:rPr>
        <w:t>年锂电池负极材料市场</w:t>
      </w:r>
    </w:p>
    <w:p>
      <w:pPr>
        <w:pStyle w:val="Style28"/>
        <w:keepNext w:val="0"/>
        <w:keepLines w:val="0"/>
        <w:widowControl w:val="0"/>
        <w:shd w:val="clear" w:color="auto" w:fill="auto"/>
        <w:bidi w:val="0"/>
        <w:spacing w:before="0" w:after="0" w:line="240" w:lineRule="auto"/>
        <w:ind w:left="0" w:right="0" w:firstLine="0"/>
        <w:jc w:val="center"/>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398" w:right="841" w:bottom="1268" w:left="979" w:header="0" w:footer="840" w:gutter="0"/>
          <w:pgNumType w:start="15"/>
          <w:cols w:space="720"/>
          <w:noEndnote/>
          <w:rtlGutter w:val="0"/>
          <w:docGrid w:linePitch="360"/>
        </w:sectPr>
      </w:pPr>
      <w:r>
        <w:rPr>
          <w:color w:val="000000"/>
          <w:spacing w:val="0"/>
          <w:w w:val="100"/>
          <w:position w:val="0"/>
        </w:rPr>
        <w:t>14</w:t>
      </w:r>
    </w:p>
    <w:p>
      <w:pPr>
        <w:pStyle w:val="Style44"/>
        <w:keepNext w:val="0"/>
        <w:keepLines w:val="0"/>
        <w:widowControl w:val="0"/>
        <w:shd w:val="clear" w:color="auto" w:fill="auto"/>
        <w:bidi w:val="0"/>
        <w:spacing w:before="0" w:after="0" w:line="469" w:lineRule="exact"/>
        <w:ind w:left="260" w:right="0" w:firstLine="0"/>
        <w:jc w:val="both"/>
      </w:pPr>
      <w:r>
        <w:rPr>
          <w:color w:val="000000"/>
          <w:spacing w:val="0"/>
          <w:w w:val="100"/>
          <w:position w:val="0"/>
        </w:rPr>
        <w:t>仍将维持增长，进而有力带动负极材料快速增长；海外动力电池企业产能释放加速，需求量增 加，有望进一步提升国内负极材料出口量规模。海外市场新建基站使得锂电池的渗透率将进一 步加快；国内</w:t>
      </w:r>
      <w:r>
        <w:rPr>
          <w:rFonts w:ascii="Times New Roman" w:eastAsia="Times New Roman" w:hAnsi="Times New Roman" w:cs="Times New Roman"/>
          <w:color w:val="000000"/>
          <w:spacing w:val="0"/>
          <w:w w:val="100"/>
          <w:position w:val="0"/>
        </w:rPr>
        <w:t>5G</w:t>
      </w:r>
      <w:r>
        <w:rPr>
          <w:color w:val="000000"/>
          <w:spacing w:val="0"/>
          <w:w w:val="100"/>
          <w:position w:val="0"/>
        </w:rPr>
        <w:t>通信基站锂电池也将迎来增量空间。</w:t>
      </w:r>
      <w:r>
        <w:rPr>
          <w:rFonts w:ascii="Times New Roman" w:eastAsia="Times New Roman" w:hAnsi="Times New Roman" w:cs="Times New Roman"/>
          <w:color w:val="000000"/>
          <w:spacing w:val="0"/>
          <w:w w:val="100"/>
          <w:position w:val="0"/>
        </w:rPr>
        <w:t>2020</w:t>
      </w:r>
      <w:r>
        <w:rPr>
          <w:color w:val="000000"/>
          <w:spacing w:val="0"/>
          <w:w w:val="100"/>
          <w:position w:val="0"/>
        </w:rPr>
        <w:t>年受肺炎疫情影响，政府利好政策刺 激下，“两新一重”建设持续推进，未来五年电动工程机械需求将迅速起量。</w:t>
      </w:r>
    </w:p>
    <w:p>
      <w:pPr>
        <w:pStyle w:val="Style44"/>
        <w:keepNext w:val="0"/>
        <w:keepLines w:val="0"/>
        <w:widowControl w:val="0"/>
        <w:shd w:val="clear" w:color="auto" w:fill="auto"/>
        <w:bidi w:val="0"/>
        <w:spacing w:before="0" w:after="0" w:line="469" w:lineRule="exact"/>
        <w:ind w:left="26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年负极材料市场随着石墨化产能释放以及规模化效应显现，石墨化加工价格下降，人 造石墨材料价格下降。</w:t>
      </w:r>
      <w:r>
        <w:rPr>
          <w:rFonts w:ascii="Times New Roman" w:eastAsia="Times New Roman" w:hAnsi="Times New Roman" w:cs="Times New Roman"/>
          <w:color w:val="000000"/>
          <w:spacing w:val="0"/>
          <w:w w:val="100"/>
          <w:position w:val="0"/>
        </w:rPr>
        <w:t>GGII</w:t>
      </w:r>
      <w:r>
        <w:rPr>
          <w:color w:val="000000"/>
          <w:spacing w:val="0"/>
          <w:w w:val="100"/>
          <w:position w:val="0"/>
        </w:rPr>
        <w:t>认为，未来负极材料市场竞争将进一步加剧，低端重复产能将被淘 汰，拥有核心技术和优势客户渠道的企业才能获得长足的发展，市场集中度将进一步提升，经 营压力加大。</w:t>
      </w:r>
    </w:p>
    <w:p>
      <w:pPr>
        <w:pStyle w:val="Style44"/>
        <w:keepNext w:val="0"/>
        <w:keepLines w:val="0"/>
        <w:widowControl w:val="0"/>
        <w:shd w:val="clear" w:color="auto" w:fill="auto"/>
        <w:bidi w:val="0"/>
        <w:spacing w:before="0" w:after="0" w:line="469" w:lineRule="exact"/>
        <w:ind w:left="0" w:right="0" w:firstLine="700"/>
        <w:jc w:val="both"/>
      </w:pPr>
      <w:bookmarkStart w:id="68" w:name="bookmark68"/>
      <w:r>
        <w:rPr>
          <w:rFonts w:ascii="Times New Roman" w:eastAsia="Times New Roman" w:hAnsi="Times New Roman" w:cs="Times New Roman"/>
          <w:color w:val="000000"/>
          <w:spacing w:val="0"/>
          <w:w w:val="100"/>
          <w:position w:val="0"/>
        </w:rPr>
        <w:t>4</w:t>
      </w:r>
      <w:bookmarkEnd w:id="68"/>
      <w:r>
        <w:rPr>
          <w:color w:val="000000"/>
          <w:spacing w:val="0"/>
          <w:w w:val="100"/>
          <w:position w:val="0"/>
        </w:rPr>
        <w:t>、所处行业地位</w:t>
      </w:r>
    </w:p>
    <w:p>
      <w:pPr>
        <w:pStyle w:val="Style44"/>
        <w:keepNext w:val="0"/>
        <w:keepLines w:val="0"/>
        <w:widowControl w:val="0"/>
        <w:shd w:val="clear" w:color="auto" w:fill="auto"/>
        <w:tabs>
          <w:tab w:pos="5828" w:val="left"/>
        </w:tabs>
        <w:bidi w:val="0"/>
        <w:spacing w:before="0" w:after="0" w:line="461" w:lineRule="exact"/>
        <w:ind w:left="260" w:right="0" w:firstLine="460"/>
        <w:jc w:val="both"/>
      </w:pPr>
      <w:r>
        <w:rPr>
          <w:color w:val="000000"/>
          <w:spacing w:val="0"/>
          <w:w w:val="100"/>
          <w:position w:val="0"/>
        </w:rPr>
        <w:t>目前，负极材料行业竞争激烈，国内锂离子电池负极材料生产企业众多，未来几年，国内 锂电负极材料生产企业的竞争主要体现在第二梯队企业对第一梯队企业的追赶，以及第二梯队 企业之间的竞争，行业集中度将进一步提高，行业内企业面临较大的市场竞争。从市场竞争格 局来看，</w:t>
      </w:r>
      <w:r>
        <w:rPr>
          <w:rFonts w:ascii="Times New Roman" w:eastAsia="Times New Roman" w:hAnsi="Times New Roman" w:cs="Times New Roman"/>
          <w:color w:val="000000"/>
          <w:spacing w:val="0"/>
          <w:w w:val="100"/>
          <w:position w:val="0"/>
        </w:rPr>
        <w:t>2019</w:t>
      </w:r>
      <w:r>
        <w:rPr>
          <w:color w:val="000000"/>
          <w:spacing w:val="0"/>
          <w:w w:val="100"/>
          <w:position w:val="0"/>
        </w:rPr>
        <w:t>年中国负极市场</w:t>
      </w:r>
      <w:r>
        <w:rPr>
          <w:rFonts w:ascii="Times New Roman" w:eastAsia="Times New Roman" w:hAnsi="Times New Roman" w:cs="Times New Roman"/>
          <w:color w:val="000000"/>
          <w:spacing w:val="0"/>
          <w:w w:val="100"/>
          <w:position w:val="0"/>
        </w:rPr>
        <w:t>TOP3</w:t>
      </w:r>
      <w:r>
        <w:rPr>
          <w:color w:val="000000"/>
          <w:spacing w:val="0"/>
          <w:w w:val="100"/>
          <w:position w:val="0"/>
        </w:rPr>
        <w:t>市场占比为</w:t>
      </w:r>
      <w:r>
        <w:rPr>
          <w:rFonts w:ascii="Times New Roman" w:eastAsia="Times New Roman" w:hAnsi="Times New Roman" w:cs="Times New Roman"/>
          <w:color w:val="000000"/>
          <w:spacing w:val="0"/>
          <w:w w:val="100"/>
          <w:position w:val="0"/>
        </w:rPr>
        <w:t>57%</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TOP3</w:t>
      </w:r>
      <w:r>
        <w:rPr>
          <w:color w:val="000000"/>
          <w:spacing w:val="0"/>
          <w:w w:val="100"/>
          <w:position w:val="0"/>
        </w:rPr>
        <w:t>市场占比为</w:t>
      </w:r>
      <w:r>
        <w:rPr>
          <w:rFonts w:ascii="Times New Roman" w:eastAsia="Times New Roman" w:hAnsi="Times New Roman" w:cs="Times New Roman"/>
          <w:color w:val="000000"/>
          <w:spacing w:val="0"/>
          <w:w w:val="100"/>
          <w:position w:val="0"/>
        </w:rPr>
        <w:t>53%</w:t>
      </w:r>
      <w:r>
        <w:rPr>
          <w:color w:val="000000"/>
          <w:spacing w:val="0"/>
          <w:w w:val="100"/>
          <w:position w:val="0"/>
        </w:rPr>
        <w:t>。市场集</w:t>
      </w:r>
    </w:p>
    <w:p>
      <w:pPr>
        <w:pStyle w:val="Style44"/>
        <w:keepNext w:val="0"/>
        <w:keepLines w:val="0"/>
        <w:widowControl w:val="0"/>
        <w:shd w:val="clear" w:color="auto" w:fill="auto"/>
        <w:bidi w:val="0"/>
        <w:spacing w:before="0" w:after="0" w:line="466" w:lineRule="exact"/>
        <w:ind w:left="260" w:right="0" w:firstLine="0"/>
        <w:jc w:val="both"/>
      </w:pPr>
      <w:r>
        <w:rPr>
          <w:color w:val="000000"/>
          <w:spacing w:val="0"/>
          <w:w w:val="100"/>
          <w:position w:val="0"/>
        </w:rPr>
        <w:t>中度下降的原因是由于下游需求共振导致下半年负极需求量大、产品需求种类丰富，头部负极 生产企业出现满产后产能不足，带动二三线梯队企业产能利用率提升。另外小动力、通讯储能 锂电池等对负极材料的性能要求低，价格敏感度高的市场，优先采购二三线梯队负极材料企业 产品，因此负极材料集中度有所下降。</w:t>
      </w:r>
    </w:p>
    <w:p>
      <w:pPr>
        <w:pStyle w:val="Style44"/>
        <w:keepNext w:val="0"/>
        <w:keepLines w:val="0"/>
        <w:widowControl w:val="0"/>
        <w:shd w:val="clear" w:color="auto" w:fill="auto"/>
        <w:bidi w:val="0"/>
        <w:spacing w:before="0" w:after="0" w:line="473" w:lineRule="exact"/>
        <w:ind w:left="260" w:right="0" w:firstLine="460"/>
        <w:jc w:val="both"/>
      </w:pPr>
      <w:r>
        <w:rPr>
          <w:color w:val="000000"/>
          <w:spacing w:val="0"/>
          <w:w w:val="100"/>
          <w:position w:val="0"/>
        </w:rPr>
        <w:t>斯诺实业专注人造石墨负极材料的研究与开发，行业深耕十数年，通过不断积累具备从原 料预处理至负极的全产业链生产能力，具备一定技术、生产优势，位列国内负极材料生产企业 前十。</w:t>
      </w:r>
    </w:p>
    <w:p>
      <w:pPr>
        <w:pStyle w:val="Style44"/>
        <w:keepNext w:val="0"/>
        <w:keepLines w:val="0"/>
        <w:widowControl w:val="0"/>
        <w:shd w:val="clear" w:color="auto" w:fill="auto"/>
        <w:bidi w:val="0"/>
        <w:spacing w:before="0" w:after="420" w:line="463" w:lineRule="exact"/>
        <w:ind w:left="260" w:right="0" w:firstLine="460"/>
        <w:jc w:val="both"/>
      </w:pPr>
      <w:r>
        <w:rPr>
          <w:color w:val="000000"/>
          <w:spacing w:val="0"/>
          <w:w w:val="100"/>
          <w:position w:val="0"/>
        </w:rPr>
        <w:t xml:space="preserve">斯诺实业在石墨化加工工艺技术领域拥有高素质的技术团队，内蒙古地区建设的石墨化生 产基地已投入运营，并拥有国内排名前列的负极材料石墨化窑炉，加工技术成熟，年产能可达 </w:t>
      </w:r>
      <w:r>
        <w:rPr>
          <w:rFonts w:ascii="Times New Roman" w:eastAsia="Times New Roman" w:hAnsi="Times New Roman" w:cs="Times New Roman"/>
          <w:color w:val="000000"/>
          <w:spacing w:val="0"/>
          <w:w w:val="100"/>
          <w:position w:val="0"/>
        </w:rPr>
        <w:t>10,000</w:t>
      </w:r>
      <w:r>
        <w:rPr>
          <w:color w:val="000000"/>
          <w:spacing w:val="0"/>
          <w:w w:val="100"/>
          <w:position w:val="0"/>
        </w:rPr>
        <w:t>吨，叠加内蒙古地区的政策优势、电力优势等，具有较强的市场竞争力。</w:t>
      </w:r>
    </w:p>
    <w:p>
      <w:pPr>
        <w:pStyle w:val="Style42"/>
        <w:keepNext/>
        <w:keepLines/>
        <w:widowControl w:val="0"/>
        <w:shd w:val="clear" w:color="auto" w:fill="auto"/>
        <w:bidi w:val="0"/>
        <w:spacing w:before="0" w:after="380" w:line="240" w:lineRule="auto"/>
        <w:ind w:left="0" w:right="0" w:firstLine="260"/>
        <w:jc w:val="both"/>
      </w:pPr>
      <w:bookmarkStart w:id="69" w:name="bookmark69"/>
      <w:bookmarkStart w:id="70" w:name="bookmark70"/>
      <w:bookmarkStart w:id="71" w:name="bookmark71"/>
      <w:bookmarkStart w:id="72" w:name="bookmark72"/>
      <w:r>
        <w:rPr>
          <w:color w:val="000000"/>
          <w:spacing w:val="0"/>
          <w:w w:val="100"/>
          <w:position w:val="0"/>
        </w:rPr>
        <w:t>二</w:t>
      </w:r>
      <w:bookmarkEnd w:id="71"/>
      <w:r>
        <w:rPr>
          <w:color w:val="000000"/>
          <w:spacing w:val="0"/>
          <w:w w:val="100"/>
          <w:position w:val="0"/>
        </w:rPr>
        <w:t>、主要资产重大变化情况</w:t>
      </w:r>
      <w:bookmarkEnd w:id="69"/>
      <w:bookmarkEnd w:id="70"/>
      <w:bookmarkEnd w:id="72"/>
    </w:p>
    <w:p>
      <w:pPr>
        <w:pStyle w:val="Style38"/>
        <w:keepNext w:val="0"/>
        <w:keepLines w:val="0"/>
        <w:widowControl w:val="0"/>
        <w:shd w:val="clear" w:color="auto" w:fill="auto"/>
        <w:bidi w:val="0"/>
        <w:spacing w:before="0" w:after="0" w:line="240" w:lineRule="auto"/>
        <w:ind w:left="274" w:right="0" w:firstLine="0"/>
        <w:jc w:val="left"/>
        <w:rPr>
          <w:sz w:val="20"/>
          <w:szCs w:val="20"/>
        </w:rPr>
      </w:pPr>
      <w:bookmarkStart w:id="73" w:name="bookmark73"/>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bookmarkEnd w:id="73"/>
    </w:p>
    <w:tbl>
      <w:tblPr>
        <w:tblOverlap w:val="never"/>
        <w:jc w:val="center"/>
        <w:tblLayout w:type="fixed"/>
      </w:tblPr>
      <w:tblGrid>
        <w:gridCol w:w="1992"/>
        <w:gridCol w:w="8088"/>
      </w:tblGrid>
      <w:tr>
        <w:trPr>
          <w:trHeight w:val="10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重大变化说明</w:t>
            </w:r>
          </w:p>
        </w:tc>
      </w:tr>
      <w:tr>
        <w:trPr>
          <w:trHeight w:val="52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较期初增长</w:t>
            </w:r>
            <w:r>
              <w:rPr>
                <w:rFonts w:ascii="Times New Roman" w:eastAsia="Times New Roman" w:hAnsi="Times New Roman" w:cs="Times New Roman"/>
                <w:color w:val="000000"/>
                <w:spacing w:val="0"/>
                <w:w w:val="100"/>
                <w:position w:val="0"/>
                <w:sz w:val="22"/>
                <w:szCs w:val="22"/>
              </w:rPr>
              <w:t>51.91%</w:t>
            </w:r>
            <w:r>
              <w:rPr>
                <w:color w:val="000000"/>
                <w:spacing w:val="0"/>
                <w:w w:val="100"/>
                <w:position w:val="0"/>
                <w:sz w:val="20"/>
                <w:szCs w:val="20"/>
              </w:rPr>
              <w:t>，是公司投资的</w:t>
            </w:r>
            <w:r>
              <w:rPr>
                <w:rFonts w:ascii="Times New Roman" w:eastAsia="Times New Roman" w:hAnsi="Times New Roman" w:cs="Times New Roman"/>
                <w:color w:val="000000"/>
                <w:spacing w:val="0"/>
                <w:w w:val="100"/>
                <w:position w:val="0"/>
                <w:sz w:val="22"/>
                <w:szCs w:val="22"/>
              </w:rPr>
              <w:t>Ambiq Micro,Inc,</w:t>
            </w:r>
            <w:r>
              <w:rPr>
                <w:color w:val="000000"/>
                <w:spacing w:val="0"/>
                <w:w w:val="100"/>
                <w:position w:val="0"/>
                <w:sz w:val="20"/>
                <w:szCs w:val="20"/>
              </w:rPr>
              <w:t>优先股公允价值上升。</w:t>
            </w:r>
          </w:p>
        </w:tc>
      </w:tr>
    </w:tbl>
    <w:p>
      <w:pPr>
        <w:spacing w:lineRule="exact" w:line="1"/>
        <w:rPr>
          <w:sz w:val="2"/>
          <w:szCs w:val="2"/>
        </w:rPr>
      </w:pPr>
      <w:r>
        <w:br w:type="page"/>
      </w:r>
    </w:p>
    <w:tbl>
      <w:tblPr>
        <w:tblOverlap w:val="never"/>
        <w:jc w:val="center"/>
        <w:tblLayout w:type="fixed"/>
      </w:tblPr>
      <w:tblGrid>
        <w:gridCol w:w="1992"/>
        <w:gridCol w:w="8088"/>
      </w:tblGrid>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重大变化说明</w:t>
            </w:r>
          </w:p>
        </w:tc>
      </w:tr>
      <w:tr>
        <w:trPr>
          <w:trHeight w:val="8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应收款项融资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5" w:lineRule="exact"/>
              <w:ind w:left="0" w:right="0" w:firstLine="0"/>
              <w:jc w:val="both"/>
              <w:rPr>
                <w:sz w:val="20"/>
                <w:szCs w:val="20"/>
              </w:rPr>
            </w:pPr>
            <w:r>
              <w:rPr>
                <w:color w:val="000000"/>
                <w:spacing w:val="0"/>
                <w:w w:val="100"/>
                <w:position w:val="0"/>
                <w:sz w:val="20"/>
                <w:szCs w:val="20"/>
              </w:rPr>
              <w:t>较期初增长</w:t>
            </w:r>
            <w:r>
              <w:rPr>
                <w:rFonts w:ascii="Times New Roman" w:eastAsia="Times New Roman" w:hAnsi="Times New Roman" w:cs="Times New Roman"/>
                <w:color w:val="000000"/>
                <w:spacing w:val="0"/>
                <w:w w:val="100"/>
                <w:position w:val="0"/>
                <w:sz w:val="22"/>
                <w:szCs w:val="22"/>
              </w:rPr>
              <w:t>427.11%</w:t>
            </w:r>
            <w:r>
              <w:rPr>
                <w:color w:val="000000"/>
                <w:spacing w:val="0"/>
                <w:w w:val="100"/>
                <w:position w:val="0"/>
                <w:sz w:val="20"/>
                <w:szCs w:val="20"/>
              </w:rPr>
              <w:t>,是公司日常资金管理中将用于背书或者贴现的银行承兑汇票金 额增加。</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较期初下降</w:t>
            </w:r>
            <w:r>
              <w:rPr>
                <w:rFonts w:ascii="Times New Roman" w:eastAsia="Times New Roman" w:hAnsi="Times New Roman" w:cs="Times New Roman"/>
                <w:color w:val="000000"/>
                <w:spacing w:val="0"/>
                <w:w w:val="100"/>
                <w:position w:val="0"/>
                <w:sz w:val="22"/>
                <w:szCs w:val="22"/>
              </w:rPr>
              <w:t>40.92%</w:t>
            </w:r>
            <w:r>
              <w:rPr>
                <w:color w:val="000000"/>
                <w:spacing w:val="0"/>
                <w:w w:val="100"/>
                <w:position w:val="0"/>
                <w:sz w:val="20"/>
                <w:szCs w:val="20"/>
              </w:rPr>
              <w:t>，主要是收到货物及发票结算款项增加。</w:t>
            </w:r>
          </w:p>
        </w:tc>
      </w:tr>
      <w:tr>
        <w:trPr>
          <w:trHeight w:val="81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74" w:lineRule="exact"/>
              <w:ind w:left="0" w:right="0" w:firstLine="0"/>
              <w:jc w:val="both"/>
              <w:rPr>
                <w:sz w:val="20"/>
                <w:szCs w:val="20"/>
              </w:rPr>
            </w:pPr>
            <w:r>
              <w:rPr>
                <w:color w:val="000000"/>
                <w:spacing w:val="0"/>
                <w:w w:val="100"/>
                <w:position w:val="0"/>
                <w:sz w:val="20"/>
                <w:szCs w:val="20"/>
              </w:rPr>
              <w:t>较期初增长</w:t>
            </w:r>
            <w:r>
              <w:rPr>
                <w:rFonts w:ascii="Times New Roman" w:eastAsia="Times New Roman" w:hAnsi="Times New Roman" w:cs="Times New Roman"/>
                <w:color w:val="000000"/>
                <w:spacing w:val="0"/>
                <w:w w:val="100"/>
                <w:position w:val="0"/>
                <w:sz w:val="22"/>
                <w:szCs w:val="22"/>
              </w:rPr>
              <w:t>54.42%</w:t>
            </w:r>
            <w:r>
              <w:rPr>
                <w:color w:val="000000"/>
                <w:spacing w:val="0"/>
                <w:w w:val="100"/>
                <w:position w:val="0"/>
                <w:sz w:val="20"/>
                <w:szCs w:val="20"/>
              </w:rPr>
              <w:t>，主要是处置国民天成股权投资，将预计可收回的投资款金额确 认为其他应收款。</w:t>
            </w:r>
          </w:p>
        </w:tc>
      </w:tr>
      <w:tr>
        <w:trPr>
          <w:trHeight w:val="8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持有待售资产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70" w:lineRule="exact"/>
              <w:ind w:left="0" w:right="0" w:firstLine="0"/>
              <w:jc w:val="both"/>
              <w:rPr>
                <w:sz w:val="20"/>
                <w:szCs w:val="20"/>
              </w:rPr>
            </w:pPr>
            <w:r>
              <w:rPr>
                <w:color w:val="000000"/>
                <w:spacing w:val="0"/>
                <w:w w:val="100"/>
                <w:position w:val="0"/>
                <w:sz w:val="20"/>
                <w:szCs w:val="20"/>
              </w:rPr>
              <w:t>期末余额为</w:t>
            </w:r>
            <w:r>
              <w:rPr>
                <w:rFonts w:ascii="Times New Roman" w:eastAsia="Times New Roman" w:hAnsi="Times New Roman" w:cs="Times New Roman"/>
                <w:color w:val="000000"/>
                <w:spacing w:val="0"/>
                <w:w w:val="100"/>
                <w:position w:val="0"/>
                <w:sz w:val="22"/>
                <w:szCs w:val="22"/>
              </w:rPr>
              <w:t>101,967,376.78</w:t>
            </w:r>
            <w:r>
              <w:rPr>
                <w:color w:val="000000"/>
                <w:spacing w:val="0"/>
                <w:w w:val="100"/>
                <w:position w:val="0"/>
                <w:sz w:val="20"/>
                <w:szCs w:val="20"/>
              </w:rPr>
              <w:t>元，期初余额为</w:t>
            </w:r>
            <w:r>
              <w:rPr>
                <w:rFonts w:ascii="Times New Roman" w:eastAsia="Times New Roman" w:hAnsi="Times New Roman" w:cs="Times New Roman"/>
                <w:color w:val="000000"/>
                <w:spacing w:val="0"/>
                <w:w w:val="100"/>
                <w:position w:val="0"/>
                <w:sz w:val="22"/>
                <w:szCs w:val="22"/>
              </w:rPr>
              <w:t>0</w:t>
            </w:r>
            <w:r>
              <w:rPr>
                <w:color w:val="000000"/>
                <w:spacing w:val="0"/>
                <w:w w:val="100"/>
                <w:position w:val="0"/>
                <w:sz w:val="20"/>
                <w:szCs w:val="20"/>
              </w:rPr>
              <w:t>元，是公司根据《补偿及股权转让协议》， 将对华夏芯的长期股权投资转为持有待售资产。</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较期初下降</w:t>
            </w:r>
            <w:r>
              <w:rPr>
                <w:rFonts w:ascii="Times New Roman" w:eastAsia="Times New Roman" w:hAnsi="Times New Roman" w:cs="Times New Roman"/>
                <w:color w:val="000000"/>
                <w:spacing w:val="0"/>
                <w:w w:val="100"/>
                <w:position w:val="0"/>
                <w:sz w:val="22"/>
                <w:szCs w:val="22"/>
              </w:rPr>
              <w:t>39.47%</w:t>
            </w:r>
            <w:r>
              <w:rPr>
                <w:color w:val="000000"/>
                <w:spacing w:val="0"/>
                <w:w w:val="100"/>
                <w:position w:val="0"/>
                <w:sz w:val="20"/>
                <w:szCs w:val="20"/>
              </w:rPr>
              <w:t>，是公司收到增值税留抵税额退税。</w:t>
            </w:r>
          </w:p>
        </w:tc>
      </w:tr>
      <w:tr>
        <w:trPr>
          <w:trHeight w:val="8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74" w:lineRule="exact"/>
              <w:ind w:left="0" w:right="0" w:firstLine="0"/>
              <w:jc w:val="both"/>
              <w:rPr>
                <w:sz w:val="20"/>
                <w:szCs w:val="20"/>
              </w:rPr>
            </w:pPr>
            <w:r>
              <w:rPr>
                <w:color w:val="000000"/>
                <w:spacing w:val="0"/>
                <w:w w:val="100"/>
                <w:position w:val="0"/>
                <w:sz w:val="20"/>
                <w:szCs w:val="20"/>
              </w:rPr>
              <w:t>期末余额为</w:t>
            </w:r>
            <w:r>
              <w:rPr>
                <w:rFonts w:ascii="Times New Roman" w:eastAsia="Times New Roman" w:hAnsi="Times New Roman" w:cs="Times New Roman"/>
                <w:color w:val="000000"/>
                <w:spacing w:val="0"/>
                <w:w w:val="100"/>
                <w:position w:val="0"/>
                <w:sz w:val="22"/>
                <w:szCs w:val="22"/>
              </w:rPr>
              <w:t>0</w:t>
            </w:r>
            <w:r>
              <w:rPr>
                <w:color w:val="000000"/>
                <w:spacing w:val="0"/>
                <w:w w:val="100"/>
                <w:position w:val="0"/>
                <w:sz w:val="20"/>
                <w:szCs w:val="20"/>
              </w:rPr>
              <w:t>元，期初余额为</w:t>
            </w:r>
            <w:r>
              <w:rPr>
                <w:rFonts w:ascii="Times New Roman" w:eastAsia="Times New Roman" w:hAnsi="Times New Roman" w:cs="Times New Roman"/>
                <w:color w:val="000000"/>
                <w:spacing w:val="0"/>
                <w:w w:val="100"/>
                <w:position w:val="0"/>
                <w:sz w:val="22"/>
                <w:szCs w:val="22"/>
              </w:rPr>
              <w:t>111,326,274.32</w:t>
            </w:r>
            <w:r>
              <w:rPr>
                <w:color w:val="000000"/>
                <w:spacing w:val="0"/>
                <w:w w:val="100"/>
                <w:position w:val="0"/>
                <w:sz w:val="20"/>
                <w:szCs w:val="20"/>
              </w:rPr>
              <w:t>元，是公司根据《补偿及股权转让协议》 履行情况，将对华夏芯的长期股权投资转为持有待售资产。</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较期初下降</w:t>
            </w:r>
            <w:r>
              <w:rPr>
                <w:rFonts w:ascii="Times New Roman" w:eastAsia="Times New Roman" w:hAnsi="Times New Roman" w:cs="Times New Roman"/>
                <w:color w:val="000000"/>
                <w:spacing w:val="0"/>
                <w:w w:val="100"/>
                <w:position w:val="0"/>
                <w:sz w:val="22"/>
                <w:szCs w:val="22"/>
              </w:rPr>
              <w:t>37.00%</w:t>
            </w:r>
            <w:r>
              <w:rPr>
                <w:color w:val="000000"/>
                <w:spacing w:val="0"/>
                <w:w w:val="100"/>
                <w:position w:val="0"/>
                <w:sz w:val="20"/>
                <w:szCs w:val="20"/>
              </w:rPr>
              <w:t>，主要是内蒙斯诺碳化车间完工后转入固定资产。</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开发支出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较期初增长</w:t>
            </w:r>
            <w:r>
              <w:rPr>
                <w:rFonts w:ascii="Times New Roman" w:eastAsia="Times New Roman" w:hAnsi="Times New Roman" w:cs="Times New Roman"/>
                <w:color w:val="000000"/>
                <w:spacing w:val="0"/>
                <w:w w:val="100"/>
                <w:position w:val="0"/>
                <w:sz w:val="22"/>
                <w:szCs w:val="22"/>
              </w:rPr>
              <w:t>121.01%</w:t>
            </w:r>
            <w:r>
              <w:rPr>
                <w:color w:val="000000"/>
                <w:spacing w:val="0"/>
                <w:w w:val="100"/>
                <w:position w:val="0"/>
                <w:sz w:val="20"/>
                <w:szCs w:val="20"/>
              </w:rPr>
              <w:t>，主要是通用</w:t>
            </w:r>
            <w:r>
              <w:rPr>
                <w:rFonts w:ascii="Times New Roman" w:eastAsia="Times New Roman" w:hAnsi="Times New Roman" w:cs="Times New Roman"/>
                <w:color w:val="000000"/>
                <w:spacing w:val="0"/>
                <w:w w:val="100"/>
                <w:position w:val="0"/>
                <w:sz w:val="22"/>
                <w:szCs w:val="22"/>
              </w:rPr>
              <w:t>MCU</w:t>
            </w:r>
            <w:r>
              <w:rPr>
                <w:color w:val="000000"/>
                <w:spacing w:val="0"/>
                <w:w w:val="100"/>
                <w:position w:val="0"/>
                <w:sz w:val="20"/>
                <w:szCs w:val="20"/>
              </w:rPr>
              <w:t>项目资本化的研发支出增加。</w:t>
            </w:r>
          </w:p>
        </w:tc>
      </w:tr>
      <w:tr>
        <w:trPr>
          <w:trHeight w:val="8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74" w:lineRule="exact"/>
              <w:ind w:left="0" w:right="0" w:firstLine="0"/>
              <w:jc w:val="both"/>
              <w:rPr>
                <w:sz w:val="20"/>
                <w:szCs w:val="20"/>
              </w:rPr>
            </w:pPr>
            <w:r>
              <w:rPr>
                <w:color w:val="000000"/>
                <w:spacing w:val="0"/>
                <w:w w:val="100"/>
                <w:position w:val="0"/>
                <w:sz w:val="20"/>
                <w:szCs w:val="20"/>
              </w:rPr>
              <w:t>较期初下降</w:t>
            </w:r>
            <w:r>
              <w:rPr>
                <w:rFonts w:ascii="Times New Roman" w:eastAsia="Times New Roman" w:hAnsi="Times New Roman" w:cs="Times New Roman"/>
                <w:color w:val="000000"/>
                <w:spacing w:val="0"/>
                <w:w w:val="100"/>
                <w:position w:val="0"/>
                <w:sz w:val="22"/>
                <w:szCs w:val="22"/>
              </w:rPr>
              <w:t>69.22%</w:t>
            </w:r>
            <w:r>
              <w:rPr>
                <w:color w:val="000000"/>
                <w:spacing w:val="0"/>
                <w:w w:val="100"/>
                <w:position w:val="0"/>
                <w:sz w:val="20"/>
                <w:szCs w:val="20"/>
              </w:rPr>
              <w:t>，是为了满足公司日常经营需要，减轻公司短期还款压力，将短 期借款置换成长期借款。</w:t>
            </w:r>
          </w:p>
        </w:tc>
      </w:tr>
      <w:tr>
        <w:trPr>
          <w:trHeight w:val="81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74" w:lineRule="exact"/>
              <w:ind w:left="0" w:right="0" w:firstLine="0"/>
              <w:jc w:val="both"/>
              <w:rPr>
                <w:sz w:val="20"/>
                <w:szCs w:val="20"/>
              </w:rPr>
            </w:pPr>
            <w:r>
              <w:rPr>
                <w:color w:val="000000"/>
                <w:spacing w:val="0"/>
                <w:w w:val="100"/>
                <w:position w:val="0"/>
                <w:sz w:val="20"/>
                <w:szCs w:val="20"/>
              </w:rPr>
              <w:t>期末余额为</w:t>
            </w:r>
            <w:r>
              <w:rPr>
                <w:rFonts w:ascii="Times New Roman" w:eastAsia="Times New Roman" w:hAnsi="Times New Roman" w:cs="Times New Roman"/>
                <w:color w:val="000000"/>
                <w:spacing w:val="0"/>
                <w:w w:val="100"/>
                <w:position w:val="0"/>
                <w:sz w:val="22"/>
                <w:szCs w:val="22"/>
              </w:rPr>
              <w:t>0</w:t>
            </w:r>
            <w:r>
              <w:rPr>
                <w:color w:val="000000"/>
                <w:spacing w:val="0"/>
                <w:w w:val="100"/>
                <w:position w:val="0"/>
                <w:sz w:val="20"/>
                <w:szCs w:val="20"/>
              </w:rPr>
              <w:t>元，期初余额为</w:t>
            </w:r>
            <w:r>
              <w:rPr>
                <w:rFonts w:ascii="Times New Roman" w:eastAsia="Times New Roman" w:hAnsi="Times New Roman" w:cs="Times New Roman"/>
                <w:color w:val="000000"/>
                <w:spacing w:val="0"/>
                <w:w w:val="100"/>
                <w:position w:val="0"/>
                <w:sz w:val="22"/>
                <w:szCs w:val="22"/>
              </w:rPr>
              <w:t>8,752,844.32</w:t>
            </w:r>
            <w:r>
              <w:rPr>
                <w:color w:val="000000"/>
                <w:spacing w:val="0"/>
                <w:w w:val="100"/>
                <w:position w:val="0"/>
                <w:sz w:val="20"/>
                <w:szCs w:val="20"/>
              </w:rPr>
              <w:t>元，是因为公司执行新的会计准则，将预 收款项分为不含税金额和税金部分，分别在合同负债和其他流动负债列示。</w:t>
            </w:r>
          </w:p>
        </w:tc>
      </w:tr>
      <w:tr>
        <w:trPr>
          <w:trHeight w:val="8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70" w:lineRule="exact"/>
              <w:ind w:left="0" w:right="0" w:firstLine="0"/>
              <w:jc w:val="both"/>
              <w:rPr>
                <w:sz w:val="20"/>
                <w:szCs w:val="20"/>
              </w:rPr>
            </w:pPr>
            <w:r>
              <w:rPr>
                <w:color w:val="000000"/>
                <w:spacing w:val="0"/>
                <w:w w:val="100"/>
                <w:position w:val="0"/>
                <w:sz w:val="20"/>
                <w:szCs w:val="20"/>
              </w:rPr>
              <w:t>期末余额为</w:t>
            </w:r>
            <w:r>
              <w:rPr>
                <w:rFonts w:ascii="Times New Roman" w:eastAsia="Times New Roman" w:hAnsi="Times New Roman" w:cs="Times New Roman"/>
                <w:color w:val="000000"/>
                <w:spacing w:val="0"/>
                <w:w w:val="100"/>
                <w:position w:val="0"/>
                <w:sz w:val="22"/>
                <w:szCs w:val="22"/>
              </w:rPr>
              <w:t>8,092,035.13</w:t>
            </w:r>
            <w:r>
              <w:rPr>
                <w:color w:val="000000"/>
                <w:spacing w:val="0"/>
                <w:w w:val="100"/>
                <w:position w:val="0"/>
                <w:sz w:val="20"/>
                <w:szCs w:val="20"/>
              </w:rPr>
              <w:t>元，期初余额为</w:t>
            </w:r>
            <w:r>
              <w:rPr>
                <w:rFonts w:ascii="Times New Roman" w:eastAsia="Times New Roman" w:hAnsi="Times New Roman" w:cs="Times New Roman"/>
                <w:color w:val="000000"/>
                <w:spacing w:val="0"/>
                <w:w w:val="100"/>
                <w:position w:val="0"/>
                <w:sz w:val="22"/>
                <w:szCs w:val="22"/>
              </w:rPr>
              <w:t>0</w:t>
            </w:r>
            <w:r>
              <w:rPr>
                <w:color w:val="000000"/>
                <w:spacing w:val="0"/>
                <w:w w:val="100"/>
                <w:position w:val="0"/>
                <w:sz w:val="20"/>
                <w:szCs w:val="20"/>
              </w:rPr>
              <w:t>元，是因为公司执行新的会计准则，将预 收款项分为不含税金额和税金部分，分别在合同负债和其他流动负债列示。</w:t>
            </w:r>
          </w:p>
        </w:tc>
      </w:tr>
      <w:tr>
        <w:trPr>
          <w:trHeight w:val="8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79" w:lineRule="exact"/>
              <w:ind w:left="0" w:right="0" w:firstLine="0"/>
              <w:jc w:val="both"/>
              <w:rPr>
                <w:sz w:val="20"/>
                <w:szCs w:val="20"/>
              </w:rPr>
            </w:pPr>
            <w:r>
              <w:rPr>
                <w:color w:val="000000"/>
                <w:spacing w:val="0"/>
                <w:w w:val="100"/>
                <w:position w:val="0"/>
                <w:sz w:val="20"/>
                <w:szCs w:val="20"/>
              </w:rPr>
              <w:t>期末余额为</w:t>
            </w:r>
            <w:r>
              <w:rPr>
                <w:rFonts w:ascii="Times New Roman" w:eastAsia="Times New Roman" w:hAnsi="Times New Roman" w:cs="Times New Roman"/>
                <w:color w:val="000000"/>
                <w:spacing w:val="0"/>
                <w:w w:val="100"/>
                <w:position w:val="0"/>
                <w:sz w:val="22"/>
                <w:szCs w:val="22"/>
              </w:rPr>
              <w:t>44,353,100.35</w:t>
            </w:r>
            <w:r>
              <w:rPr>
                <w:color w:val="000000"/>
                <w:spacing w:val="0"/>
                <w:w w:val="100"/>
                <w:position w:val="0"/>
                <w:sz w:val="20"/>
                <w:szCs w:val="20"/>
              </w:rPr>
              <w:t>元，期初余额为</w:t>
            </w:r>
            <w:r>
              <w:rPr>
                <w:rFonts w:ascii="Times New Roman" w:eastAsia="Times New Roman" w:hAnsi="Times New Roman" w:cs="Times New Roman"/>
                <w:color w:val="000000"/>
                <w:spacing w:val="0"/>
                <w:w w:val="100"/>
                <w:position w:val="0"/>
                <w:sz w:val="22"/>
                <w:szCs w:val="22"/>
              </w:rPr>
              <w:t>0</w:t>
            </w:r>
            <w:r>
              <w:rPr>
                <w:color w:val="000000"/>
                <w:spacing w:val="0"/>
                <w:w w:val="100"/>
                <w:position w:val="0"/>
                <w:sz w:val="20"/>
                <w:szCs w:val="20"/>
              </w:rPr>
              <w:t>元，主要是收到待确认损益的华夏芯股 权转让款。</w:t>
            </w:r>
          </w:p>
        </w:tc>
      </w:tr>
      <w:tr>
        <w:trPr>
          <w:trHeight w:val="8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74" w:lineRule="exact"/>
              <w:ind w:left="0" w:right="0" w:firstLine="0"/>
              <w:jc w:val="both"/>
              <w:rPr>
                <w:sz w:val="20"/>
                <w:szCs w:val="20"/>
              </w:rPr>
            </w:pPr>
            <w:r>
              <w:rPr>
                <w:color w:val="000000"/>
                <w:spacing w:val="0"/>
                <w:w w:val="100"/>
                <w:position w:val="0"/>
                <w:sz w:val="20"/>
                <w:szCs w:val="20"/>
              </w:rPr>
              <w:t>较期初增长</w:t>
            </w:r>
            <w:r>
              <w:rPr>
                <w:rFonts w:ascii="Times New Roman" w:eastAsia="Times New Roman" w:hAnsi="Times New Roman" w:cs="Times New Roman"/>
                <w:color w:val="000000"/>
                <w:spacing w:val="0"/>
                <w:w w:val="100"/>
                <w:position w:val="0"/>
                <w:sz w:val="22"/>
                <w:szCs w:val="22"/>
              </w:rPr>
              <w:t>654.76%</w:t>
            </w:r>
            <w:r>
              <w:rPr>
                <w:color w:val="000000"/>
                <w:spacing w:val="0"/>
                <w:w w:val="100"/>
                <w:position w:val="0"/>
                <w:sz w:val="20"/>
                <w:szCs w:val="20"/>
              </w:rPr>
              <w:t>，是为了满足公司日常经营需要，减轻公司短期还款压力，将短 期借款置换成长期借款。</w:t>
            </w:r>
          </w:p>
        </w:tc>
      </w:tr>
      <w:tr>
        <w:trPr>
          <w:trHeight w:val="53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期末余额为</w:t>
            </w:r>
            <w:r>
              <w:rPr>
                <w:rFonts w:ascii="Times New Roman" w:eastAsia="Times New Roman" w:hAnsi="Times New Roman" w:cs="Times New Roman"/>
                <w:color w:val="000000"/>
                <w:spacing w:val="0"/>
                <w:w w:val="100"/>
                <w:position w:val="0"/>
                <w:sz w:val="22"/>
                <w:szCs w:val="22"/>
              </w:rPr>
              <w:t>0</w:t>
            </w:r>
            <w:r>
              <w:rPr>
                <w:color w:val="000000"/>
                <w:spacing w:val="0"/>
                <w:w w:val="100"/>
                <w:position w:val="0"/>
                <w:sz w:val="20"/>
                <w:szCs w:val="20"/>
              </w:rPr>
              <w:t>元，期初余额为</w:t>
            </w:r>
            <w:r>
              <w:rPr>
                <w:rFonts w:ascii="Times New Roman" w:eastAsia="Times New Roman" w:hAnsi="Times New Roman" w:cs="Times New Roman"/>
                <w:color w:val="000000"/>
                <w:spacing w:val="0"/>
                <w:w w:val="100"/>
                <w:position w:val="0"/>
                <w:sz w:val="22"/>
                <w:szCs w:val="22"/>
              </w:rPr>
              <w:t>237,500.00</w:t>
            </w:r>
            <w:r>
              <w:rPr>
                <w:color w:val="000000"/>
                <w:spacing w:val="0"/>
                <w:w w:val="100"/>
                <w:position w:val="0"/>
                <w:sz w:val="20"/>
                <w:szCs w:val="20"/>
              </w:rPr>
              <w:t>元，是因为转入其他收益。</w:t>
            </w:r>
          </w:p>
        </w:tc>
      </w:tr>
    </w:tbl>
    <w:p>
      <w:pPr>
        <w:widowControl w:val="0"/>
        <w:spacing w:after="339" w:line="1" w:lineRule="exact"/>
      </w:pPr>
    </w:p>
    <w:p>
      <w:pPr>
        <w:pStyle w:val="Style52"/>
        <w:keepNext/>
        <w:keepLines/>
        <w:widowControl w:val="0"/>
        <w:shd w:val="clear" w:color="auto" w:fill="auto"/>
        <w:bidi w:val="0"/>
        <w:spacing w:before="0" w:after="340" w:line="240" w:lineRule="auto"/>
        <w:ind w:left="0" w:right="0" w:firstLine="280"/>
        <w:jc w:val="left"/>
        <w:rPr>
          <w:sz w:val="20"/>
          <w:szCs w:val="20"/>
        </w:rPr>
      </w:pPr>
      <w:bookmarkStart w:id="74" w:name="bookmark74"/>
      <w:bookmarkStart w:id="75" w:name="bookmark75"/>
      <w:bookmarkStart w:id="76" w:name="bookmark76"/>
      <w:bookmarkStart w:id="77" w:name="bookmark77"/>
      <w:r>
        <w:rPr>
          <w:rFonts w:ascii="Times New Roman" w:eastAsia="Times New Roman" w:hAnsi="Times New Roman" w:cs="Times New Roman"/>
          <w:color w:val="000000"/>
          <w:spacing w:val="0"/>
          <w:w w:val="100"/>
          <w:position w:val="0"/>
          <w:sz w:val="20"/>
          <w:szCs w:val="20"/>
        </w:rPr>
        <w:t>2</w:t>
      </w:r>
      <w:bookmarkEnd w:id="76"/>
      <w:r>
        <w:rPr>
          <w:color w:val="000000"/>
          <w:spacing w:val="0"/>
          <w:w w:val="100"/>
          <w:position w:val="0"/>
          <w:sz w:val="20"/>
          <w:szCs w:val="20"/>
        </w:rPr>
        <w:t>、主要境外资产情况</w:t>
      </w:r>
      <w:bookmarkEnd w:id="74"/>
      <w:bookmarkEnd w:id="75"/>
      <w:bookmarkEnd w:id="77"/>
    </w:p>
    <w:p>
      <w:pPr>
        <w:pStyle w:val="Style44"/>
        <w:keepNext w:val="0"/>
        <w:keepLines w:val="0"/>
        <w:widowControl w:val="0"/>
        <w:shd w:val="clear" w:color="auto" w:fill="auto"/>
        <w:bidi w:val="0"/>
        <w:spacing w:before="0" w:after="580" w:line="240" w:lineRule="auto"/>
        <w:ind w:left="0" w:right="0" w:firstLine="280"/>
        <w:jc w:val="both"/>
      </w:pPr>
      <w:r>
        <w:rPr>
          <w:color w:val="000000"/>
          <w:spacing w:val="0"/>
          <w:w w:val="100"/>
          <w:position w:val="0"/>
        </w:rPr>
        <w:t>寸</w:t>
      </w:r>
      <w:r>
        <w:rPr>
          <w:color w:val="000000"/>
          <w:spacing w:val="0"/>
          <w:w w:val="100"/>
          <w:position w:val="0"/>
        </w:rPr>
        <w:t>适用口不适用</w:t>
      </w:r>
    </w:p>
    <w:tbl>
      <w:tblPr>
        <w:tblOverlap w:val="never"/>
        <w:jc w:val="center"/>
        <w:tblLayout w:type="fixed"/>
      </w:tblPr>
      <w:tblGrid>
        <w:gridCol w:w="1392"/>
        <w:gridCol w:w="1162"/>
        <w:gridCol w:w="960"/>
        <w:gridCol w:w="1066"/>
        <w:gridCol w:w="1066"/>
        <w:gridCol w:w="1061"/>
        <w:gridCol w:w="1526"/>
        <w:gridCol w:w="850"/>
        <w:gridCol w:w="998"/>
      </w:tblGrid>
      <w:tr>
        <w:trPr>
          <w:trHeight w:val="16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资产的具体内 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资产规模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所在地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运营模式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保障资产 安全性的 控制措施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收益状况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境外资 产占公 司净资 产的比 重</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是否存在 重大减值 风险</w:t>
            </w:r>
          </w:p>
        </w:tc>
      </w:tr>
    </w:tbl>
    <w:tbl>
      <w:tblPr>
        <w:tblOverlap w:val="never"/>
        <w:jc w:val="center"/>
        <w:tblLayout w:type="fixed"/>
      </w:tblPr>
      <w:tblGrid>
        <w:gridCol w:w="1392"/>
        <w:gridCol w:w="1162"/>
        <w:gridCol w:w="960"/>
        <w:gridCol w:w="1066"/>
        <w:gridCol w:w="1066"/>
        <w:gridCol w:w="1061"/>
        <w:gridCol w:w="1526"/>
        <w:gridCol w:w="850"/>
        <w:gridCol w:w="99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国民技术（香 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全资设立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850</w:t>
            </w:r>
            <w:r>
              <w:rPr>
                <w:color w:val="000000"/>
                <w:spacing w:val="0"/>
                <w:w w:val="100"/>
                <w:position w:val="0"/>
                <w:sz w:val="20"/>
                <w:szCs w:val="20"/>
              </w:rPr>
              <w:t>万美</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18,752,557.99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color w:val="000000"/>
                <w:spacing w:val="0"/>
                <w:w w:val="100"/>
                <w:position w:val="0"/>
              </w:rPr>
              <w:t>Nations Innovation Technologies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全资设立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350</w:t>
            </w:r>
            <w:r>
              <w:rPr>
                <w:color w:val="000000"/>
                <w:spacing w:val="0"/>
                <w:w w:val="100"/>
                <w:position w:val="0"/>
                <w:sz w:val="20"/>
                <w:szCs w:val="20"/>
              </w:rPr>
              <w:t>万美 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-11,637,363.61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color w:val="000000"/>
                <w:spacing w:val="0"/>
                <w:w w:val="100"/>
                <w:position w:val="0"/>
              </w:rPr>
              <w:t>Ambiq Micro,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投资参股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300</w:t>
            </w:r>
            <w:r>
              <w:rPr>
                <w:color w:val="000000"/>
                <w:spacing w:val="0"/>
                <w:w w:val="100"/>
                <w:position w:val="0"/>
                <w:sz w:val="20"/>
                <w:szCs w:val="20"/>
              </w:rPr>
              <w:t>万美 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参股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参股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其他情况说明</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274" w:right="0" w:firstLine="0"/>
        <w:jc w:val="left"/>
      </w:pPr>
      <w:bookmarkStart w:id="78" w:name="bookmark78"/>
      <w:r>
        <w:rPr>
          <w:b/>
          <w:bCs/>
          <w:color w:val="000000"/>
          <w:spacing w:val="0"/>
          <w:w w:val="100"/>
          <w:position w:val="0"/>
        </w:rPr>
        <w:t>三、核心竞争力分析</w:t>
      </w:r>
      <w:bookmarkEnd w:id="78"/>
    </w:p>
    <w:p>
      <w:pPr>
        <w:widowControl w:val="0"/>
        <w:spacing w:after="139" w:line="1" w:lineRule="exact"/>
      </w:pPr>
    </w:p>
    <w:p>
      <w:pPr>
        <w:pStyle w:val="Style44"/>
        <w:keepNext w:val="0"/>
        <w:keepLines w:val="0"/>
        <w:widowControl w:val="0"/>
        <w:shd w:val="clear" w:color="auto" w:fill="auto"/>
        <w:bidi w:val="0"/>
        <w:spacing w:before="0" w:after="200" w:line="469" w:lineRule="exact"/>
        <w:ind w:left="0" w:right="0" w:firstLine="740"/>
        <w:jc w:val="both"/>
      </w:pPr>
      <w:bookmarkStart w:id="79" w:name="bookmark79"/>
      <w:r>
        <w:rPr>
          <w:b/>
          <w:bCs/>
          <w:color w:val="000000"/>
          <w:spacing w:val="0"/>
          <w:w w:val="100"/>
          <w:position w:val="0"/>
        </w:rPr>
        <w:t>（</w:t>
      </w:r>
      <w:bookmarkEnd w:id="79"/>
      <w:r>
        <w:rPr>
          <w:b/>
          <w:bCs/>
          <w:color w:val="000000"/>
          <w:spacing w:val="0"/>
          <w:w w:val="100"/>
          <w:position w:val="0"/>
        </w:rPr>
        <w:t>一）、集成电路设计领域</w:t>
      </w:r>
    </w:p>
    <w:p>
      <w:pPr>
        <w:pStyle w:val="Style44"/>
        <w:keepNext w:val="0"/>
        <w:keepLines w:val="0"/>
        <w:widowControl w:val="0"/>
        <w:shd w:val="clear" w:color="auto" w:fill="auto"/>
        <w:tabs>
          <w:tab w:pos="1098" w:val="left"/>
        </w:tabs>
        <w:bidi w:val="0"/>
        <w:spacing w:before="0" w:after="0" w:line="408" w:lineRule="auto"/>
        <w:ind w:left="0" w:right="0" w:firstLine="740"/>
        <w:jc w:val="both"/>
      </w:pPr>
      <w:bookmarkStart w:id="80" w:name="bookmark80"/>
      <w:r>
        <w:rPr>
          <w:rFonts w:ascii="Times New Roman" w:eastAsia="Times New Roman" w:hAnsi="Times New Roman" w:cs="Times New Roman"/>
          <w:b/>
          <w:bCs/>
          <w:color w:val="000000"/>
          <w:spacing w:val="0"/>
          <w:w w:val="100"/>
          <w:position w:val="0"/>
          <w:sz w:val="24"/>
          <w:szCs w:val="24"/>
        </w:rPr>
        <w:t>1</w:t>
      </w:r>
      <w:bookmarkEnd w:id="80"/>
      <w:r>
        <w:rPr>
          <w:b/>
          <w:bCs/>
          <w:color w:val="000000"/>
          <w:spacing w:val="0"/>
          <w:w w:val="100"/>
          <w:position w:val="0"/>
        </w:rPr>
        <w:t>、</w:t>
        <w:tab/>
        <w:t>技术及研发优势</w:t>
      </w:r>
    </w:p>
    <w:p>
      <w:pPr>
        <w:pStyle w:val="Style44"/>
        <w:keepNext w:val="0"/>
        <w:keepLines w:val="0"/>
        <w:widowControl w:val="0"/>
        <w:shd w:val="clear" w:color="auto" w:fill="auto"/>
        <w:tabs>
          <w:tab w:pos="1318" w:val="left"/>
        </w:tabs>
        <w:bidi w:val="0"/>
        <w:spacing w:before="0" w:after="0" w:line="469" w:lineRule="exact"/>
        <w:ind w:left="280" w:right="0" w:firstLine="480"/>
        <w:jc w:val="both"/>
      </w:pPr>
      <w:bookmarkStart w:id="81" w:name="bookmark81"/>
      <w:r>
        <w:rPr>
          <w:color w:val="000000"/>
          <w:spacing w:val="0"/>
          <w:w w:val="100"/>
          <w:position w:val="0"/>
        </w:rPr>
        <w:t>（</w:t>
      </w:r>
      <w:bookmarkEnd w:id="81"/>
      <w:r>
        <w:rPr>
          <w:rFonts w:ascii="Times New Roman" w:eastAsia="Times New Roman" w:hAnsi="Times New Roman" w:cs="Times New Roman"/>
          <w:color w:val="000000"/>
          <w:spacing w:val="0"/>
          <w:w w:val="100"/>
          <w:position w:val="0"/>
        </w:rPr>
        <w:t>1</w:t>
      </w:r>
      <w:r>
        <w:rPr>
          <w:color w:val="000000"/>
          <w:spacing w:val="0"/>
          <w:w w:val="100"/>
          <w:position w:val="0"/>
        </w:rPr>
        <w:t>）</w:t>
        <w:tab/>
        <w:t>在安全</w:t>
      </w:r>
      <w:r>
        <w:rPr>
          <w:rFonts w:ascii="Times New Roman" w:eastAsia="Times New Roman" w:hAnsi="Times New Roman" w:cs="Times New Roman"/>
          <w:color w:val="000000"/>
          <w:spacing w:val="0"/>
          <w:w w:val="100"/>
          <w:position w:val="0"/>
        </w:rPr>
        <w:t>SoC</w:t>
      </w:r>
      <w:r>
        <w:rPr>
          <w:color w:val="000000"/>
          <w:spacing w:val="0"/>
          <w:w w:val="100"/>
          <w:position w:val="0"/>
        </w:rPr>
        <w:t>芯片技术领域，公司经过长期的核心技术研发与迭代，沉淀了具有产品市 场竞争力、满足和引领客户应用的下一代安全密码芯片技术、高性能超低功耗</w:t>
      </w:r>
      <w:r>
        <w:rPr>
          <w:rFonts w:ascii="Times New Roman" w:eastAsia="Times New Roman" w:hAnsi="Times New Roman" w:cs="Times New Roman"/>
          <w:color w:val="000000"/>
          <w:spacing w:val="0"/>
          <w:w w:val="100"/>
          <w:position w:val="0"/>
        </w:rPr>
        <w:t>SoC</w:t>
      </w:r>
      <w:r>
        <w:rPr>
          <w:color w:val="000000"/>
          <w:spacing w:val="0"/>
          <w:w w:val="100"/>
          <w:position w:val="0"/>
        </w:rPr>
        <w:t>架构设计技 术、超低功耗蓝牙无线通信技术等芯片核心技术及其产品研发能力；不断研发、积累和建立了 自主核心技术、底层基础技术，掌握了通用</w:t>
      </w:r>
      <w:r>
        <w:rPr>
          <w:rFonts w:ascii="Times New Roman" w:eastAsia="Times New Roman" w:hAnsi="Times New Roman" w:cs="Times New Roman"/>
          <w:color w:val="000000"/>
          <w:spacing w:val="0"/>
          <w:w w:val="100"/>
          <w:position w:val="0"/>
        </w:rPr>
        <w:t>MCU</w:t>
      </w:r>
      <w:r>
        <w:rPr>
          <w:color w:val="000000"/>
          <w:spacing w:val="0"/>
          <w:w w:val="100"/>
          <w:position w:val="0"/>
        </w:rPr>
        <w:t>芯片设计研发所需要的核心技术知识产权；持 续优化、搭建和提升高安全技术、低功耗技术为支撑的通用</w:t>
      </w:r>
      <w:r>
        <w:rPr>
          <w:rFonts w:ascii="Times New Roman" w:eastAsia="Times New Roman" w:hAnsi="Times New Roman" w:cs="Times New Roman"/>
          <w:color w:val="000000"/>
          <w:spacing w:val="0"/>
          <w:w w:val="100"/>
          <w:position w:val="0"/>
        </w:rPr>
        <w:t>MCU</w:t>
      </w:r>
      <w:r>
        <w:rPr>
          <w:color w:val="000000"/>
          <w:spacing w:val="0"/>
          <w:w w:val="100"/>
          <w:position w:val="0"/>
        </w:rPr>
        <w:t>芯片产品系列化研发平台；重 点规划了金融数字货币安全技术、商用量子密码核心技术研发工作；公司与集成电路产业链上 下游厂商、国内外同行建立的战略合作关系深入持久，持续保持基于先进工艺技术的芯片研发 设计和产品化方面的技术优势。</w:t>
      </w:r>
    </w:p>
    <w:p>
      <w:pPr>
        <w:pStyle w:val="Style44"/>
        <w:keepNext w:val="0"/>
        <w:keepLines w:val="0"/>
        <w:widowControl w:val="0"/>
        <w:shd w:val="clear" w:color="auto" w:fill="auto"/>
        <w:tabs>
          <w:tab w:pos="1318" w:val="left"/>
        </w:tabs>
        <w:bidi w:val="0"/>
        <w:spacing w:before="0" w:after="200" w:line="469" w:lineRule="exact"/>
        <w:ind w:left="280" w:right="0" w:firstLine="480"/>
        <w:jc w:val="both"/>
      </w:pPr>
      <w:bookmarkStart w:id="82" w:name="bookmark82"/>
      <w:r>
        <w:rPr>
          <w:color w:val="000000"/>
          <w:spacing w:val="0"/>
          <w:w w:val="100"/>
          <w:position w:val="0"/>
        </w:rPr>
        <w:t>（</w:t>
      </w:r>
      <w:bookmarkEnd w:id="82"/>
      <w:r>
        <w:rPr>
          <w:rFonts w:ascii="Times New Roman" w:eastAsia="Times New Roman" w:hAnsi="Times New Roman" w:cs="Times New Roman"/>
          <w:color w:val="000000"/>
          <w:spacing w:val="0"/>
          <w:w w:val="100"/>
          <w:position w:val="0"/>
        </w:rPr>
        <w:t>2</w:t>
      </w:r>
      <w:r>
        <w:rPr>
          <w:color w:val="000000"/>
          <w:spacing w:val="0"/>
          <w:w w:val="100"/>
          <w:position w:val="0"/>
        </w:rPr>
        <w:t>）</w:t>
        <w:tab/>
        <w:t>公司再接再厉，持续加强引进专业优秀人才，并不断优化核心技术团队，保持技术团 队的技术领先性、战斗力和研发核心竞争力。多年来汇集和培养了一批海内外集成电路行业内 优秀技术人才、研发和管理人才和高层次领军骨干，形成完整人才梯队；公司在海外建立了研 发基地，在新加坡设立研发中心，不断聚集具有长期国际知名半导体企业工作经验的高端人才， 跟踪先进技术发展方向，保证公司产品的技术先进性，为保持产品核心竞争力，提供坚实基础 和保障。</w:t>
      </w:r>
    </w:p>
    <w:p>
      <w:pPr>
        <w:pStyle w:val="Style44"/>
        <w:keepNext w:val="0"/>
        <w:keepLines w:val="0"/>
        <w:widowControl w:val="0"/>
        <w:shd w:val="clear" w:color="auto" w:fill="auto"/>
        <w:tabs>
          <w:tab w:pos="1098" w:val="left"/>
        </w:tabs>
        <w:bidi w:val="0"/>
        <w:spacing w:before="0" w:after="0" w:line="408" w:lineRule="auto"/>
        <w:ind w:left="0" w:right="0" w:firstLine="740"/>
        <w:jc w:val="both"/>
      </w:pPr>
      <w:bookmarkStart w:id="83" w:name="bookmark83"/>
      <w:r>
        <w:rPr>
          <w:rFonts w:ascii="Times New Roman" w:eastAsia="Times New Roman" w:hAnsi="Times New Roman" w:cs="Times New Roman"/>
          <w:b/>
          <w:bCs/>
          <w:color w:val="000000"/>
          <w:spacing w:val="0"/>
          <w:w w:val="100"/>
          <w:position w:val="0"/>
          <w:sz w:val="24"/>
          <w:szCs w:val="24"/>
        </w:rPr>
        <w:t>2</w:t>
      </w:r>
      <w:bookmarkEnd w:id="83"/>
      <w:r>
        <w:rPr>
          <w:b/>
          <w:bCs/>
          <w:color w:val="000000"/>
          <w:spacing w:val="0"/>
          <w:w w:val="100"/>
          <w:position w:val="0"/>
        </w:rPr>
        <w:t>、</w:t>
        <w:tab/>
        <w:t>产品性能优势</w:t>
      </w:r>
    </w:p>
    <w:p>
      <w:pPr>
        <w:pStyle w:val="Style44"/>
        <w:keepNext w:val="0"/>
        <w:keepLines w:val="0"/>
        <w:widowControl w:val="0"/>
        <w:shd w:val="clear" w:color="auto" w:fill="auto"/>
        <w:bidi w:val="0"/>
        <w:spacing w:before="0" w:after="0" w:line="469" w:lineRule="exact"/>
        <w:ind w:left="280" w:right="0" w:firstLine="480"/>
        <w:jc w:val="both"/>
      </w:pPr>
      <w:r>
        <w:rPr>
          <w:color w:val="000000"/>
          <w:spacing w:val="0"/>
          <w:w w:val="100"/>
          <w:position w:val="0"/>
        </w:rPr>
        <w:t xml:space="preserve">报告期内公司开展了安全领域和通用领域数款产品的技术研发工作。针对下一代网络安全 认证芯片产品完成了芯片产品的测试验证工作，并已完成客户导入，实现小批量出货。该系列 产品具备高安全性、低功耗无线连接和高集成度等特点，在当下网络安全认证领域具备领先优 势。在汇聚技术实力以及成本优势的基础上，公司完成了下一代可信计算芯片产品研发设计， </w:t>
      </w:r>
      <w:r>
        <w:rPr>
          <w:color w:val="000000"/>
          <w:spacing w:val="0"/>
          <w:w w:val="100"/>
          <w:position w:val="0"/>
        </w:rPr>
        <w:t>报告期内已进入样品测试及产品资质认证阶段，作为唯一一款国内、国际安全认证的可信计算 芯片，满足国内外主流</w:t>
      </w:r>
      <w:r>
        <w:rPr>
          <w:rFonts w:ascii="Times New Roman" w:eastAsia="Times New Roman" w:hAnsi="Times New Roman" w:cs="Times New Roman"/>
          <w:color w:val="000000"/>
          <w:spacing w:val="0"/>
          <w:w w:val="100"/>
          <w:position w:val="0"/>
        </w:rPr>
        <w:t>IT</w:t>
      </w:r>
      <w:r>
        <w:rPr>
          <w:color w:val="000000"/>
          <w:spacing w:val="0"/>
          <w:w w:val="100"/>
          <w:position w:val="0"/>
        </w:rPr>
        <w:t>厂商客户全球一体化产品策略。在通用</w:t>
      </w:r>
      <w:r>
        <w:rPr>
          <w:rFonts w:ascii="Times New Roman" w:eastAsia="Times New Roman" w:hAnsi="Times New Roman" w:cs="Times New Roman"/>
          <w:color w:val="000000"/>
          <w:spacing w:val="0"/>
          <w:w w:val="100"/>
          <w:position w:val="0"/>
        </w:rPr>
        <w:t>MCU</w:t>
      </w:r>
      <w:r>
        <w:rPr>
          <w:color w:val="000000"/>
          <w:spacing w:val="0"/>
          <w:w w:val="100"/>
          <w:position w:val="0"/>
        </w:rPr>
        <w:t>产品方向，多个基于</w:t>
      </w:r>
      <w:r>
        <w:rPr>
          <w:rFonts w:ascii="Times New Roman" w:eastAsia="Times New Roman" w:hAnsi="Times New Roman" w:cs="Times New Roman"/>
          <w:color w:val="000000"/>
          <w:spacing w:val="0"/>
          <w:w w:val="100"/>
          <w:position w:val="0"/>
        </w:rPr>
        <w:t>ARM Cortex-M0</w:t>
      </w:r>
      <w:r>
        <w:rPr>
          <w:color w:val="000000"/>
          <w:spacing w:val="0"/>
          <w:w w:val="100"/>
          <w:position w:val="0"/>
        </w:rPr>
        <w:t>及</w:t>
      </w:r>
      <w:r>
        <w:rPr>
          <w:rFonts w:ascii="Times New Roman" w:eastAsia="Times New Roman" w:hAnsi="Times New Roman" w:cs="Times New Roman"/>
          <w:color w:val="000000"/>
          <w:spacing w:val="0"/>
          <w:w w:val="100"/>
          <w:position w:val="0"/>
        </w:rPr>
        <w:t>M4</w:t>
      </w:r>
      <w:r>
        <w:rPr>
          <w:color w:val="000000"/>
          <w:spacing w:val="0"/>
          <w:w w:val="100"/>
          <w:position w:val="0"/>
        </w:rPr>
        <w:t>系列内核的通用安全</w:t>
      </w:r>
      <w:r>
        <w:rPr>
          <w:rFonts w:ascii="Times New Roman" w:eastAsia="Times New Roman" w:hAnsi="Times New Roman" w:cs="Times New Roman"/>
          <w:color w:val="000000"/>
          <w:spacing w:val="0"/>
          <w:w w:val="100"/>
          <w:position w:val="0"/>
        </w:rPr>
        <w:t>MCU</w:t>
      </w:r>
      <w:r>
        <w:rPr>
          <w:color w:val="000000"/>
          <w:spacing w:val="0"/>
          <w:w w:val="100"/>
          <w:position w:val="0"/>
        </w:rPr>
        <w:t>产品进入应用方案开发和客户导入阶段，部分重点 型号产品进入批量供货状态，该系列产品结合公司在集成电路</w:t>
      </w:r>
      <w:r>
        <w:rPr>
          <w:rFonts w:ascii="Times New Roman" w:eastAsia="Times New Roman" w:hAnsi="Times New Roman" w:cs="Times New Roman"/>
          <w:color w:val="000000"/>
          <w:spacing w:val="0"/>
          <w:w w:val="100"/>
          <w:position w:val="0"/>
        </w:rPr>
        <w:t>SoC</w:t>
      </w:r>
      <w:r>
        <w:rPr>
          <w:color w:val="000000"/>
          <w:spacing w:val="0"/>
          <w:w w:val="100"/>
          <w:position w:val="0"/>
        </w:rPr>
        <w:t>芯片设计领域长期研发技术 积累，内置嵌入式高速闪存、低功耗电源管理，集成数模混合电路，并内置硬件密码算法加速 引擎以及安全单兀，具有高集成度、高性能、低功耗、高可靠性等特色。</w:t>
      </w:r>
    </w:p>
    <w:p>
      <w:pPr>
        <w:pStyle w:val="Style44"/>
        <w:keepNext w:val="0"/>
        <w:keepLines w:val="0"/>
        <w:widowControl w:val="0"/>
        <w:shd w:val="clear" w:color="auto" w:fill="auto"/>
        <w:bidi w:val="0"/>
        <w:spacing w:before="0" w:after="0" w:line="468" w:lineRule="exact"/>
        <w:ind w:left="280" w:right="0" w:firstLine="480"/>
        <w:jc w:val="both"/>
      </w:pPr>
      <w:r>
        <w:rPr>
          <w:color w:val="000000"/>
          <w:spacing w:val="0"/>
          <w:w w:val="100"/>
          <w:position w:val="0"/>
        </w:rPr>
        <w:t>面向未来智能化产业和技术方向，伴随信息化（安全）、工业化（可靠）以及低能耗化（低 功耗），公司将继续加大通用</w:t>
      </w:r>
      <w:r>
        <w:rPr>
          <w:rFonts w:ascii="Times New Roman" w:eastAsia="Times New Roman" w:hAnsi="Times New Roman" w:cs="Times New Roman"/>
          <w:color w:val="000000"/>
          <w:spacing w:val="0"/>
          <w:w w:val="100"/>
          <w:position w:val="0"/>
        </w:rPr>
        <w:t>MCU</w:t>
      </w:r>
      <w:r>
        <w:rPr>
          <w:color w:val="000000"/>
          <w:spacing w:val="0"/>
          <w:w w:val="100"/>
          <w:position w:val="0"/>
        </w:rPr>
        <w:t>芯片技术的研发投入，利用已形成</w:t>
      </w:r>
      <w:r>
        <w:rPr>
          <w:rFonts w:ascii="Times New Roman" w:eastAsia="Times New Roman" w:hAnsi="Times New Roman" w:cs="Times New Roman"/>
          <w:color w:val="000000"/>
          <w:spacing w:val="0"/>
          <w:w w:val="100"/>
          <w:position w:val="0"/>
        </w:rPr>
        <w:t>MCU</w:t>
      </w:r>
      <w:r>
        <w:rPr>
          <w:color w:val="000000"/>
          <w:spacing w:val="0"/>
          <w:w w:val="100"/>
          <w:position w:val="0"/>
        </w:rPr>
        <w:t>产品技术研发平台 化优势，快速完善通用</w:t>
      </w:r>
      <w:r>
        <w:rPr>
          <w:rFonts w:ascii="Times New Roman" w:eastAsia="Times New Roman" w:hAnsi="Times New Roman" w:cs="Times New Roman"/>
          <w:color w:val="000000"/>
          <w:spacing w:val="0"/>
          <w:w w:val="100"/>
          <w:position w:val="0"/>
        </w:rPr>
        <w:t>MCU</w:t>
      </w:r>
      <w:r>
        <w:rPr>
          <w:color w:val="000000"/>
          <w:spacing w:val="0"/>
          <w:w w:val="100"/>
          <w:position w:val="0"/>
        </w:rPr>
        <w:t>芯片产品系列及解决方案，逐步形成全系列、多应用、多场景的产 品系列，为客户和市场提供更多产品选择。同时，公司将继续深耕信息安全、</w:t>
      </w:r>
      <w:r>
        <w:rPr>
          <w:rFonts w:ascii="Times New Roman" w:eastAsia="Times New Roman" w:hAnsi="Times New Roman" w:cs="Times New Roman"/>
          <w:color w:val="000000"/>
          <w:spacing w:val="0"/>
          <w:w w:val="100"/>
          <w:position w:val="0"/>
        </w:rPr>
        <w:t>SoC</w:t>
      </w:r>
      <w:r>
        <w:rPr>
          <w:color w:val="000000"/>
          <w:spacing w:val="0"/>
          <w:w w:val="100"/>
          <w:position w:val="0"/>
        </w:rPr>
        <w:t>芯片与射频 芯片领域，推动芯片产品不断深入涉及金融安全、行业智能卡、可信计算、低功耗蓝牙、设备 认证、网络身份识别</w:t>
      </w:r>
      <w:r>
        <w:rPr>
          <w:rFonts w:ascii="Times New Roman" w:eastAsia="Times New Roman" w:hAnsi="Times New Roman" w:cs="Times New Roman"/>
          <w:color w:val="000000"/>
          <w:spacing w:val="0"/>
          <w:w w:val="100"/>
          <w:position w:val="0"/>
        </w:rPr>
        <w:t>/</w:t>
      </w:r>
      <w:r>
        <w:rPr>
          <w:color w:val="000000"/>
          <w:spacing w:val="0"/>
          <w:w w:val="100"/>
          <w:position w:val="0"/>
        </w:rPr>
        <w:t>鉴权、数字货币、电子银行、电子证照和移动支付等既有行业领域，加强 在研发的芯片产品以及相应的解决方案与更加广泛新兴市场的结合，推动信息化、工业化、智 能化市场与应用成长，不断获取市场成长的回报。</w:t>
      </w:r>
    </w:p>
    <w:p>
      <w:pPr>
        <w:pStyle w:val="Style44"/>
        <w:keepNext w:val="0"/>
        <w:keepLines w:val="0"/>
        <w:widowControl w:val="0"/>
        <w:shd w:val="clear" w:color="auto" w:fill="auto"/>
        <w:tabs>
          <w:tab w:pos="1102" w:val="left"/>
        </w:tabs>
        <w:bidi w:val="0"/>
        <w:spacing w:before="0" w:after="0" w:line="468" w:lineRule="exact"/>
        <w:ind w:left="0" w:right="0" w:firstLine="740"/>
        <w:jc w:val="both"/>
      </w:pPr>
      <w:bookmarkStart w:id="84" w:name="bookmark84"/>
      <w:r>
        <w:rPr>
          <w:rFonts w:ascii="Times New Roman" w:eastAsia="Times New Roman" w:hAnsi="Times New Roman" w:cs="Times New Roman"/>
          <w:b/>
          <w:bCs/>
          <w:color w:val="000000"/>
          <w:spacing w:val="0"/>
          <w:w w:val="100"/>
          <w:position w:val="0"/>
          <w:sz w:val="24"/>
          <w:szCs w:val="24"/>
        </w:rPr>
        <w:t>3</w:t>
      </w:r>
      <w:bookmarkEnd w:id="84"/>
      <w:r>
        <w:rPr>
          <w:b/>
          <w:bCs/>
          <w:color w:val="000000"/>
          <w:spacing w:val="0"/>
          <w:w w:val="100"/>
          <w:position w:val="0"/>
        </w:rPr>
        <w:t>、</w:t>
        <w:tab/>
        <w:t>知识产权创新能力</w:t>
      </w:r>
    </w:p>
    <w:p>
      <w:pPr>
        <w:pStyle w:val="Style44"/>
        <w:keepNext w:val="0"/>
        <w:keepLines w:val="0"/>
        <w:widowControl w:val="0"/>
        <w:shd w:val="clear" w:color="auto" w:fill="auto"/>
        <w:tabs>
          <w:tab w:pos="1318" w:val="left"/>
        </w:tabs>
        <w:bidi w:val="0"/>
        <w:spacing w:before="0" w:after="0" w:line="468" w:lineRule="exact"/>
        <w:ind w:left="280" w:right="0" w:firstLine="480"/>
        <w:jc w:val="both"/>
      </w:pPr>
      <w:bookmarkStart w:id="85" w:name="bookmark85"/>
      <w:r>
        <w:rPr>
          <w:color w:val="000000"/>
          <w:spacing w:val="0"/>
          <w:w w:val="100"/>
          <w:position w:val="0"/>
        </w:rPr>
        <w:t>（</w:t>
      </w:r>
      <w:bookmarkEnd w:id="85"/>
      <w:r>
        <w:rPr>
          <w:rFonts w:ascii="Times New Roman" w:eastAsia="Times New Roman" w:hAnsi="Times New Roman" w:cs="Times New Roman"/>
          <w:color w:val="000000"/>
          <w:spacing w:val="0"/>
          <w:w w:val="100"/>
          <w:position w:val="0"/>
        </w:rPr>
        <w:t>1</w:t>
      </w:r>
      <w:r>
        <w:rPr>
          <w:color w:val="000000"/>
          <w:spacing w:val="0"/>
          <w:w w:val="100"/>
          <w:position w:val="0"/>
        </w:rPr>
        <w:t>）</w:t>
        <w:tab/>
        <w:t>经过多年的持续研发和技术积累，公司在</w:t>
      </w:r>
      <w:r>
        <w:rPr>
          <w:rFonts w:ascii="Times New Roman" w:eastAsia="Times New Roman" w:hAnsi="Times New Roman" w:cs="Times New Roman"/>
          <w:color w:val="000000"/>
          <w:spacing w:val="0"/>
          <w:w w:val="100"/>
          <w:position w:val="0"/>
        </w:rPr>
        <w:t>SoC</w:t>
      </w:r>
      <w:r>
        <w:rPr>
          <w:color w:val="000000"/>
          <w:spacing w:val="0"/>
          <w:w w:val="100"/>
          <w:position w:val="0"/>
        </w:rPr>
        <w:t>芯片设计、安全、射频、低功耗等多方 面均积累了自主研发的核心技术，并拥有多项知识产权。截至</w:t>
      </w:r>
      <w:r>
        <w:rPr>
          <w:rFonts w:ascii="Times New Roman" w:eastAsia="Times New Roman" w:hAnsi="Times New Roman" w:cs="Times New Roman"/>
          <w:color w:val="000000"/>
          <w:spacing w:val="0"/>
          <w:w w:val="100"/>
          <w:position w:val="0"/>
        </w:rPr>
        <w:t>2020</w:t>
      </w:r>
      <w:r>
        <w:rPr>
          <w:color w:val="000000"/>
          <w:spacing w:val="0"/>
          <w:w w:val="100"/>
          <w:position w:val="0"/>
        </w:rPr>
        <w:t>年底，公司知识产权（含专 利、商标、软件著作权、集成电路布图等）累计申请量达</w:t>
      </w:r>
      <w:r>
        <w:rPr>
          <w:rFonts w:ascii="Times New Roman" w:eastAsia="Times New Roman" w:hAnsi="Times New Roman" w:cs="Times New Roman"/>
          <w:color w:val="000000"/>
          <w:spacing w:val="0"/>
          <w:w w:val="100"/>
          <w:position w:val="0"/>
        </w:rPr>
        <w:t>2,296</w:t>
      </w:r>
      <w:r>
        <w:rPr>
          <w:color w:val="000000"/>
          <w:spacing w:val="0"/>
          <w:w w:val="100"/>
          <w:position w:val="0"/>
        </w:rPr>
        <w:t>项，授权量为</w:t>
      </w:r>
      <w:r>
        <w:rPr>
          <w:rFonts w:ascii="Times New Roman" w:eastAsia="Times New Roman" w:hAnsi="Times New Roman" w:cs="Times New Roman"/>
          <w:color w:val="000000"/>
          <w:spacing w:val="0"/>
          <w:w w:val="100"/>
          <w:position w:val="0"/>
        </w:rPr>
        <w:t>1,333</w:t>
      </w:r>
      <w:r>
        <w:rPr>
          <w:color w:val="000000"/>
          <w:spacing w:val="0"/>
          <w:w w:val="100"/>
          <w:position w:val="0"/>
        </w:rPr>
        <w:t>项，其中国 内外专利申请总量达</w:t>
      </w:r>
      <w:r>
        <w:rPr>
          <w:rFonts w:ascii="Times New Roman" w:eastAsia="Times New Roman" w:hAnsi="Times New Roman" w:cs="Times New Roman"/>
          <w:color w:val="000000"/>
          <w:spacing w:val="0"/>
          <w:w w:val="100"/>
          <w:position w:val="0"/>
        </w:rPr>
        <w:t>1464</w:t>
      </w:r>
      <w:r>
        <w:rPr>
          <w:color w:val="000000"/>
          <w:spacing w:val="0"/>
          <w:w w:val="100"/>
          <w:position w:val="0"/>
        </w:rPr>
        <w:t>项，取得国内外授权专利</w:t>
      </w:r>
      <w:r>
        <w:rPr>
          <w:rFonts w:ascii="Times New Roman" w:eastAsia="Times New Roman" w:hAnsi="Times New Roman" w:cs="Times New Roman"/>
          <w:color w:val="000000"/>
          <w:spacing w:val="0"/>
          <w:w w:val="100"/>
          <w:position w:val="0"/>
        </w:rPr>
        <w:t>730</w:t>
      </w:r>
      <w:r>
        <w:rPr>
          <w:color w:val="000000"/>
          <w:spacing w:val="0"/>
          <w:w w:val="100"/>
          <w:position w:val="0"/>
        </w:rPr>
        <w:t>项，集成电路布图设计登记</w:t>
      </w:r>
      <w:r>
        <w:rPr>
          <w:rFonts w:ascii="Times New Roman" w:eastAsia="Times New Roman" w:hAnsi="Times New Roman" w:cs="Times New Roman"/>
          <w:color w:val="000000"/>
          <w:spacing w:val="0"/>
          <w:w w:val="100"/>
          <w:position w:val="0"/>
        </w:rPr>
        <w:t>40</w:t>
      </w:r>
      <w:r>
        <w:rPr>
          <w:color w:val="000000"/>
          <w:spacing w:val="0"/>
          <w:w w:val="100"/>
          <w:position w:val="0"/>
        </w:rPr>
        <w:t>项，软 件著作权</w:t>
      </w:r>
      <w:r>
        <w:rPr>
          <w:rFonts w:ascii="Times New Roman" w:eastAsia="Times New Roman" w:hAnsi="Times New Roman" w:cs="Times New Roman"/>
          <w:color w:val="000000"/>
          <w:spacing w:val="0"/>
          <w:w w:val="100"/>
          <w:position w:val="0"/>
        </w:rPr>
        <w:t>73</w:t>
      </w:r>
      <w:r>
        <w:rPr>
          <w:color w:val="000000"/>
          <w:spacing w:val="0"/>
          <w:w w:val="100"/>
          <w:position w:val="0"/>
        </w:rPr>
        <w:t>项。历年来公司相关技术已累计获得</w:t>
      </w:r>
      <w:r>
        <w:rPr>
          <w:rFonts w:ascii="Times New Roman" w:eastAsia="Times New Roman" w:hAnsi="Times New Roman" w:cs="Times New Roman"/>
          <w:color w:val="000000"/>
          <w:spacing w:val="0"/>
          <w:w w:val="100"/>
          <w:position w:val="0"/>
        </w:rPr>
        <w:t>1</w:t>
      </w:r>
      <w:r>
        <w:rPr>
          <w:color w:val="000000"/>
          <w:spacing w:val="0"/>
          <w:w w:val="100"/>
          <w:position w:val="0"/>
        </w:rPr>
        <w:t>项中国专利金奖，</w:t>
      </w:r>
      <w:r>
        <w:rPr>
          <w:rFonts w:ascii="Times New Roman" w:eastAsia="Times New Roman" w:hAnsi="Times New Roman" w:cs="Times New Roman"/>
          <w:color w:val="000000"/>
          <w:spacing w:val="0"/>
          <w:w w:val="100"/>
          <w:position w:val="0"/>
        </w:rPr>
        <w:t>9</w:t>
      </w:r>
      <w:r>
        <w:rPr>
          <w:color w:val="000000"/>
          <w:spacing w:val="0"/>
          <w:w w:val="100"/>
          <w:position w:val="0"/>
        </w:rPr>
        <w:t>项中国专利优秀奖，</w:t>
      </w:r>
      <w:r>
        <w:rPr>
          <w:rFonts w:ascii="Times New Roman" w:eastAsia="Times New Roman" w:hAnsi="Times New Roman" w:cs="Times New Roman"/>
          <w:color w:val="000000"/>
          <w:spacing w:val="0"/>
          <w:w w:val="100"/>
          <w:position w:val="0"/>
        </w:rPr>
        <w:t xml:space="preserve">1 </w:t>
      </w:r>
      <w:r>
        <w:rPr>
          <w:color w:val="000000"/>
          <w:spacing w:val="0"/>
          <w:w w:val="100"/>
          <w:position w:val="0"/>
        </w:rPr>
        <w:t>项广东专利金奖，</w:t>
      </w:r>
      <w:r>
        <w:rPr>
          <w:rFonts w:ascii="Times New Roman" w:eastAsia="Times New Roman" w:hAnsi="Times New Roman" w:cs="Times New Roman"/>
          <w:color w:val="000000"/>
          <w:spacing w:val="0"/>
          <w:w w:val="100"/>
          <w:position w:val="0"/>
        </w:rPr>
        <w:t>4</w:t>
      </w:r>
      <w:r>
        <w:rPr>
          <w:color w:val="000000"/>
          <w:spacing w:val="0"/>
          <w:w w:val="100"/>
          <w:position w:val="0"/>
        </w:rPr>
        <w:t>项广东专利优秀奖。</w:t>
      </w:r>
    </w:p>
    <w:p>
      <w:pPr>
        <w:pStyle w:val="Style44"/>
        <w:keepNext w:val="0"/>
        <w:keepLines w:val="0"/>
        <w:widowControl w:val="0"/>
        <w:shd w:val="clear" w:color="auto" w:fill="auto"/>
        <w:tabs>
          <w:tab w:pos="1318" w:val="left"/>
        </w:tabs>
        <w:bidi w:val="0"/>
        <w:spacing w:before="0" w:after="0" w:line="468" w:lineRule="exact"/>
        <w:ind w:left="280" w:right="0" w:firstLine="480"/>
        <w:jc w:val="both"/>
      </w:pPr>
      <w:bookmarkStart w:id="86" w:name="bookmark86"/>
      <w:r>
        <w:rPr>
          <w:color w:val="000000"/>
          <w:spacing w:val="0"/>
          <w:w w:val="100"/>
          <w:position w:val="0"/>
        </w:rPr>
        <w:t>（</w:t>
      </w:r>
      <w:bookmarkEnd w:id="86"/>
      <w:r>
        <w:rPr>
          <w:rFonts w:ascii="Times New Roman" w:eastAsia="Times New Roman" w:hAnsi="Times New Roman" w:cs="Times New Roman"/>
          <w:color w:val="000000"/>
          <w:spacing w:val="0"/>
          <w:w w:val="100"/>
          <w:position w:val="0"/>
        </w:rPr>
        <w:t>2</w:t>
      </w:r>
      <w:r>
        <w:rPr>
          <w:color w:val="000000"/>
          <w:spacing w:val="0"/>
          <w:w w:val="100"/>
          <w:position w:val="0"/>
        </w:rPr>
        <w:t>）</w:t>
        <w:tab/>
        <w:t>报告期内，公司共计参与</w:t>
      </w:r>
      <w:r>
        <w:rPr>
          <w:rFonts w:ascii="Times New Roman" w:eastAsia="Times New Roman" w:hAnsi="Times New Roman" w:cs="Times New Roman"/>
          <w:color w:val="000000"/>
          <w:spacing w:val="0"/>
          <w:w w:val="100"/>
          <w:position w:val="0"/>
        </w:rPr>
        <w:t>19</w:t>
      </w:r>
      <w:r>
        <w:rPr>
          <w:color w:val="000000"/>
          <w:spacing w:val="0"/>
          <w:w w:val="100"/>
          <w:position w:val="0"/>
        </w:rPr>
        <w:t>项各类技术标准的制</w:t>
      </w:r>
      <w:r>
        <w:rPr>
          <w:rFonts w:ascii="Times New Roman" w:eastAsia="Times New Roman" w:hAnsi="Times New Roman" w:cs="Times New Roman"/>
          <w:color w:val="000000"/>
          <w:spacing w:val="0"/>
          <w:w w:val="100"/>
          <w:position w:val="0"/>
        </w:rPr>
        <w:t>/</w:t>
      </w:r>
      <w:r>
        <w:rPr>
          <w:color w:val="000000"/>
          <w:spacing w:val="0"/>
          <w:w w:val="100"/>
          <w:position w:val="0"/>
        </w:rPr>
        <w:t>修订工作，其中包括：《信息安全技 术可信计算密码支撑平台功能与接口规范》等</w:t>
      </w:r>
      <w:r>
        <w:rPr>
          <w:rFonts w:ascii="Times New Roman" w:eastAsia="Times New Roman" w:hAnsi="Times New Roman" w:cs="Times New Roman"/>
          <w:color w:val="000000"/>
          <w:spacing w:val="0"/>
          <w:w w:val="100"/>
          <w:position w:val="0"/>
        </w:rPr>
        <w:t>7</w:t>
      </w:r>
      <w:r>
        <w:rPr>
          <w:color w:val="000000"/>
          <w:spacing w:val="0"/>
          <w:w w:val="100"/>
          <w:position w:val="0"/>
        </w:rPr>
        <w:t>项国家标准，《出入口控制系统电子凭证安全 技术要求》等</w:t>
      </w:r>
      <w:r>
        <w:rPr>
          <w:rFonts w:ascii="Times New Roman" w:eastAsia="Times New Roman" w:hAnsi="Times New Roman" w:cs="Times New Roman"/>
          <w:color w:val="000000"/>
          <w:spacing w:val="0"/>
          <w:w w:val="100"/>
          <w:position w:val="0"/>
        </w:rPr>
        <w:t>6</w:t>
      </w:r>
      <w:r>
        <w:rPr>
          <w:color w:val="000000"/>
          <w:spacing w:val="0"/>
          <w:w w:val="100"/>
          <w:position w:val="0"/>
        </w:rPr>
        <w:t>项行业标准以及《建筑及居住区数字化技术应用智能门锁自动控制模块技术要 求》等</w:t>
      </w:r>
      <w:r>
        <w:rPr>
          <w:rFonts w:ascii="Times New Roman" w:eastAsia="Times New Roman" w:hAnsi="Times New Roman" w:cs="Times New Roman"/>
          <w:color w:val="000000"/>
          <w:spacing w:val="0"/>
          <w:w w:val="100"/>
          <w:position w:val="0"/>
        </w:rPr>
        <w:t>7</w:t>
      </w:r>
      <w:r>
        <w:rPr>
          <w:color w:val="000000"/>
          <w:spacing w:val="0"/>
          <w:w w:val="100"/>
          <w:position w:val="0"/>
        </w:rPr>
        <w:t>项团体标准。截至目前，作为我国芯片和物联网安全、可信计算等领域技术标准的重 要推动者和参与者，公司累计参与制</w:t>
      </w:r>
      <w:r>
        <w:rPr>
          <w:rFonts w:ascii="Times New Roman" w:eastAsia="Times New Roman" w:hAnsi="Times New Roman" w:cs="Times New Roman"/>
          <w:color w:val="000000"/>
          <w:spacing w:val="0"/>
          <w:w w:val="100"/>
          <w:position w:val="0"/>
        </w:rPr>
        <w:t>/</w:t>
      </w:r>
      <w:r>
        <w:rPr>
          <w:color w:val="000000"/>
          <w:spacing w:val="0"/>
          <w:w w:val="100"/>
          <w:position w:val="0"/>
        </w:rPr>
        <w:t>修订的国际、国家、行业、团体类标准共</w:t>
      </w:r>
      <w:r>
        <w:rPr>
          <w:rFonts w:ascii="Times New Roman" w:eastAsia="Times New Roman" w:hAnsi="Times New Roman" w:cs="Times New Roman"/>
          <w:color w:val="000000"/>
          <w:spacing w:val="0"/>
          <w:w w:val="100"/>
          <w:position w:val="0"/>
        </w:rPr>
        <w:t>59</w:t>
      </w:r>
      <w:r>
        <w:rPr>
          <w:color w:val="000000"/>
          <w:spacing w:val="0"/>
          <w:w w:val="100"/>
          <w:position w:val="0"/>
        </w:rPr>
        <w:t>项，其中</w:t>
      </w:r>
      <w:r>
        <w:rPr>
          <w:rFonts w:ascii="Times New Roman" w:eastAsia="Times New Roman" w:hAnsi="Times New Roman" w:cs="Times New Roman"/>
          <w:color w:val="000000"/>
          <w:spacing w:val="0"/>
          <w:w w:val="100"/>
          <w:position w:val="0"/>
        </w:rPr>
        <w:t xml:space="preserve">40 </w:t>
      </w:r>
      <w:r>
        <w:rPr>
          <w:color w:val="000000"/>
          <w:spacing w:val="0"/>
          <w:w w:val="100"/>
          <w:position w:val="0"/>
        </w:rPr>
        <w:t>项标准已经获得颁布。</w:t>
      </w:r>
    </w:p>
    <w:p>
      <w:pPr>
        <w:pStyle w:val="Style44"/>
        <w:keepNext w:val="0"/>
        <w:keepLines w:val="0"/>
        <w:widowControl w:val="0"/>
        <w:shd w:val="clear" w:color="auto" w:fill="auto"/>
        <w:tabs>
          <w:tab w:pos="1102" w:val="left"/>
        </w:tabs>
        <w:bidi w:val="0"/>
        <w:spacing w:before="0" w:after="0" w:line="468" w:lineRule="exact"/>
        <w:ind w:left="0" w:right="0" w:firstLine="740"/>
        <w:jc w:val="both"/>
      </w:pPr>
      <w:bookmarkStart w:id="87" w:name="bookmark87"/>
      <w:r>
        <w:rPr>
          <w:rFonts w:ascii="Times New Roman" w:eastAsia="Times New Roman" w:hAnsi="Times New Roman" w:cs="Times New Roman"/>
          <w:b/>
          <w:bCs/>
          <w:color w:val="000000"/>
          <w:spacing w:val="0"/>
          <w:w w:val="100"/>
          <w:position w:val="0"/>
          <w:sz w:val="24"/>
          <w:szCs w:val="24"/>
        </w:rPr>
        <w:t>4</w:t>
      </w:r>
      <w:bookmarkEnd w:id="87"/>
      <w:r>
        <w:rPr>
          <w:b/>
          <w:bCs/>
          <w:color w:val="000000"/>
          <w:spacing w:val="0"/>
          <w:w w:val="100"/>
          <w:position w:val="0"/>
        </w:rPr>
        <w:t>、</w:t>
        <w:tab/>
        <w:t>行业应用市场积累</w:t>
      </w:r>
    </w:p>
    <w:p>
      <w:pPr>
        <w:pStyle w:val="Style44"/>
        <w:keepNext w:val="0"/>
        <w:keepLines w:val="0"/>
        <w:widowControl w:val="0"/>
        <w:shd w:val="clear" w:color="auto" w:fill="auto"/>
        <w:bidi w:val="0"/>
        <w:spacing w:before="0" w:after="240" w:line="468" w:lineRule="exact"/>
        <w:ind w:left="280" w:right="0" w:firstLine="480"/>
        <w:jc w:val="both"/>
      </w:pPr>
      <w:r>
        <w:rPr>
          <w:color w:val="000000"/>
          <w:spacing w:val="0"/>
          <w:w w:val="100"/>
          <w:position w:val="0"/>
        </w:rPr>
        <w:t xml:space="preserve">在日趋激烈的市场竞争中，公司始终坚持产品技术与行业应用紧密结合的发展方向，整合 产业链上下游资源，深入了解市场需求的同时，不断拓展产品应用场景，为行业客户提供系统 </w:t>
      </w:r>
      <w:r>
        <w:rPr>
          <w:color w:val="000000"/>
          <w:spacing w:val="0"/>
          <w:w w:val="100"/>
          <w:position w:val="0"/>
        </w:rPr>
        <w:t>级芯片应用解决方案，不断强化市场竞争力。目前，公司的网络身份认证、可信计算、商用密 码算法应用、互联网金融安全、公共服务数据传输安全和短距离数据传输安全、物联网及智能 硬件等系列化的芯片产品、行业应用解决方案和服务管理平台，能够满足在“信息化</w:t>
      </w:r>
      <w:r>
        <w:rPr>
          <w:rFonts w:ascii="Times New Roman" w:eastAsia="Times New Roman" w:hAnsi="Times New Roman" w:cs="Times New Roman"/>
          <w:color w:val="000000"/>
          <w:spacing w:val="0"/>
          <w:w w:val="100"/>
          <w:position w:val="0"/>
        </w:rPr>
        <w:t>+</w:t>
      </w:r>
      <w:r>
        <w:rPr>
          <w:color w:val="000000"/>
          <w:spacing w:val="0"/>
          <w:w w:val="100"/>
          <w:position w:val="0"/>
        </w:rPr>
        <w:t>互联化” 趋势下的各类行业客户需求。公司持续投入技术力量研制通用</w:t>
      </w:r>
      <w:r>
        <w:rPr>
          <w:rFonts w:ascii="Times New Roman" w:eastAsia="Times New Roman" w:hAnsi="Times New Roman" w:cs="Times New Roman"/>
          <w:color w:val="000000"/>
          <w:spacing w:val="0"/>
          <w:w w:val="100"/>
          <w:position w:val="0"/>
        </w:rPr>
        <w:t>MCU</w:t>
      </w:r>
      <w:r>
        <w:rPr>
          <w:color w:val="000000"/>
          <w:spacing w:val="0"/>
          <w:w w:val="100"/>
          <w:position w:val="0"/>
        </w:rPr>
        <w:t>芯片产品，为各类行业市场 用户提供覆盖高中低端</w:t>
      </w:r>
      <w:r>
        <w:rPr>
          <w:rFonts w:ascii="Times New Roman" w:eastAsia="Times New Roman" w:hAnsi="Times New Roman" w:cs="Times New Roman"/>
          <w:color w:val="000000"/>
          <w:spacing w:val="0"/>
          <w:w w:val="100"/>
          <w:position w:val="0"/>
        </w:rPr>
        <w:t>MCU</w:t>
      </w:r>
      <w:r>
        <w:rPr>
          <w:color w:val="000000"/>
          <w:spacing w:val="0"/>
          <w:w w:val="100"/>
          <w:position w:val="0"/>
        </w:rPr>
        <w:t>应用需求的高性价比芯片产品及应用解决方案。同时，在业务发展 过程中采取合作开放的模式，努力聚集产业链上下游的合作伙伴，形成从晶圆厂和封测厂、行 业解决方案商和集成商、终端产品生产商、电信运营和互联网企业等资源整合型合作链，为公 司业务发展打造持续发展生态系统。</w:t>
      </w:r>
    </w:p>
    <w:p>
      <w:pPr>
        <w:pStyle w:val="Style44"/>
        <w:keepNext w:val="0"/>
        <w:keepLines w:val="0"/>
        <w:widowControl w:val="0"/>
        <w:shd w:val="clear" w:color="auto" w:fill="auto"/>
        <w:bidi w:val="0"/>
        <w:spacing w:before="0" w:after="0" w:line="470" w:lineRule="exact"/>
        <w:ind w:left="0" w:right="0" w:firstLine="740"/>
        <w:jc w:val="both"/>
      </w:pPr>
      <w:bookmarkStart w:id="88" w:name="bookmark88"/>
      <w:r>
        <w:rPr>
          <w:b/>
          <w:bCs/>
          <w:color w:val="000000"/>
          <w:spacing w:val="0"/>
          <w:w w:val="100"/>
          <w:position w:val="0"/>
        </w:rPr>
        <w:t>（</w:t>
      </w:r>
      <w:bookmarkEnd w:id="88"/>
      <w:r>
        <w:rPr>
          <w:b/>
          <w:bCs/>
          <w:color w:val="000000"/>
          <w:spacing w:val="0"/>
          <w:w w:val="100"/>
          <w:position w:val="0"/>
        </w:rPr>
        <w:t>二）、新能源负极材料领域</w:t>
      </w:r>
    </w:p>
    <w:p>
      <w:pPr>
        <w:pStyle w:val="Style44"/>
        <w:keepNext w:val="0"/>
        <w:keepLines w:val="0"/>
        <w:widowControl w:val="0"/>
        <w:shd w:val="clear" w:color="auto" w:fill="auto"/>
        <w:bidi w:val="0"/>
        <w:spacing w:before="0" w:after="0" w:line="470" w:lineRule="exact"/>
        <w:ind w:left="280" w:right="0" w:firstLine="460"/>
        <w:jc w:val="both"/>
      </w:pPr>
      <w:r>
        <w:rPr>
          <w:color w:val="000000"/>
          <w:spacing w:val="0"/>
          <w:w w:val="100"/>
          <w:position w:val="0"/>
        </w:rPr>
        <w:t>斯诺实业锂离子电池负极材料研发、生产和销售业务领域深耕负极行业十数年，具有研发、 工艺、成本优势。</w:t>
      </w:r>
    </w:p>
    <w:p>
      <w:pPr>
        <w:pStyle w:val="Style44"/>
        <w:keepNext w:val="0"/>
        <w:keepLines w:val="0"/>
        <w:widowControl w:val="0"/>
        <w:shd w:val="clear" w:color="auto" w:fill="auto"/>
        <w:tabs>
          <w:tab w:pos="1118" w:val="left"/>
        </w:tabs>
        <w:bidi w:val="0"/>
        <w:spacing w:before="0" w:after="0" w:line="470" w:lineRule="exact"/>
        <w:ind w:left="0" w:right="0" w:firstLine="640"/>
        <w:jc w:val="both"/>
      </w:pPr>
      <w:bookmarkStart w:id="89" w:name="bookmark89"/>
      <w:r>
        <w:rPr>
          <w:rFonts w:ascii="Times New Roman" w:eastAsia="Times New Roman" w:hAnsi="Times New Roman" w:cs="Times New Roman"/>
          <w:b/>
          <w:bCs/>
          <w:color w:val="000000"/>
          <w:spacing w:val="0"/>
          <w:w w:val="100"/>
          <w:position w:val="0"/>
          <w:sz w:val="24"/>
          <w:szCs w:val="24"/>
        </w:rPr>
        <w:t>1</w:t>
      </w:r>
      <w:bookmarkEnd w:id="89"/>
      <w:r>
        <w:rPr>
          <w:b/>
          <w:bCs/>
          <w:color w:val="000000"/>
          <w:spacing w:val="0"/>
          <w:w w:val="100"/>
          <w:position w:val="0"/>
        </w:rPr>
        <w:t>、</w:t>
        <w:tab/>
        <w:t>技术优势</w:t>
      </w:r>
    </w:p>
    <w:p>
      <w:pPr>
        <w:pStyle w:val="Style44"/>
        <w:keepNext w:val="0"/>
        <w:keepLines w:val="0"/>
        <w:widowControl w:val="0"/>
        <w:shd w:val="clear" w:color="auto" w:fill="auto"/>
        <w:bidi w:val="0"/>
        <w:spacing w:before="0" w:after="0" w:line="470" w:lineRule="exact"/>
        <w:ind w:left="280" w:right="0" w:firstLine="460"/>
        <w:jc w:val="both"/>
      </w:pPr>
      <w:r>
        <w:rPr>
          <w:color w:val="000000"/>
          <w:spacing w:val="0"/>
          <w:w w:val="100"/>
          <w:position w:val="0"/>
        </w:rPr>
        <w:t>斯诺实业深耕人造石墨负极材料领域的研发与应用，在石墨整形和造孔以及表面改性方面 具有多项核心技术，拥有近六十项自主知识产权，具有行业前沿技术的开发和转换能力。尤其 在新能源汽车锂离子动力电池负极材料方面，具有独特的生产工艺技术以保证产品良好的一致 性。先后开发的多款负极材料产品广泛应用于电动汽车领域，产品同时也通过</w:t>
      </w:r>
      <w:r>
        <w:rPr>
          <w:rFonts w:ascii="Times New Roman" w:eastAsia="Times New Roman" w:hAnsi="Times New Roman" w:cs="Times New Roman"/>
          <w:color w:val="000000"/>
          <w:spacing w:val="0"/>
          <w:w w:val="100"/>
          <w:position w:val="0"/>
        </w:rPr>
        <w:t>IATF16949</w:t>
      </w:r>
      <w:r>
        <w:rPr>
          <w:color w:val="000000"/>
          <w:spacing w:val="0"/>
          <w:w w:val="100"/>
          <w:position w:val="0"/>
        </w:rPr>
        <w:t xml:space="preserve">、 </w:t>
      </w:r>
      <w:r>
        <w:rPr>
          <w:rFonts w:ascii="Times New Roman" w:eastAsia="Times New Roman" w:hAnsi="Times New Roman" w:cs="Times New Roman"/>
          <w:color w:val="000000"/>
          <w:spacing w:val="0"/>
          <w:w w:val="100"/>
          <w:position w:val="0"/>
        </w:rPr>
        <w:t>IS09001</w:t>
      </w:r>
      <w:r>
        <w:rPr>
          <w:color w:val="000000"/>
          <w:spacing w:val="0"/>
          <w:w w:val="100"/>
          <w:position w:val="0"/>
        </w:rPr>
        <w:t>、</w:t>
      </w:r>
      <w:r>
        <w:rPr>
          <w:rFonts w:ascii="Times New Roman" w:eastAsia="Times New Roman" w:hAnsi="Times New Roman" w:cs="Times New Roman"/>
          <w:color w:val="000000"/>
          <w:spacing w:val="0"/>
          <w:w w:val="100"/>
          <w:position w:val="0"/>
        </w:rPr>
        <w:t>IS014001</w:t>
      </w:r>
      <w:r>
        <w:rPr>
          <w:color w:val="000000"/>
          <w:spacing w:val="0"/>
          <w:w w:val="100"/>
          <w:position w:val="0"/>
        </w:rPr>
        <w:t>、</w:t>
      </w:r>
      <w:r>
        <w:rPr>
          <w:rFonts w:ascii="Times New Roman" w:eastAsia="Times New Roman" w:hAnsi="Times New Roman" w:cs="Times New Roman"/>
          <w:color w:val="000000"/>
          <w:spacing w:val="0"/>
          <w:w w:val="100"/>
          <w:position w:val="0"/>
        </w:rPr>
        <w:t>OHSAS18001</w:t>
      </w:r>
      <w:r>
        <w:rPr>
          <w:color w:val="000000"/>
          <w:spacing w:val="0"/>
          <w:w w:val="100"/>
          <w:position w:val="0"/>
        </w:rPr>
        <w:t>等体系标准认证。斯诺实业技术研发中心于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月被 广东省科技厅认定为“广东省动力电池材料工程技术研究中心”。</w:t>
      </w:r>
    </w:p>
    <w:p>
      <w:pPr>
        <w:pStyle w:val="Style44"/>
        <w:keepNext w:val="0"/>
        <w:keepLines w:val="0"/>
        <w:widowControl w:val="0"/>
        <w:shd w:val="clear" w:color="auto" w:fill="auto"/>
        <w:bidi w:val="0"/>
        <w:spacing w:before="0" w:after="0" w:line="470" w:lineRule="exact"/>
        <w:ind w:left="280" w:right="0" w:firstLine="460"/>
        <w:jc w:val="both"/>
      </w:pPr>
      <w:r>
        <w:rPr>
          <w:color w:val="000000"/>
          <w:spacing w:val="0"/>
          <w:w w:val="100"/>
          <w:position w:val="0"/>
        </w:rPr>
        <w:t>经过</w:t>
      </w:r>
      <w:r>
        <w:rPr>
          <w:rFonts w:ascii="Times New Roman" w:eastAsia="Times New Roman" w:hAnsi="Times New Roman" w:cs="Times New Roman"/>
          <w:color w:val="000000"/>
          <w:spacing w:val="0"/>
          <w:w w:val="100"/>
          <w:position w:val="0"/>
        </w:rPr>
        <w:t>1</w:t>
      </w:r>
      <w:r>
        <w:rPr>
          <w:color w:val="000000"/>
          <w:spacing w:val="0"/>
          <w:w w:val="100"/>
          <w:position w:val="0"/>
        </w:rPr>
        <w:t>年多的建设和技术改进，内蒙斯诺在人造石墨负极材料全工序生产装备和工艺技术 水平方面得到显著提升。</w:t>
      </w:r>
      <w:r>
        <w:rPr>
          <w:rFonts w:ascii="Times New Roman" w:eastAsia="Times New Roman" w:hAnsi="Times New Roman" w:cs="Times New Roman"/>
          <w:color w:val="000000"/>
          <w:spacing w:val="0"/>
          <w:w w:val="100"/>
          <w:position w:val="0"/>
        </w:rPr>
        <w:t>1</w:t>
      </w:r>
      <w:r>
        <w:rPr>
          <w:color w:val="000000"/>
          <w:spacing w:val="0"/>
          <w:w w:val="100"/>
          <w:position w:val="0"/>
        </w:rPr>
        <w:t>）原材料预处理方面，引进国内先进的辊压磨，显著提高了成品率和 产品技术指标；</w:t>
      </w:r>
      <w:r>
        <w:rPr>
          <w:rFonts w:ascii="Times New Roman" w:eastAsia="Times New Roman" w:hAnsi="Times New Roman" w:cs="Times New Roman"/>
          <w:color w:val="000000"/>
          <w:spacing w:val="0"/>
          <w:w w:val="100"/>
          <w:position w:val="0"/>
        </w:rPr>
        <w:t>2</w:t>
      </w:r>
      <w:r>
        <w:rPr>
          <w:color w:val="000000"/>
          <w:spacing w:val="0"/>
          <w:w w:val="100"/>
          <w:position w:val="0"/>
        </w:rPr>
        <w:t>）复合造粒方面，对出料系统进行了改进和优化，提高了产品的一致性和合格 率；</w:t>
      </w:r>
      <w:r>
        <w:rPr>
          <w:rFonts w:ascii="Times New Roman" w:eastAsia="Times New Roman" w:hAnsi="Times New Roman" w:cs="Times New Roman"/>
          <w:color w:val="000000"/>
          <w:spacing w:val="0"/>
          <w:w w:val="100"/>
          <w:position w:val="0"/>
        </w:rPr>
        <w:t>3</w:t>
      </w:r>
      <w:r>
        <w:rPr>
          <w:color w:val="000000"/>
          <w:spacing w:val="0"/>
          <w:w w:val="100"/>
          <w:position w:val="0"/>
        </w:rPr>
        <w:t>）高温炭化方面，建成全自动化的辊道窑生产线，并开发出适用于不同产品的温度曲线和 生产工艺；</w:t>
      </w:r>
      <w:r>
        <w:rPr>
          <w:rFonts w:ascii="Times New Roman" w:eastAsia="Times New Roman" w:hAnsi="Times New Roman" w:cs="Times New Roman"/>
          <w:color w:val="000000"/>
          <w:spacing w:val="0"/>
          <w:w w:val="100"/>
          <w:position w:val="0"/>
        </w:rPr>
        <w:t>4</w:t>
      </w:r>
      <w:r>
        <w:rPr>
          <w:color w:val="000000"/>
          <w:spacing w:val="0"/>
          <w:w w:val="100"/>
          <w:position w:val="0"/>
        </w:rPr>
        <w:t>）石墨化方面，装炉量提高</w:t>
      </w:r>
      <w:r>
        <w:rPr>
          <w:rFonts w:ascii="Times New Roman" w:eastAsia="Times New Roman" w:hAnsi="Times New Roman" w:cs="Times New Roman"/>
          <w:color w:val="000000"/>
          <w:spacing w:val="0"/>
          <w:w w:val="100"/>
          <w:position w:val="0"/>
        </w:rPr>
        <w:t>10%</w:t>
      </w:r>
      <w:r>
        <w:rPr>
          <w:color w:val="000000"/>
          <w:spacing w:val="0"/>
          <w:w w:val="100"/>
          <w:position w:val="0"/>
        </w:rPr>
        <w:t>，降低生产成本，在产品合格率和实收率方面在行 业里有较高知名度。</w:t>
      </w:r>
    </w:p>
    <w:p>
      <w:pPr>
        <w:pStyle w:val="Style44"/>
        <w:keepNext w:val="0"/>
        <w:keepLines w:val="0"/>
        <w:widowControl w:val="0"/>
        <w:shd w:val="clear" w:color="auto" w:fill="auto"/>
        <w:tabs>
          <w:tab w:pos="1118" w:val="left"/>
        </w:tabs>
        <w:bidi w:val="0"/>
        <w:spacing w:before="0" w:after="0" w:line="470" w:lineRule="exact"/>
        <w:ind w:left="0" w:right="0" w:firstLine="640"/>
        <w:jc w:val="both"/>
      </w:pPr>
      <w:bookmarkStart w:id="90" w:name="bookmark90"/>
      <w:r>
        <w:rPr>
          <w:rFonts w:ascii="Times New Roman" w:eastAsia="Times New Roman" w:hAnsi="Times New Roman" w:cs="Times New Roman"/>
          <w:b/>
          <w:bCs/>
          <w:color w:val="000000"/>
          <w:spacing w:val="0"/>
          <w:w w:val="100"/>
          <w:position w:val="0"/>
          <w:sz w:val="24"/>
          <w:szCs w:val="24"/>
        </w:rPr>
        <w:t>2</w:t>
      </w:r>
      <w:bookmarkEnd w:id="90"/>
      <w:r>
        <w:rPr>
          <w:b/>
          <w:bCs/>
          <w:color w:val="000000"/>
          <w:spacing w:val="0"/>
          <w:w w:val="100"/>
          <w:position w:val="0"/>
        </w:rPr>
        <w:t>、</w:t>
        <w:tab/>
        <w:t>研发团队</w:t>
      </w:r>
    </w:p>
    <w:p>
      <w:pPr>
        <w:pStyle w:val="Style44"/>
        <w:keepNext w:val="0"/>
        <w:keepLines w:val="0"/>
        <w:widowControl w:val="0"/>
        <w:shd w:val="clear" w:color="auto" w:fill="auto"/>
        <w:bidi w:val="0"/>
        <w:spacing w:before="0" w:after="0" w:line="470" w:lineRule="exact"/>
        <w:ind w:left="280" w:right="0" w:firstLine="460"/>
        <w:jc w:val="both"/>
      </w:pPr>
      <w:r>
        <w:rPr>
          <w:color w:val="000000"/>
          <w:spacing w:val="0"/>
          <w:w w:val="100"/>
          <w:position w:val="0"/>
        </w:rPr>
        <w:t>斯诺实业设有研发中心，研发人员均为本科以上学历，涵盖材料学、电化学、物理学、机 械制造等专业，形成了一支多学科有机互补、专业搭配合理的研发队伍。研发中心与国内多家 高校和科研院所建立了产学研和技术合作，努力提升公司在新能源汽车动力电池负极材料领域 的研发实力。</w:t>
      </w:r>
    </w:p>
    <w:p>
      <w:pPr>
        <w:pStyle w:val="Style44"/>
        <w:keepNext w:val="0"/>
        <w:keepLines w:val="0"/>
        <w:widowControl w:val="0"/>
        <w:shd w:val="clear" w:color="auto" w:fill="auto"/>
        <w:tabs>
          <w:tab w:pos="1122" w:val="left"/>
        </w:tabs>
        <w:bidi w:val="0"/>
        <w:spacing w:before="0" w:after="0" w:line="468" w:lineRule="exact"/>
        <w:ind w:left="0" w:right="0" w:firstLine="640"/>
        <w:jc w:val="both"/>
      </w:pPr>
      <w:bookmarkStart w:id="91" w:name="bookmark91"/>
      <w:r>
        <w:rPr>
          <w:rFonts w:ascii="Times New Roman" w:eastAsia="Times New Roman" w:hAnsi="Times New Roman" w:cs="Times New Roman"/>
          <w:b/>
          <w:bCs/>
          <w:color w:val="000000"/>
          <w:spacing w:val="0"/>
          <w:w w:val="100"/>
          <w:position w:val="0"/>
          <w:sz w:val="24"/>
          <w:szCs w:val="24"/>
        </w:rPr>
        <w:t>3</w:t>
      </w:r>
      <w:bookmarkEnd w:id="91"/>
      <w:r>
        <w:rPr>
          <w:b/>
          <w:bCs/>
          <w:color w:val="000000"/>
          <w:spacing w:val="0"/>
          <w:w w:val="100"/>
          <w:position w:val="0"/>
        </w:rPr>
        <w:t>、</w:t>
        <w:tab/>
        <w:t>石墨化产线投入运营</w:t>
      </w:r>
    </w:p>
    <w:p>
      <w:pPr>
        <w:pStyle w:val="Style44"/>
        <w:keepNext w:val="0"/>
        <w:keepLines w:val="0"/>
        <w:widowControl w:val="0"/>
        <w:shd w:val="clear" w:color="auto" w:fill="auto"/>
        <w:bidi w:val="0"/>
        <w:spacing w:before="0" w:after="0" w:line="468" w:lineRule="exact"/>
        <w:ind w:left="280" w:right="0" w:firstLine="460"/>
        <w:jc w:val="both"/>
      </w:pPr>
      <w:r>
        <w:rPr>
          <w:color w:val="000000"/>
          <w:spacing w:val="0"/>
          <w:w w:val="100"/>
          <w:position w:val="0"/>
        </w:rPr>
        <w:t>石墨是生产电动汽车锂电池负极材料的主要材料，是我国战略性新兴产业之一，前景广阔。 动力电池及储能市场规模的不断扩大，为石墨产业发展提供了广阔的市场空间。斯诺实业在石 墨化加工工艺技术领域拥有高素质的技术团队，内蒙古地区建设有石墨化生产基地（一期）已 建成投产，拥有国内排名前列的负极材料石墨化窑炉，加工技术成熟，年产能可达</w:t>
      </w:r>
      <w:r>
        <w:rPr>
          <w:rFonts w:ascii="Times New Roman" w:eastAsia="Times New Roman" w:hAnsi="Times New Roman" w:cs="Times New Roman"/>
          <w:color w:val="000000"/>
          <w:spacing w:val="0"/>
          <w:w w:val="100"/>
          <w:position w:val="0"/>
        </w:rPr>
        <w:t>10,000</w:t>
      </w:r>
      <w:r>
        <w:rPr>
          <w:color w:val="000000"/>
          <w:spacing w:val="0"/>
          <w:w w:val="100"/>
          <w:position w:val="0"/>
        </w:rPr>
        <w:t>吨。 石墨化加工产线投入使用后一方面满足了斯诺实业自身人造石墨负极材料的生产需求，一方面 也为行业其他负极材料企业和电极生产企业提供石墨化加工服务，形成了新的成本优势和利润 增量来源。</w:t>
      </w:r>
    </w:p>
    <w:p>
      <w:pPr>
        <w:pStyle w:val="Style44"/>
        <w:keepNext w:val="0"/>
        <w:keepLines w:val="0"/>
        <w:widowControl w:val="0"/>
        <w:shd w:val="clear" w:color="auto" w:fill="auto"/>
        <w:tabs>
          <w:tab w:pos="1122" w:val="left"/>
        </w:tabs>
        <w:bidi w:val="0"/>
        <w:spacing w:before="0" w:after="0" w:line="468" w:lineRule="exact"/>
        <w:ind w:left="0" w:right="0" w:firstLine="640"/>
        <w:jc w:val="both"/>
      </w:pPr>
      <w:bookmarkStart w:id="92" w:name="bookmark92"/>
      <w:r>
        <w:rPr>
          <w:rFonts w:ascii="Times New Roman" w:eastAsia="Times New Roman" w:hAnsi="Times New Roman" w:cs="Times New Roman"/>
          <w:b/>
          <w:bCs/>
          <w:color w:val="000000"/>
          <w:spacing w:val="0"/>
          <w:w w:val="100"/>
          <w:position w:val="0"/>
          <w:sz w:val="24"/>
          <w:szCs w:val="24"/>
        </w:rPr>
        <w:t>4</w:t>
      </w:r>
      <w:bookmarkEnd w:id="92"/>
      <w:r>
        <w:rPr>
          <w:b/>
          <w:bCs/>
          <w:color w:val="000000"/>
          <w:spacing w:val="0"/>
          <w:w w:val="100"/>
          <w:position w:val="0"/>
        </w:rPr>
        <w:t>、</w:t>
        <w:tab/>
        <w:t>硅基负极相关技术研发及储备</w:t>
      </w:r>
    </w:p>
    <w:p>
      <w:pPr>
        <w:pStyle w:val="Style44"/>
        <w:keepNext w:val="0"/>
        <w:keepLines w:val="0"/>
        <w:widowControl w:val="0"/>
        <w:shd w:val="clear" w:color="auto" w:fill="auto"/>
        <w:bidi w:val="0"/>
        <w:spacing w:before="0" w:after="0" w:line="468" w:lineRule="exact"/>
        <w:ind w:left="280" w:right="0" w:firstLine="460"/>
        <w:jc w:val="both"/>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1268" w:right="841" w:bottom="1566" w:left="979" w:header="0" w:footer="3" w:gutter="0"/>
          <w:pgNumType w:start="15"/>
          <w:cols w:space="720"/>
          <w:noEndnote/>
          <w:rtlGutter w:val="0"/>
          <w:docGrid w:linePitch="360"/>
        </w:sectPr>
      </w:pPr>
      <w:r>
        <w:rPr>
          <w:color w:val="000000"/>
          <w:spacing w:val="0"/>
          <w:w w:val="100"/>
          <w:position w:val="0"/>
        </w:rPr>
        <w:t>在当前的锂离子电池材料体系方面，负极材料主要还是以石墨类为主，硅碳负极材料被业 内认为是实现下一代高比能动力电池产业化的关键，但目前硅碳负极材料在规模化应用上还存 在首效低、体积膨胀、材料粉化、导电网络失效、</w:t>
      </w:r>
      <w:r>
        <w:rPr>
          <w:rFonts w:ascii="Times New Roman" w:eastAsia="Times New Roman" w:hAnsi="Times New Roman" w:cs="Times New Roman"/>
          <w:color w:val="000000"/>
          <w:spacing w:val="0"/>
          <w:w w:val="100"/>
          <w:position w:val="0"/>
        </w:rPr>
        <w:t>SEI</w:t>
      </w:r>
      <w:r>
        <w:rPr>
          <w:color w:val="000000"/>
          <w:spacing w:val="0"/>
          <w:w w:val="100"/>
          <w:position w:val="0"/>
        </w:rPr>
        <w:t>反复生长的短板，导致电池出现安全性能 差、倍率性能差等问题，因此硅碳负极相关技术仍有较大提升的空间和研发价值。针对上述问 题，斯诺实业在纳米硅制备方法方面，采用低温化学法，其技术优势是安全环保、能低耗、低 成本、规模化，用该方法制备的纳米硅材料的首充容量</w:t>
      </w:r>
      <w:r>
        <w:rPr>
          <w:rFonts w:ascii="Times New Roman" w:eastAsia="Times New Roman" w:hAnsi="Times New Roman" w:cs="Times New Roman"/>
          <w:color w:val="000000"/>
          <w:spacing w:val="0"/>
          <w:w w:val="100"/>
          <w:position w:val="0"/>
        </w:rPr>
        <w:t>449mAh/g</w:t>
      </w:r>
      <w:r>
        <w:rPr>
          <w:color w:val="000000"/>
          <w:spacing w:val="0"/>
          <w:w w:val="100"/>
          <w:position w:val="0"/>
        </w:rPr>
        <w:t>，</w:t>
      </w:r>
      <w:r>
        <w:rPr>
          <w:color w:val="000000"/>
          <w:spacing w:val="0"/>
          <w:w w:val="100"/>
          <w:position w:val="0"/>
        </w:rPr>
        <w:t>首效</w:t>
      </w:r>
      <w:r>
        <w:rPr>
          <w:rFonts w:ascii="Times New Roman" w:eastAsia="Times New Roman" w:hAnsi="Times New Roman" w:cs="Times New Roman"/>
          <w:color w:val="000000"/>
          <w:spacing w:val="0"/>
          <w:w w:val="100"/>
          <w:position w:val="0"/>
        </w:rPr>
        <w:t>91.9%</w:t>
      </w:r>
      <w:r>
        <w:rPr>
          <w:color w:val="000000"/>
          <w:spacing w:val="0"/>
          <w:w w:val="100"/>
          <w:position w:val="0"/>
        </w:rPr>
        <w:t>，循环</w:t>
      </w:r>
      <w:r>
        <w:rPr>
          <w:rFonts w:ascii="Times New Roman" w:eastAsia="Times New Roman" w:hAnsi="Times New Roman" w:cs="Times New Roman"/>
          <w:color w:val="000000"/>
          <w:spacing w:val="0"/>
          <w:w w:val="100"/>
          <w:position w:val="0"/>
        </w:rPr>
        <w:t>100</w:t>
      </w:r>
      <w:r>
        <w:rPr>
          <w:color w:val="000000"/>
          <w:spacing w:val="0"/>
          <w:w w:val="100"/>
          <w:position w:val="0"/>
        </w:rPr>
        <w:t>周容 量保持率分容量保。目前比容量</w:t>
      </w:r>
      <w:r>
        <w:rPr>
          <w:rFonts w:ascii="Times New Roman" w:eastAsia="Times New Roman" w:hAnsi="Times New Roman" w:cs="Times New Roman"/>
          <w:color w:val="000000"/>
          <w:spacing w:val="0"/>
          <w:w w:val="100"/>
          <w:position w:val="0"/>
        </w:rPr>
        <w:t>400~450mAh/g</w:t>
      </w:r>
      <w:r>
        <w:rPr>
          <w:color w:val="000000"/>
          <w:spacing w:val="0"/>
          <w:w w:val="100"/>
          <w:position w:val="0"/>
        </w:rPr>
        <w:t>的产品已完成小试开发，处于中试和量产准备 阶段。</w:t>
      </w:r>
    </w:p>
    <w:p>
      <w:pPr>
        <w:pStyle w:val="Style22"/>
        <w:keepNext/>
        <w:keepLines/>
        <w:widowControl w:val="0"/>
        <w:shd w:val="clear" w:color="auto" w:fill="auto"/>
        <w:bidi w:val="0"/>
        <w:spacing w:before="680" w:after="340" w:line="240" w:lineRule="auto"/>
        <w:ind w:left="0" w:right="0" w:firstLine="0"/>
        <w:jc w:val="center"/>
      </w:pPr>
      <w:bookmarkStart w:id="93" w:name="bookmark93"/>
      <w:bookmarkStart w:id="94" w:name="bookmark94"/>
      <w:bookmarkStart w:id="95" w:name="bookmark95"/>
      <w:r>
        <w:rPr>
          <w:color w:val="000000"/>
          <w:spacing w:val="0"/>
          <w:w w:val="100"/>
          <w:position w:val="0"/>
        </w:rPr>
        <w:t>第四节经营情况讨论与分析</w:t>
      </w:r>
      <w:bookmarkEnd w:id="93"/>
      <w:bookmarkEnd w:id="94"/>
      <w:bookmarkEnd w:id="95"/>
    </w:p>
    <w:p>
      <w:pPr>
        <w:pStyle w:val="Style42"/>
        <w:keepNext/>
        <w:keepLines/>
        <w:widowControl w:val="0"/>
        <w:shd w:val="clear" w:color="auto" w:fill="auto"/>
        <w:bidi w:val="0"/>
        <w:spacing w:before="0" w:after="280" w:line="470" w:lineRule="exact"/>
        <w:ind w:left="280" w:right="0" w:firstLine="0"/>
        <w:jc w:val="both"/>
      </w:pPr>
      <w:bookmarkStart w:id="96" w:name="bookmark96"/>
      <w:bookmarkStart w:id="97" w:name="bookmark97"/>
      <w:bookmarkStart w:id="98" w:name="bookmark98"/>
      <w:bookmarkStart w:id="99" w:name="bookmark99"/>
      <w:r>
        <w:rPr>
          <w:color w:val="000000"/>
          <w:spacing w:val="0"/>
          <w:w w:val="100"/>
          <w:position w:val="0"/>
        </w:rPr>
        <w:t>一</w:t>
      </w:r>
      <w:bookmarkEnd w:id="98"/>
      <w:r>
        <w:rPr>
          <w:color w:val="000000"/>
          <w:spacing w:val="0"/>
          <w:w w:val="100"/>
          <w:position w:val="0"/>
        </w:rPr>
        <w:t>、概述</w:t>
      </w:r>
      <w:bookmarkEnd w:id="96"/>
      <w:bookmarkEnd w:id="97"/>
      <w:bookmarkEnd w:id="99"/>
    </w:p>
    <w:p>
      <w:pPr>
        <w:pStyle w:val="Style44"/>
        <w:keepNext w:val="0"/>
        <w:keepLines w:val="0"/>
        <w:widowControl w:val="0"/>
        <w:shd w:val="clear" w:color="auto" w:fill="auto"/>
        <w:bidi w:val="0"/>
        <w:spacing w:before="0" w:after="40" w:line="317" w:lineRule="exact"/>
        <w:ind w:left="280" w:right="0" w:firstLine="0"/>
        <w:jc w:val="both"/>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号——上市公司从事集成电路相关 业务》的披露要求</w:t>
      </w:r>
    </w:p>
    <w:p>
      <w:pPr>
        <w:pStyle w:val="Style44"/>
        <w:keepNext w:val="0"/>
        <w:keepLines w:val="0"/>
        <w:widowControl w:val="0"/>
        <w:shd w:val="clear" w:color="auto" w:fill="auto"/>
        <w:bidi w:val="0"/>
        <w:spacing w:before="0" w:after="40" w:line="468" w:lineRule="exact"/>
        <w:ind w:left="280" w:right="0" w:firstLine="460"/>
        <w:jc w:val="both"/>
      </w:pPr>
      <w:r>
        <w:rPr>
          <w:color w:val="000000"/>
          <w:spacing w:val="0"/>
          <w:w w:val="100"/>
          <w:position w:val="0"/>
        </w:rPr>
        <w:t>公司在面对集成电路和新能源行业市场的深刻变化、主营产品市场出现风险与机遇的局面 下，在集成电路业务上，结合公司核心技术能力，调整产品战略，加快产品迭代和新产品战略 布局，持续聚焦“安全</w:t>
      </w:r>
      <w:r>
        <w:rPr>
          <w:rFonts w:ascii="Times New Roman" w:eastAsia="Times New Roman" w:hAnsi="Times New Roman" w:cs="Times New Roman"/>
          <w:color w:val="000000"/>
          <w:spacing w:val="0"/>
          <w:w w:val="100"/>
          <w:position w:val="0"/>
        </w:rPr>
        <w:t>+</w:t>
      </w:r>
      <w:r>
        <w:rPr>
          <w:color w:val="000000"/>
          <w:spacing w:val="0"/>
          <w:w w:val="100"/>
          <w:position w:val="0"/>
        </w:rPr>
        <w:t>通用”领域，优化资源配置，加强管理，以保持公司既有市场的产品竞 争力和进入大规模新兴市场的产品开发能力；在新能源负极材料业务上，在加强生产经营管控、 加大回收应收账款力度的同时，努力改善产品结构、克服困难实现内蒙斯诺石墨化投产、推动 企业产品进入新的大客户及客户群，取得一定进展。</w:t>
      </w:r>
    </w:p>
    <w:p>
      <w:pPr>
        <w:pStyle w:val="Style44"/>
        <w:keepNext w:val="0"/>
        <w:keepLines w:val="0"/>
        <w:widowControl w:val="0"/>
        <w:shd w:val="clear" w:color="auto" w:fill="auto"/>
        <w:bidi w:val="0"/>
        <w:spacing w:before="0" w:after="40" w:line="470" w:lineRule="exact"/>
        <w:ind w:left="280" w:right="0" w:firstLine="46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37,970.7</w:t>
      </w:r>
      <w:r>
        <w:rPr>
          <w:rFonts w:ascii="Times New Roman" w:eastAsia="Times New Roman" w:hAnsi="Times New Roman" w:cs="Times New Roman"/>
          <w:color w:val="000000"/>
          <w:spacing w:val="0"/>
          <w:w w:val="100"/>
          <w:position w:val="0"/>
        </w:rPr>
        <w:t>2</w:t>
      </w:r>
      <w:r>
        <w:rPr>
          <w:color w:val="000000"/>
          <w:spacing w:val="0"/>
          <w:w w:val="100"/>
          <w:position w:val="0"/>
        </w:rPr>
        <w:t>万元，较上年同期减少</w:t>
      </w:r>
      <w:r>
        <w:rPr>
          <w:rFonts w:ascii="Times New Roman" w:eastAsia="Times New Roman" w:hAnsi="Times New Roman" w:cs="Times New Roman"/>
          <w:color w:val="000000"/>
          <w:spacing w:val="0"/>
          <w:w w:val="100"/>
          <w:position w:val="0"/>
        </w:rPr>
        <w:t>3.81%</w:t>
      </w:r>
      <w:r>
        <w:rPr>
          <w:color w:val="000000"/>
          <w:spacing w:val="0"/>
          <w:w w:val="100"/>
          <w:position w:val="0"/>
        </w:rPr>
        <w:t>；实现归属于上市公司 母公司所有者的净利润</w:t>
      </w:r>
      <w:r>
        <w:rPr>
          <w:rFonts w:ascii="Times New Roman" w:eastAsia="Times New Roman" w:hAnsi="Times New Roman" w:cs="Times New Roman"/>
          <w:color w:val="000000"/>
          <w:spacing w:val="0"/>
          <w:w w:val="100"/>
          <w:position w:val="0"/>
        </w:rPr>
        <w:t>1,123.48</w:t>
      </w:r>
      <w:r>
        <w:rPr>
          <w:color w:val="000000"/>
          <w:spacing w:val="0"/>
          <w:w w:val="100"/>
          <w:position w:val="0"/>
        </w:rPr>
        <w:t>万元，较上年同期下降</w:t>
      </w:r>
      <w:r>
        <w:rPr>
          <w:rFonts w:ascii="Times New Roman" w:eastAsia="Times New Roman" w:hAnsi="Times New Roman" w:cs="Times New Roman"/>
          <w:color w:val="000000"/>
          <w:spacing w:val="0"/>
          <w:w w:val="100"/>
          <w:position w:val="0"/>
        </w:rPr>
        <w:t>89.19%</w:t>
      </w:r>
      <w:r>
        <w:rPr>
          <w:color w:val="000000"/>
          <w:spacing w:val="0"/>
          <w:w w:val="100"/>
          <w:position w:val="0"/>
        </w:rPr>
        <w:t xml:space="preserve">，扣除非经常性损益的净利润 </w:t>
      </w:r>
      <w:r>
        <w:rPr>
          <w:rFonts w:ascii="Times New Roman" w:eastAsia="Times New Roman" w:hAnsi="Times New Roman" w:cs="Times New Roman"/>
          <w:color w:val="000000"/>
          <w:spacing w:val="0"/>
          <w:w w:val="100"/>
          <w:position w:val="0"/>
        </w:rPr>
        <w:t>-14,674.6</w:t>
      </w:r>
      <w:r>
        <w:rPr>
          <w:rFonts w:ascii="Times New Roman" w:eastAsia="Times New Roman" w:hAnsi="Times New Roman" w:cs="Times New Roman"/>
          <w:color w:val="000000"/>
          <w:spacing w:val="0"/>
          <w:w w:val="100"/>
          <w:position w:val="0"/>
        </w:rPr>
        <w:t>1</w:t>
      </w:r>
      <w:r>
        <w:rPr>
          <w:color w:val="000000"/>
          <w:spacing w:val="0"/>
          <w:w w:val="100"/>
          <w:position w:val="0"/>
        </w:rPr>
        <w:t>万元，较上年同期减亏</w:t>
      </w:r>
      <w:r>
        <w:rPr>
          <w:rFonts w:ascii="Times New Roman" w:eastAsia="Times New Roman" w:hAnsi="Times New Roman" w:cs="Times New Roman"/>
          <w:color w:val="000000"/>
          <w:spacing w:val="0"/>
          <w:w w:val="100"/>
          <w:position w:val="0"/>
        </w:rPr>
        <w:t>75.10%</w:t>
      </w:r>
      <w:r>
        <w:rPr>
          <w:color w:val="000000"/>
          <w:spacing w:val="0"/>
          <w:w w:val="100"/>
          <w:position w:val="0"/>
        </w:rPr>
        <w:t>。业绩变动的主要原因：一是本报告期非经常性损益的 金额为</w:t>
      </w:r>
      <w:r>
        <w:rPr>
          <w:rFonts w:ascii="Times New Roman" w:eastAsia="Times New Roman" w:hAnsi="Times New Roman" w:cs="Times New Roman"/>
          <w:color w:val="000000"/>
          <w:spacing w:val="0"/>
          <w:w w:val="100"/>
          <w:position w:val="0"/>
        </w:rPr>
        <w:t>15,798.09</w:t>
      </w:r>
      <w:r>
        <w:rPr>
          <w:color w:val="000000"/>
          <w:spacing w:val="0"/>
          <w:w w:val="100"/>
          <w:position w:val="0"/>
        </w:rPr>
        <w:t>万元，较上年同期的</w:t>
      </w:r>
      <w:r>
        <w:rPr>
          <w:rFonts w:ascii="Times New Roman" w:eastAsia="Times New Roman" w:hAnsi="Times New Roman" w:cs="Times New Roman"/>
          <w:color w:val="000000"/>
          <w:spacing w:val="0"/>
          <w:w w:val="100"/>
          <w:position w:val="0"/>
        </w:rPr>
        <w:t>69,330.17</w:t>
      </w:r>
      <w:r>
        <w:rPr>
          <w:color w:val="000000"/>
          <w:spacing w:val="0"/>
          <w:w w:val="100"/>
          <w:position w:val="0"/>
        </w:rPr>
        <w:t>万元大幅减少。本报告期非经常性损益主要是收 到华夏芯业绩补偿款、政府补助、收回以前年度单项计提坏账的应收款项、公允价值变动损益 等；二是受疫情影响，公司及产业链复工时间延迟，对公司业务正常开展带来一定负面影响， 特别是新产品推广、客户开发导入等市场活动受到一定程度影响，导致新产品对公司业绩贡献 有所延后。逐步复工复产后，公司在做好疫情防控的同时，积极恢复生产与业务拓展，努力推 动各方面业务正常进行；三是公司新产品和技术逐步投入市场形成销售，改善了公司的收入结 构，带动公司整体毛利额较上年同期有较大幅度增长；四是公司为持续增强核心竞争力，不断 丰富产品线、加快新产品布局，保持了较高的研发投入；五是斯诺实业通过加强生产经营管控， 加大应收账款清收力度，稳定生产、降低生产成本等多项措施，带动了销售毛利增长，实现大 幅减亏。</w:t>
      </w:r>
    </w:p>
    <w:p>
      <w:pPr>
        <w:pStyle w:val="Style44"/>
        <w:keepNext w:val="0"/>
        <w:keepLines w:val="0"/>
        <w:widowControl w:val="0"/>
        <w:shd w:val="clear" w:color="auto" w:fill="auto"/>
        <w:bidi w:val="0"/>
        <w:spacing w:before="0" w:after="40" w:line="470" w:lineRule="exact"/>
        <w:ind w:left="0" w:right="0" w:firstLine="700"/>
        <w:jc w:val="both"/>
      </w:pPr>
      <w:r>
        <w:rPr>
          <w:color w:val="000000"/>
          <w:spacing w:val="0"/>
          <w:w w:val="100"/>
          <w:position w:val="0"/>
        </w:rPr>
        <w:t>报告期内，公司主要经营情况如下：</w:t>
      </w:r>
    </w:p>
    <w:p>
      <w:pPr>
        <w:pStyle w:val="Style44"/>
        <w:keepNext w:val="0"/>
        <w:keepLines w:val="0"/>
        <w:widowControl w:val="0"/>
        <w:shd w:val="clear" w:color="auto" w:fill="auto"/>
        <w:bidi w:val="0"/>
        <w:spacing w:before="0" w:after="40" w:line="470" w:lineRule="exact"/>
        <w:ind w:left="0" w:right="0" w:firstLine="520"/>
        <w:jc w:val="both"/>
      </w:pPr>
      <w:bookmarkStart w:id="100" w:name="bookmark100"/>
      <w:r>
        <w:rPr>
          <w:b/>
          <w:bCs/>
          <w:color w:val="000000"/>
          <w:spacing w:val="0"/>
          <w:w w:val="100"/>
          <w:position w:val="0"/>
        </w:rPr>
        <w:t>（</w:t>
      </w:r>
      <w:bookmarkEnd w:id="100"/>
      <w:r>
        <w:rPr>
          <w:b/>
          <w:bCs/>
          <w:color w:val="000000"/>
          <w:spacing w:val="0"/>
          <w:w w:val="100"/>
          <w:position w:val="0"/>
        </w:rPr>
        <w:t>一）、产品及销售情况</w:t>
      </w:r>
    </w:p>
    <w:p>
      <w:pPr>
        <w:pStyle w:val="Style44"/>
        <w:keepNext w:val="0"/>
        <w:keepLines w:val="0"/>
        <w:widowControl w:val="0"/>
        <w:shd w:val="clear" w:color="auto" w:fill="auto"/>
        <w:bidi w:val="0"/>
        <w:spacing w:before="0" w:after="40" w:line="470" w:lineRule="exact"/>
        <w:ind w:left="0" w:right="0" w:firstLine="700"/>
        <w:jc w:val="both"/>
      </w:pPr>
      <w:bookmarkStart w:id="101" w:name="bookmark101"/>
      <w:r>
        <w:rPr>
          <w:rFonts w:ascii="Times New Roman" w:eastAsia="Times New Roman" w:hAnsi="Times New Roman" w:cs="Times New Roman"/>
          <w:b/>
          <w:bCs/>
          <w:color w:val="000000"/>
          <w:spacing w:val="0"/>
          <w:w w:val="100"/>
          <w:position w:val="0"/>
          <w:sz w:val="24"/>
          <w:szCs w:val="24"/>
        </w:rPr>
        <w:t>1</w:t>
      </w:r>
      <w:bookmarkEnd w:id="101"/>
      <w:r>
        <w:rPr>
          <w:b/>
          <w:bCs/>
          <w:color w:val="000000"/>
          <w:spacing w:val="0"/>
          <w:w w:val="100"/>
          <w:position w:val="0"/>
        </w:rPr>
        <w:t>、安全芯片产品</w:t>
      </w:r>
    </w:p>
    <w:p>
      <w:pPr>
        <w:pStyle w:val="Style44"/>
        <w:keepNext w:val="0"/>
        <w:keepLines w:val="0"/>
        <w:widowControl w:val="0"/>
        <w:shd w:val="clear" w:color="auto" w:fill="auto"/>
        <w:bidi w:val="0"/>
        <w:spacing w:before="0" w:after="0" w:line="470" w:lineRule="exact"/>
        <w:ind w:left="0" w:right="0" w:firstLine="700"/>
        <w:jc w:val="both"/>
      </w:pPr>
      <w:r>
        <w:rPr>
          <w:color w:val="000000"/>
          <w:spacing w:val="0"/>
          <w:w w:val="100"/>
          <w:position w:val="0"/>
        </w:rPr>
        <w:t>公司</w:t>
      </w:r>
      <w:r>
        <w:rPr>
          <w:rFonts w:ascii="Times New Roman" w:eastAsia="Times New Roman" w:hAnsi="Times New Roman" w:cs="Times New Roman"/>
          <w:color w:val="000000"/>
          <w:spacing w:val="0"/>
          <w:w w:val="100"/>
          <w:position w:val="0"/>
        </w:rPr>
        <w:t>USBKEY</w:t>
      </w:r>
      <w:r>
        <w:rPr>
          <w:color w:val="000000"/>
          <w:spacing w:val="0"/>
          <w:w w:val="100"/>
          <w:position w:val="0"/>
        </w:rPr>
        <w:t xml:space="preserve">芯片产品性能领先，是行业市场主要的芯片产品供货商。报告期内，公司主 </w:t>
      </w:r>
      <w:r>
        <w:rPr>
          <w:color w:val="000000"/>
          <w:spacing w:val="0"/>
          <w:w w:val="100"/>
          <w:position w:val="0"/>
        </w:rPr>
        <w:t>营业务金融终端安全主控芯片以及</w:t>
      </w:r>
      <w:r>
        <w:rPr>
          <w:rFonts w:ascii="Times New Roman" w:eastAsia="Times New Roman" w:hAnsi="Times New Roman" w:cs="Times New Roman"/>
          <w:color w:val="000000"/>
          <w:spacing w:val="0"/>
          <w:w w:val="100"/>
          <w:position w:val="0"/>
        </w:rPr>
        <w:t>ETC</w:t>
      </w:r>
      <w:r>
        <w:rPr>
          <w:color w:val="000000"/>
          <w:spacing w:val="0"/>
          <w:w w:val="100"/>
          <w:position w:val="0"/>
        </w:rPr>
        <w:t>模块芯片等产品，经过多年发展，市场增量持续放缓， 市场竞争日益激烈，产品价格不断下降，造成公司相关产品销售收入或毛利出现下降。公司以 具有特定优势的安全密码算法性能、低功耗及无线连接传输技术为核心，增强产品安全性能和 通用性能；利用公司拥有的供应链资源优势降低成本，提高产品市场竞争力；同时，不断拓展 多元化应用场景市场空间，降低对已有市场需求的业务依赖性，弥补市场变化因素带来的不利 影响。报告期内，公司布局新一代安全认证芯片控制器的研发、新一代微认证芯片产品研发及 样品测试等工作。其中公司研发的新一代安全芯片产品</w:t>
      </w:r>
      <w:r>
        <w:rPr>
          <w:rFonts w:ascii="Times New Roman" w:eastAsia="Times New Roman" w:hAnsi="Times New Roman" w:cs="Times New Roman"/>
          <w:color w:val="000000"/>
          <w:spacing w:val="0"/>
          <w:w w:val="100"/>
          <w:position w:val="0"/>
        </w:rPr>
        <w:t>N32S032</w:t>
      </w:r>
      <w:r>
        <w:rPr>
          <w:color w:val="000000"/>
          <w:spacing w:val="0"/>
          <w:w w:val="100"/>
          <w:position w:val="0"/>
        </w:rPr>
        <w:t>获得《信息技术产品安全测评证 书</w:t>
      </w:r>
      <w:r>
        <w:rPr>
          <w:color w:val="000000"/>
          <w:spacing w:val="0"/>
          <w:w w:val="100"/>
          <w:position w:val="0"/>
        </w:rPr>
        <w:t>（</w:t>
      </w:r>
      <w:r>
        <w:rPr>
          <w:rFonts w:ascii="Times New Roman" w:eastAsia="Times New Roman" w:hAnsi="Times New Roman" w:cs="Times New Roman"/>
          <w:color w:val="000000"/>
          <w:spacing w:val="0"/>
          <w:w w:val="100"/>
          <w:position w:val="0"/>
        </w:rPr>
        <w:t>EAL5+</w:t>
      </w:r>
      <w:r>
        <w:rPr>
          <w:color w:val="000000"/>
          <w:spacing w:val="0"/>
          <w:w w:val="100"/>
          <w:position w:val="0"/>
        </w:rPr>
        <w:t>）》</w:t>
      </w:r>
      <w:r>
        <w:rPr>
          <w:color w:val="000000"/>
          <w:spacing w:val="0"/>
          <w:w w:val="100"/>
          <w:position w:val="0"/>
        </w:rPr>
        <w:t>，是中国信息安全测评中心颁发的首个国际、国密双算法安全芯片</w:t>
      </w:r>
      <w:r>
        <w:rPr>
          <w:rFonts w:ascii="Times New Roman" w:eastAsia="Times New Roman" w:hAnsi="Times New Roman" w:cs="Times New Roman"/>
          <w:color w:val="000000"/>
          <w:spacing w:val="0"/>
          <w:w w:val="100"/>
          <w:position w:val="0"/>
        </w:rPr>
        <w:t>EAL5</w:t>
      </w:r>
      <w:r>
        <w:rPr>
          <w:rFonts w:ascii="Times New Roman" w:eastAsia="Times New Roman" w:hAnsi="Times New Roman" w:cs="Times New Roman"/>
          <w:color w:val="000000"/>
          <w:spacing w:val="0"/>
          <w:w w:val="100"/>
          <w:position w:val="0"/>
        </w:rPr>
        <w:t>+</w:t>
      </w:r>
      <w:r>
        <w:rPr>
          <w:color w:val="000000"/>
          <w:spacing w:val="0"/>
          <w:w w:val="100"/>
          <w:position w:val="0"/>
        </w:rPr>
        <w:t>级别 证书，产品安全能力达到业内领先水平。</w:t>
      </w:r>
    </w:p>
    <w:p>
      <w:pPr>
        <w:pStyle w:val="Style44"/>
        <w:keepNext w:val="0"/>
        <w:keepLines w:val="0"/>
        <w:widowControl w:val="0"/>
        <w:shd w:val="clear" w:color="auto" w:fill="auto"/>
        <w:tabs>
          <w:tab w:pos="1060" w:val="left"/>
        </w:tabs>
        <w:bidi w:val="0"/>
        <w:spacing w:before="0" w:after="0" w:line="469" w:lineRule="exact"/>
        <w:ind w:left="0" w:right="0" w:firstLine="700"/>
        <w:jc w:val="both"/>
      </w:pPr>
      <w:bookmarkStart w:id="102" w:name="bookmark102"/>
      <w:r>
        <w:rPr>
          <w:rFonts w:ascii="Times New Roman" w:eastAsia="Times New Roman" w:hAnsi="Times New Roman" w:cs="Times New Roman"/>
          <w:b/>
          <w:bCs/>
          <w:color w:val="000000"/>
          <w:spacing w:val="0"/>
          <w:w w:val="100"/>
          <w:position w:val="0"/>
          <w:sz w:val="24"/>
          <w:szCs w:val="24"/>
        </w:rPr>
        <w:t>2</w:t>
      </w:r>
      <w:bookmarkEnd w:id="102"/>
      <w:r>
        <w:rPr>
          <w:b/>
          <w:bCs/>
          <w:color w:val="000000"/>
          <w:spacing w:val="0"/>
          <w:w w:val="100"/>
          <w:position w:val="0"/>
        </w:rPr>
        <w:t>、</w:t>
        <w:tab/>
        <w:t>通用</w:t>
      </w:r>
      <w:r>
        <w:rPr>
          <w:rFonts w:ascii="Times New Roman" w:eastAsia="Times New Roman" w:hAnsi="Times New Roman" w:cs="Times New Roman"/>
          <w:b/>
          <w:bCs/>
          <w:color w:val="000000"/>
          <w:spacing w:val="0"/>
          <w:w w:val="100"/>
          <w:position w:val="0"/>
          <w:sz w:val="24"/>
          <w:szCs w:val="24"/>
        </w:rPr>
        <w:t>MCU</w:t>
      </w:r>
      <w:r>
        <w:rPr>
          <w:b/>
          <w:bCs/>
          <w:color w:val="000000"/>
          <w:spacing w:val="0"/>
          <w:w w:val="100"/>
          <w:position w:val="0"/>
        </w:rPr>
        <w:t>产品</w:t>
      </w:r>
    </w:p>
    <w:p>
      <w:pPr>
        <w:pStyle w:val="Style44"/>
        <w:keepNext w:val="0"/>
        <w:keepLines w:val="0"/>
        <w:widowControl w:val="0"/>
        <w:shd w:val="clear" w:color="auto" w:fill="auto"/>
        <w:bidi w:val="0"/>
        <w:spacing w:before="0" w:after="0" w:line="468" w:lineRule="exact"/>
        <w:ind w:left="280" w:right="0" w:firstLine="440"/>
        <w:jc w:val="both"/>
      </w:pPr>
      <w:r>
        <w:rPr>
          <w:color w:val="000000"/>
          <w:spacing w:val="0"/>
          <w:w w:val="100"/>
          <w:position w:val="0"/>
        </w:rPr>
        <w:t>报告期内，公司开展了多项物联网领域通用安全</w:t>
      </w:r>
      <w:r>
        <w:rPr>
          <w:rFonts w:ascii="Times New Roman" w:eastAsia="Times New Roman" w:hAnsi="Times New Roman" w:cs="Times New Roman"/>
          <w:color w:val="000000"/>
          <w:spacing w:val="0"/>
          <w:w w:val="100"/>
          <w:position w:val="0"/>
        </w:rPr>
        <w:t>MCU</w:t>
      </w:r>
      <w:r>
        <w:rPr>
          <w:color w:val="000000"/>
          <w:spacing w:val="0"/>
          <w:w w:val="100"/>
          <w:position w:val="0"/>
        </w:rPr>
        <w:t>核心技术研发，按计划完成了报告期 内规划的通用安全</w:t>
      </w:r>
      <w:r>
        <w:rPr>
          <w:rFonts w:ascii="Times New Roman" w:eastAsia="Times New Roman" w:hAnsi="Times New Roman" w:cs="Times New Roman"/>
          <w:color w:val="000000"/>
          <w:spacing w:val="0"/>
          <w:w w:val="100"/>
          <w:position w:val="0"/>
        </w:rPr>
        <w:t>MCU</w:t>
      </w:r>
      <w:r>
        <w:rPr>
          <w:color w:val="000000"/>
          <w:spacing w:val="0"/>
          <w:w w:val="100"/>
          <w:position w:val="0"/>
        </w:rPr>
        <w:t>芯片产品的技术研发工作，推出</w:t>
      </w:r>
      <w:r>
        <w:rPr>
          <w:rFonts w:ascii="Times New Roman" w:eastAsia="Times New Roman" w:hAnsi="Times New Roman" w:cs="Times New Roman"/>
          <w:color w:val="000000"/>
          <w:spacing w:val="0"/>
          <w:w w:val="100"/>
          <w:position w:val="0"/>
        </w:rPr>
        <w:t>70</w:t>
      </w:r>
      <w:r>
        <w:rPr>
          <w:color w:val="000000"/>
          <w:spacing w:val="0"/>
          <w:w w:val="100"/>
          <w:position w:val="0"/>
        </w:rPr>
        <w:t>余款基于</w:t>
      </w:r>
      <w:r>
        <w:rPr>
          <w:rFonts w:ascii="Times New Roman" w:eastAsia="Times New Roman" w:hAnsi="Times New Roman" w:cs="Times New Roman"/>
          <w:color w:val="000000"/>
          <w:spacing w:val="0"/>
          <w:w w:val="100"/>
          <w:position w:val="0"/>
        </w:rPr>
        <w:t>ARM Cortex M0</w:t>
      </w:r>
      <w:r>
        <w:rPr>
          <w:color w:val="000000"/>
          <w:spacing w:val="0"/>
          <w:w w:val="100"/>
          <w:position w:val="0"/>
        </w:rPr>
        <w:t>及</w:t>
      </w:r>
      <w:r>
        <w:rPr>
          <w:rFonts w:ascii="Times New Roman" w:eastAsia="Times New Roman" w:hAnsi="Times New Roman" w:cs="Times New Roman"/>
          <w:color w:val="000000"/>
          <w:spacing w:val="0"/>
          <w:w w:val="100"/>
          <w:position w:val="0"/>
        </w:rPr>
        <w:t>M4</w:t>
      </w:r>
      <w:r>
        <w:rPr>
          <w:color w:val="000000"/>
          <w:spacing w:val="0"/>
          <w:w w:val="100"/>
          <w:position w:val="0"/>
        </w:rPr>
        <w:t>内核系 列的产品，并针对物联网、工业互联网及工业控制、智能家电及智能家庭物联网终端、医疗电 子、电机驱动、生物识别、通讯、车联网等应用领域积极开展市场推广工作，并在</w:t>
      </w:r>
      <w:r>
        <w:rPr>
          <w:rFonts w:ascii="Times New Roman" w:eastAsia="Times New Roman" w:hAnsi="Times New Roman" w:cs="Times New Roman"/>
          <w:color w:val="000000"/>
          <w:spacing w:val="0"/>
          <w:w w:val="100"/>
          <w:position w:val="0"/>
        </w:rPr>
        <w:t>TWS</w:t>
      </w:r>
      <w:r>
        <w:rPr>
          <w:color w:val="000000"/>
          <w:spacing w:val="0"/>
          <w:w w:val="100"/>
          <w:position w:val="0"/>
        </w:rPr>
        <w:t>耳机、 电池</w:t>
      </w:r>
      <w:r>
        <w:rPr>
          <w:rFonts w:ascii="Times New Roman" w:eastAsia="Times New Roman" w:hAnsi="Times New Roman" w:cs="Times New Roman"/>
          <w:color w:val="000000"/>
          <w:spacing w:val="0"/>
          <w:w w:val="100"/>
          <w:position w:val="0"/>
        </w:rPr>
        <w:t>BMS</w:t>
      </w:r>
      <w:r>
        <w:rPr>
          <w:color w:val="000000"/>
          <w:spacing w:val="0"/>
          <w:w w:val="100"/>
          <w:position w:val="0"/>
        </w:rPr>
        <w:t>、</w:t>
      </w:r>
      <w:r>
        <w:rPr>
          <w:color w:val="000000"/>
          <w:spacing w:val="0"/>
          <w:w w:val="100"/>
          <w:position w:val="0"/>
        </w:rPr>
        <w:t>电机驱动控制器、微型打印机、智能门锁、手持云台、仪器仪表、扫地机、血氧仪 等多个细分行业和应用实现出货。与此同时，多个基于</w:t>
      </w:r>
      <w:r>
        <w:rPr>
          <w:rFonts w:ascii="Times New Roman" w:eastAsia="Times New Roman" w:hAnsi="Times New Roman" w:cs="Times New Roman"/>
          <w:color w:val="000000"/>
          <w:spacing w:val="0"/>
          <w:w w:val="100"/>
          <w:position w:val="0"/>
        </w:rPr>
        <w:t>ARM Cortex M0</w:t>
      </w:r>
      <w:r>
        <w:rPr>
          <w:color w:val="000000"/>
          <w:spacing w:val="0"/>
          <w:w w:val="100"/>
          <w:position w:val="0"/>
        </w:rPr>
        <w:t>与</w:t>
      </w:r>
      <w:r>
        <w:rPr>
          <w:rFonts w:ascii="Times New Roman" w:eastAsia="Times New Roman" w:hAnsi="Times New Roman" w:cs="Times New Roman"/>
          <w:color w:val="000000"/>
          <w:spacing w:val="0"/>
          <w:w w:val="100"/>
          <w:position w:val="0"/>
        </w:rPr>
        <w:t>M4</w:t>
      </w:r>
      <w:r>
        <w:rPr>
          <w:color w:val="000000"/>
          <w:spacing w:val="0"/>
          <w:w w:val="100"/>
          <w:position w:val="0"/>
        </w:rPr>
        <w:t>内核的平台化、系 列化</w:t>
      </w:r>
      <w:r>
        <w:rPr>
          <w:rFonts w:ascii="Times New Roman" w:eastAsia="Times New Roman" w:hAnsi="Times New Roman" w:cs="Times New Roman"/>
          <w:color w:val="000000"/>
          <w:spacing w:val="0"/>
          <w:w w:val="100"/>
          <w:position w:val="0"/>
        </w:rPr>
        <w:t>MCU</w:t>
      </w:r>
      <w:r>
        <w:rPr>
          <w:color w:val="000000"/>
          <w:spacing w:val="0"/>
          <w:w w:val="100"/>
          <w:position w:val="0"/>
        </w:rPr>
        <w:t>产品进入研制状态，进一步丰富</w:t>
      </w:r>
      <w:r>
        <w:rPr>
          <w:rFonts w:ascii="Times New Roman" w:eastAsia="Times New Roman" w:hAnsi="Times New Roman" w:cs="Times New Roman"/>
          <w:color w:val="000000"/>
          <w:spacing w:val="0"/>
          <w:w w:val="100"/>
          <w:position w:val="0"/>
        </w:rPr>
        <w:t>MCU</w:t>
      </w:r>
      <w:r>
        <w:rPr>
          <w:color w:val="000000"/>
          <w:spacing w:val="0"/>
          <w:w w:val="100"/>
          <w:position w:val="0"/>
        </w:rPr>
        <w:t>产品全系列、全应用、全场景的产品战略，为市 场和客户提供更多产品选择。</w:t>
      </w:r>
    </w:p>
    <w:p>
      <w:pPr>
        <w:pStyle w:val="Style44"/>
        <w:keepNext w:val="0"/>
        <w:keepLines w:val="0"/>
        <w:widowControl w:val="0"/>
        <w:shd w:val="clear" w:color="auto" w:fill="auto"/>
        <w:tabs>
          <w:tab w:pos="1060" w:val="left"/>
        </w:tabs>
        <w:bidi w:val="0"/>
        <w:spacing w:before="0" w:after="0" w:line="473" w:lineRule="exact"/>
        <w:ind w:left="0" w:right="0" w:firstLine="700"/>
        <w:jc w:val="both"/>
      </w:pPr>
      <w:bookmarkStart w:id="103" w:name="bookmark103"/>
      <w:r>
        <w:rPr>
          <w:rFonts w:ascii="Times New Roman" w:eastAsia="Times New Roman" w:hAnsi="Times New Roman" w:cs="Times New Roman"/>
          <w:b/>
          <w:bCs/>
          <w:color w:val="000000"/>
          <w:spacing w:val="0"/>
          <w:w w:val="100"/>
          <w:position w:val="0"/>
        </w:rPr>
        <w:t>3</w:t>
      </w:r>
      <w:bookmarkEnd w:id="103"/>
      <w:r>
        <w:rPr>
          <w:b/>
          <w:bCs/>
          <w:color w:val="000000"/>
          <w:spacing w:val="0"/>
          <w:w w:val="100"/>
          <w:position w:val="0"/>
        </w:rPr>
        <w:t>、</w:t>
        <w:tab/>
        <w:t>可信计算产品</w:t>
      </w:r>
    </w:p>
    <w:p>
      <w:pPr>
        <w:pStyle w:val="Style44"/>
        <w:keepNext w:val="0"/>
        <w:keepLines w:val="0"/>
        <w:widowControl w:val="0"/>
        <w:shd w:val="clear" w:color="auto" w:fill="auto"/>
        <w:bidi w:val="0"/>
        <w:spacing w:before="0" w:after="0" w:line="473" w:lineRule="exact"/>
        <w:ind w:left="280" w:right="0" w:firstLine="440"/>
        <w:jc w:val="both"/>
      </w:pPr>
      <w:r>
        <w:rPr>
          <w:color w:val="000000"/>
          <w:spacing w:val="0"/>
          <w:w w:val="100"/>
          <w:position w:val="0"/>
        </w:rPr>
        <w:t>公司在可信计算领域深耕多年，是国内最大的可信计算芯片厂商，国内商业市场占有率已 超过</w:t>
      </w:r>
      <w:r>
        <w:rPr>
          <w:rFonts w:ascii="Times New Roman" w:eastAsia="Times New Roman" w:hAnsi="Times New Roman" w:cs="Times New Roman"/>
          <w:color w:val="000000"/>
          <w:spacing w:val="0"/>
          <w:w w:val="100"/>
          <w:position w:val="0"/>
        </w:rPr>
        <w:t>85%</w:t>
      </w:r>
      <w:r>
        <w:rPr>
          <w:color w:val="000000"/>
          <w:spacing w:val="0"/>
          <w:w w:val="100"/>
          <w:position w:val="0"/>
        </w:rPr>
        <w:t>。报告期内，与国内外主流</w:t>
      </w:r>
      <w:r>
        <w:rPr>
          <w:rFonts w:ascii="Times New Roman" w:eastAsia="Times New Roman" w:hAnsi="Times New Roman" w:cs="Times New Roman"/>
          <w:color w:val="000000"/>
          <w:spacing w:val="0"/>
          <w:w w:val="100"/>
          <w:position w:val="0"/>
        </w:rPr>
        <w:t>IT</w:t>
      </w:r>
      <w:r>
        <w:rPr>
          <w:color w:val="000000"/>
          <w:spacing w:val="0"/>
          <w:w w:val="100"/>
          <w:position w:val="0"/>
        </w:rPr>
        <w:t>厂商的合作持续稳定；产品预装的机型增加和预装可信 芯片产品销量提升，销售收入同比增长。</w:t>
      </w:r>
    </w:p>
    <w:p>
      <w:pPr>
        <w:pStyle w:val="Style44"/>
        <w:keepNext w:val="0"/>
        <w:keepLines w:val="0"/>
        <w:widowControl w:val="0"/>
        <w:shd w:val="clear" w:color="auto" w:fill="auto"/>
        <w:tabs>
          <w:tab w:pos="1060" w:val="left"/>
        </w:tabs>
        <w:bidi w:val="0"/>
        <w:spacing w:before="0" w:after="0" w:line="473" w:lineRule="exact"/>
        <w:ind w:left="0" w:right="0" w:firstLine="700"/>
        <w:jc w:val="both"/>
      </w:pPr>
      <w:bookmarkStart w:id="104" w:name="bookmark104"/>
      <w:r>
        <w:rPr>
          <w:rFonts w:ascii="Times New Roman" w:eastAsia="Times New Roman" w:hAnsi="Times New Roman" w:cs="Times New Roman"/>
          <w:b/>
          <w:bCs/>
          <w:color w:val="000000"/>
          <w:spacing w:val="0"/>
          <w:w w:val="100"/>
          <w:position w:val="0"/>
          <w:sz w:val="24"/>
          <w:szCs w:val="24"/>
        </w:rPr>
        <w:t>4</w:t>
      </w:r>
      <w:bookmarkEnd w:id="104"/>
      <w:r>
        <w:rPr>
          <w:b/>
          <w:bCs/>
          <w:color w:val="000000"/>
          <w:spacing w:val="0"/>
          <w:w w:val="100"/>
          <w:position w:val="0"/>
        </w:rPr>
        <w:t>、</w:t>
        <w:tab/>
      </w:r>
      <w:r>
        <w:rPr>
          <w:rFonts w:ascii="Times New Roman" w:eastAsia="Times New Roman" w:hAnsi="Times New Roman" w:cs="Times New Roman"/>
          <w:b/>
          <w:bCs/>
          <w:color w:val="000000"/>
          <w:spacing w:val="0"/>
          <w:w w:val="100"/>
          <w:position w:val="0"/>
        </w:rPr>
        <w:t xml:space="preserve">RCC </w:t>
      </w:r>
      <w:r>
        <w:rPr>
          <w:b/>
          <w:bCs/>
          <w:color w:val="000000"/>
          <w:spacing w:val="0"/>
          <w:w w:val="100"/>
          <w:position w:val="0"/>
        </w:rPr>
        <w:t>（限域通信）与蓝牙</w:t>
      </w:r>
      <w:r>
        <w:rPr>
          <w:rFonts w:ascii="Times New Roman" w:eastAsia="Times New Roman" w:hAnsi="Times New Roman" w:cs="Times New Roman"/>
          <w:b/>
          <w:bCs/>
          <w:color w:val="000000"/>
          <w:spacing w:val="0"/>
          <w:w w:val="100"/>
          <w:position w:val="0"/>
        </w:rPr>
        <w:t>SIM</w:t>
      </w:r>
      <w:r>
        <w:rPr>
          <w:b/>
          <w:bCs/>
          <w:color w:val="000000"/>
          <w:spacing w:val="0"/>
          <w:w w:val="100"/>
          <w:position w:val="0"/>
        </w:rPr>
        <w:t>卡产品</w:t>
      </w:r>
    </w:p>
    <w:p>
      <w:pPr>
        <w:pStyle w:val="Style44"/>
        <w:keepNext w:val="0"/>
        <w:keepLines w:val="0"/>
        <w:widowControl w:val="0"/>
        <w:shd w:val="clear" w:color="auto" w:fill="auto"/>
        <w:bidi w:val="0"/>
        <w:spacing w:before="0" w:after="0" w:line="471" w:lineRule="exact"/>
        <w:ind w:left="280" w:right="0" w:firstLine="440"/>
        <w:jc w:val="both"/>
      </w:pPr>
      <w:r>
        <w:rPr>
          <w:color w:val="000000"/>
          <w:spacing w:val="0"/>
          <w:w w:val="100"/>
          <w:position w:val="0"/>
        </w:rPr>
        <w:t>为拓展</w:t>
      </w:r>
      <w:r>
        <w:rPr>
          <w:rFonts w:ascii="Times New Roman" w:eastAsia="Times New Roman" w:hAnsi="Times New Roman" w:cs="Times New Roman"/>
          <w:color w:val="000000"/>
          <w:spacing w:val="0"/>
          <w:w w:val="100"/>
          <w:position w:val="0"/>
        </w:rPr>
        <w:t>RCC</w:t>
      </w:r>
      <w:r>
        <w:rPr>
          <w:color w:val="000000"/>
          <w:spacing w:val="0"/>
          <w:w w:val="100"/>
          <w:position w:val="0"/>
        </w:rPr>
        <w:t>应用市场，公司研制了蓝牙</w:t>
      </w:r>
      <w:r>
        <w:rPr>
          <w:rFonts w:ascii="Times New Roman" w:eastAsia="Times New Roman" w:hAnsi="Times New Roman" w:cs="Times New Roman"/>
          <w:color w:val="000000"/>
          <w:spacing w:val="0"/>
          <w:w w:val="100"/>
          <w:position w:val="0"/>
        </w:rPr>
        <w:t>SIM</w:t>
      </w:r>
      <w:r>
        <w:rPr>
          <w:color w:val="000000"/>
          <w:spacing w:val="0"/>
          <w:w w:val="100"/>
          <w:position w:val="0"/>
        </w:rPr>
        <w:t>卡产品及配套产品。报告期内，</w:t>
      </w:r>
      <w:r>
        <w:rPr>
          <w:rFonts w:ascii="Times New Roman" w:eastAsia="Times New Roman" w:hAnsi="Times New Roman" w:cs="Times New Roman"/>
          <w:color w:val="000000"/>
          <w:spacing w:val="0"/>
          <w:w w:val="100"/>
          <w:position w:val="0"/>
        </w:rPr>
        <w:t>RCC</w:t>
      </w:r>
      <w:r>
        <w:rPr>
          <w:color w:val="000000"/>
          <w:spacing w:val="0"/>
          <w:w w:val="100"/>
          <w:position w:val="0"/>
        </w:rPr>
        <w:t>及蓝牙</w:t>
      </w:r>
      <w:r>
        <w:rPr>
          <w:rFonts w:ascii="Times New Roman" w:eastAsia="Times New Roman" w:hAnsi="Times New Roman" w:cs="Times New Roman"/>
          <w:color w:val="000000"/>
          <w:spacing w:val="0"/>
          <w:w w:val="100"/>
          <w:position w:val="0"/>
        </w:rPr>
        <w:t xml:space="preserve">SIM </w:t>
      </w:r>
      <w:r>
        <w:rPr>
          <w:color w:val="000000"/>
          <w:spacing w:val="0"/>
          <w:w w:val="100"/>
          <w:position w:val="0"/>
        </w:rPr>
        <w:t>卡产品销售与上年同期相比较有所下滑。虽然基于硬件技术的移动支付市场已不是市场主流方 向，应用范围受限，公司一方面积极推动</w:t>
      </w:r>
      <w:r>
        <w:rPr>
          <w:rFonts w:ascii="Times New Roman" w:eastAsia="Times New Roman" w:hAnsi="Times New Roman" w:cs="Times New Roman"/>
          <w:color w:val="000000"/>
          <w:spacing w:val="0"/>
          <w:w w:val="100"/>
          <w:position w:val="0"/>
        </w:rPr>
        <w:t>RCC</w:t>
      </w:r>
      <w:r>
        <w:rPr>
          <w:color w:val="000000"/>
          <w:spacing w:val="0"/>
          <w:w w:val="100"/>
          <w:position w:val="0"/>
        </w:rPr>
        <w:t>技术纳入交通等行业技术规范中，增加应用范围和 领域，同时积极探索具有安全需求的移动认证市场，利用</w:t>
      </w:r>
      <w:r>
        <w:rPr>
          <w:rFonts w:ascii="Times New Roman" w:eastAsia="Times New Roman" w:hAnsi="Times New Roman" w:cs="Times New Roman"/>
          <w:color w:val="000000"/>
          <w:spacing w:val="0"/>
          <w:w w:val="100"/>
          <w:position w:val="0"/>
        </w:rPr>
        <w:t>RCC</w:t>
      </w:r>
      <w:r>
        <w:rPr>
          <w:color w:val="000000"/>
          <w:spacing w:val="0"/>
          <w:w w:val="100"/>
          <w:position w:val="0"/>
        </w:rPr>
        <w:t>技术载体的优势，在交通和校企 等存量市场寻找市场机会，并在移动安全、电子身份认证、智能门锁以及安全服务平台类应用 市场取得一定增长。</w:t>
      </w:r>
    </w:p>
    <w:p>
      <w:pPr>
        <w:pStyle w:val="Style44"/>
        <w:keepNext w:val="0"/>
        <w:keepLines w:val="0"/>
        <w:widowControl w:val="0"/>
        <w:shd w:val="clear" w:color="auto" w:fill="auto"/>
        <w:tabs>
          <w:tab w:pos="1068" w:val="left"/>
        </w:tabs>
        <w:bidi w:val="0"/>
        <w:spacing w:before="0" w:after="40" w:line="468" w:lineRule="exact"/>
        <w:ind w:left="0" w:right="0" w:firstLine="700"/>
        <w:jc w:val="both"/>
      </w:pPr>
      <w:bookmarkStart w:id="105" w:name="bookmark105"/>
      <w:r>
        <w:rPr>
          <w:rFonts w:ascii="Times New Roman" w:eastAsia="Times New Roman" w:hAnsi="Times New Roman" w:cs="Times New Roman"/>
          <w:b/>
          <w:bCs/>
          <w:color w:val="000000"/>
          <w:spacing w:val="0"/>
          <w:w w:val="100"/>
          <w:position w:val="0"/>
        </w:rPr>
        <w:t>5</w:t>
      </w:r>
      <w:bookmarkEnd w:id="105"/>
      <w:r>
        <w:rPr>
          <w:b/>
          <w:bCs/>
          <w:color w:val="000000"/>
          <w:spacing w:val="0"/>
          <w:w w:val="100"/>
          <w:position w:val="0"/>
        </w:rPr>
        <w:t>、</w:t>
        <w:tab/>
        <w:t>安全智能锁、解决方案及管理系统</w:t>
      </w:r>
    </w:p>
    <w:p>
      <w:pPr>
        <w:pStyle w:val="Style44"/>
        <w:keepNext w:val="0"/>
        <w:keepLines w:val="0"/>
        <w:widowControl w:val="0"/>
        <w:shd w:val="clear" w:color="auto" w:fill="auto"/>
        <w:bidi w:val="0"/>
        <w:spacing w:before="0" w:after="40" w:line="470" w:lineRule="exact"/>
        <w:ind w:left="280" w:right="0" w:firstLine="460"/>
        <w:jc w:val="both"/>
      </w:pPr>
      <w:r>
        <w:rPr>
          <w:color w:val="000000"/>
          <w:spacing w:val="0"/>
          <w:w w:val="100"/>
          <w:position w:val="0"/>
        </w:rPr>
        <w:t>报告期内，子公司国民科技面向物联网应用市场，推出具备联网加密特性的</w:t>
      </w:r>
      <w:r>
        <w:rPr>
          <w:rFonts w:ascii="Times New Roman" w:eastAsia="Times New Roman" w:hAnsi="Times New Roman" w:cs="Times New Roman"/>
          <w:color w:val="000000"/>
          <w:spacing w:val="0"/>
          <w:w w:val="100"/>
          <w:position w:val="0"/>
        </w:rPr>
        <w:t>NB</w:t>
      </w:r>
      <w:r>
        <w:rPr>
          <w:color w:val="000000"/>
          <w:spacing w:val="0"/>
          <w:w w:val="100"/>
          <w:position w:val="0"/>
        </w:rPr>
        <w:t>智能门锁以 及智慧租住管理系统等产品。目前国民科技开发的公租房综合业务管理系统和安全</w:t>
      </w:r>
      <w:r>
        <w:rPr>
          <w:rFonts w:ascii="Times New Roman" w:eastAsia="Times New Roman" w:hAnsi="Times New Roman" w:cs="Times New Roman"/>
          <w:color w:val="000000"/>
          <w:spacing w:val="0"/>
          <w:w w:val="100"/>
          <w:position w:val="0"/>
        </w:rPr>
        <w:t>NB</w:t>
      </w:r>
      <w:r>
        <w:rPr>
          <w:color w:val="000000"/>
          <w:spacing w:val="0"/>
          <w:w w:val="100"/>
          <w:position w:val="0"/>
        </w:rPr>
        <w:t>智能门锁 已陆续在深圳、湖北、江苏、河北、上海等多地试点，以期通过试点带动市场，取得示范效应 后将进行全面市场推广与复制。</w:t>
      </w:r>
    </w:p>
    <w:p>
      <w:pPr>
        <w:pStyle w:val="Style44"/>
        <w:keepNext w:val="0"/>
        <w:keepLines w:val="0"/>
        <w:widowControl w:val="0"/>
        <w:shd w:val="clear" w:color="auto" w:fill="auto"/>
        <w:tabs>
          <w:tab w:pos="1068" w:val="left"/>
        </w:tabs>
        <w:bidi w:val="0"/>
        <w:spacing w:before="0" w:after="40" w:line="468" w:lineRule="exact"/>
        <w:ind w:left="0" w:right="0" w:firstLine="700"/>
        <w:jc w:val="both"/>
      </w:pPr>
      <w:bookmarkStart w:id="106" w:name="bookmark106"/>
      <w:r>
        <w:rPr>
          <w:rFonts w:ascii="Times New Roman" w:eastAsia="Times New Roman" w:hAnsi="Times New Roman" w:cs="Times New Roman"/>
          <w:b/>
          <w:bCs/>
          <w:color w:val="000000"/>
          <w:spacing w:val="0"/>
          <w:w w:val="100"/>
          <w:position w:val="0"/>
        </w:rPr>
        <w:t>6</w:t>
      </w:r>
      <w:bookmarkEnd w:id="106"/>
      <w:r>
        <w:rPr>
          <w:b/>
          <w:bCs/>
          <w:color w:val="000000"/>
          <w:spacing w:val="0"/>
          <w:w w:val="100"/>
          <w:position w:val="0"/>
        </w:rPr>
        <w:t>、</w:t>
        <w:tab/>
        <w:t>锂离子电池负极材料产品</w:t>
      </w:r>
    </w:p>
    <w:p>
      <w:pPr>
        <w:pStyle w:val="Style44"/>
        <w:keepNext w:val="0"/>
        <w:keepLines w:val="0"/>
        <w:widowControl w:val="0"/>
        <w:shd w:val="clear" w:color="auto" w:fill="auto"/>
        <w:bidi w:val="0"/>
        <w:spacing w:before="0" w:after="40" w:line="461" w:lineRule="exact"/>
        <w:ind w:left="280" w:right="0" w:firstLine="460"/>
        <w:jc w:val="both"/>
      </w:pPr>
      <w:r>
        <w:rPr>
          <w:color w:val="000000"/>
          <w:spacing w:val="0"/>
          <w:w w:val="100"/>
          <w:position w:val="0"/>
        </w:rPr>
        <w:t>报告期内，斯诺实业主要大客户为天津力神电池股份有限公司、合肥国轩高科动力能源有 限公司等一批需求稳定的客户，此外公司努力拓展市场新客户，进一步优化产品结构。</w:t>
      </w:r>
    </w:p>
    <w:p>
      <w:pPr>
        <w:pStyle w:val="Style44"/>
        <w:keepNext w:val="0"/>
        <w:keepLines w:val="0"/>
        <w:widowControl w:val="0"/>
        <w:shd w:val="clear" w:color="auto" w:fill="auto"/>
        <w:bidi w:val="0"/>
        <w:spacing w:before="0" w:after="240" w:line="446" w:lineRule="exact"/>
        <w:ind w:left="280" w:right="0" w:firstLine="460"/>
        <w:jc w:val="both"/>
      </w:pPr>
      <w:r>
        <w:rPr>
          <w:color w:val="000000"/>
          <w:spacing w:val="0"/>
          <w:w w:val="100"/>
          <w:position w:val="0"/>
        </w:rPr>
        <w:t>斯诺内蒙石墨化与负极生产基地一期经过前期生产磨合，已实现规模化稳定生产。叠加内 蒙古地区的政策、电力等优势，具有较强的市场竞争力。报告期内，斯诺实业销售成本较同期 大幅下降，产品毛利率实现较大提升。</w:t>
      </w:r>
    </w:p>
    <w:p>
      <w:pPr>
        <w:pStyle w:val="Style44"/>
        <w:keepNext w:val="0"/>
        <w:keepLines w:val="0"/>
        <w:widowControl w:val="0"/>
        <w:shd w:val="clear" w:color="auto" w:fill="auto"/>
        <w:bidi w:val="0"/>
        <w:spacing w:before="0" w:after="40" w:line="468" w:lineRule="exact"/>
        <w:ind w:left="0" w:right="0" w:firstLine="700"/>
        <w:jc w:val="both"/>
      </w:pPr>
      <w:bookmarkStart w:id="107" w:name="bookmark107"/>
      <w:r>
        <w:rPr>
          <w:b/>
          <w:bCs/>
          <w:color w:val="000000"/>
          <w:spacing w:val="0"/>
          <w:w w:val="100"/>
          <w:position w:val="0"/>
        </w:rPr>
        <w:t>（</w:t>
      </w:r>
      <w:bookmarkEnd w:id="107"/>
      <w:r>
        <w:rPr>
          <w:b/>
          <w:bCs/>
          <w:color w:val="000000"/>
          <w:spacing w:val="0"/>
          <w:w w:val="100"/>
          <w:position w:val="0"/>
        </w:rPr>
        <w:t>二）、产品研发情况</w:t>
      </w:r>
    </w:p>
    <w:p>
      <w:pPr>
        <w:pStyle w:val="Style44"/>
        <w:keepNext w:val="0"/>
        <w:keepLines w:val="0"/>
        <w:widowControl w:val="0"/>
        <w:shd w:val="clear" w:color="auto" w:fill="auto"/>
        <w:tabs>
          <w:tab w:pos="1077" w:val="left"/>
        </w:tabs>
        <w:bidi w:val="0"/>
        <w:spacing w:before="0" w:after="40" w:line="469" w:lineRule="exact"/>
        <w:ind w:left="280" w:right="0" w:firstLine="460"/>
        <w:jc w:val="both"/>
      </w:pPr>
      <w:bookmarkStart w:id="108" w:name="bookmark108"/>
      <w:r>
        <w:rPr>
          <w:rFonts w:ascii="Times New Roman" w:eastAsia="Times New Roman" w:hAnsi="Times New Roman" w:cs="Times New Roman"/>
          <w:color w:val="000000"/>
          <w:spacing w:val="0"/>
          <w:w w:val="100"/>
          <w:position w:val="0"/>
        </w:rPr>
        <w:t>1</w:t>
      </w:r>
      <w:bookmarkEnd w:id="108"/>
      <w:r>
        <w:rPr>
          <w:color w:val="000000"/>
          <w:spacing w:val="0"/>
          <w:w w:val="100"/>
          <w:position w:val="0"/>
        </w:rPr>
        <w:t>、</w:t>
        <w:tab/>
        <w:t>以持续保持公司市场领先地位为目标，不断提升产品技术性能指标和产品质量，增强产 品功能属性和安全标准。在新一代高工艺下，应用于</w:t>
      </w:r>
      <w:r>
        <w:rPr>
          <w:rFonts w:ascii="Times New Roman" w:eastAsia="Times New Roman" w:hAnsi="Times New Roman" w:cs="Times New Roman"/>
          <w:color w:val="000000"/>
          <w:spacing w:val="0"/>
          <w:w w:val="100"/>
          <w:position w:val="0"/>
        </w:rPr>
        <w:t>USBKEY</w:t>
      </w:r>
      <w:r>
        <w:rPr>
          <w:color w:val="000000"/>
          <w:spacing w:val="0"/>
          <w:w w:val="100"/>
          <w:position w:val="0"/>
        </w:rPr>
        <w:t>、</w:t>
      </w:r>
      <w:r>
        <w:rPr>
          <w:color w:val="000000"/>
          <w:spacing w:val="0"/>
          <w:w w:val="100"/>
          <w:position w:val="0"/>
        </w:rPr>
        <w:t>蓝牙</w:t>
      </w:r>
      <w:r>
        <w:rPr>
          <w:rFonts w:ascii="Times New Roman" w:eastAsia="Times New Roman" w:hAnsi="Times New Roman" w:cs="Times New Roman"/>
          <w:color w:val="000000"/>
          <w:spacing w:val="0"/>
          <w:w w:val="100"/>
          <w:position w:val="0"/>
        </w:rPr>
        <w:t>KEY</w:t>
      </w:r>
      <w:r>
        <w:rPr>
          <w:color w:val="000000"/>
          <w:spacing w:val="0"/>
          <w:w w:val="100"/>
          <w:position w:val="0"/>
        </w:rPr>
        <w:t>、</w:t>
      </w:r>
      <w:r>
        <w:rPr>
          <w:color w:val="000000"/>
          <w:spacing w:val="0"/>
          <w:w w:val="100"/>
          <w:position w:val="0"/>
        </w:rPr>
        <w:t>安全主控芯片及安 全认证芯片的产品陆续已进入试样、送样测试阶段，将对保持公司在传统网络安全领域产品应 用竞争力的同时，扩展新兴产业应用起到重要保障作用。</w:t>
      </w:r>
    </w:p>
    <w:p>
      <w:pPr>
        <w:pStyle w:val="Style44"/>
        <w:keepNext w:val="0"/>
        <w:keepLines w:val="0"/>
        <w:widowControl w:val="0"/>
        <w:shd w:val="clear" w:color="auto" w:fill="auto"/>
        <w:tabs>
          <w:tab w:pos="1077" w:val="left"/>
        </w:tabs>
        <w:bidi w:val="0"/>
        <w:spacing w:before="0" w:after="40" w:line="472" w:lineRule="exact"/>
        <w:ind w:left="280" w:right="0" w:firstLine="460"/>
        <w:jc w:val="both"/>
      </w:pPr>
      <w:bookmarkStart w:id="109" w:name="bookmark109"/>
      <w:r>
        <w:rPr>
          <w:rFonts w:ascii="Times New Roman" w:eastAsia="Times New Roman" w:hAnsi="Times New Roman" w:cs="Times New Roman"/>
          <w:color w:val="000000"/>
          <w:spacing w:val="0"/>
          <w:w w:val="100"/>
          <w:position w:val="0"/>
        </w:rPr>
        <w:t>2</w:t>
      </w:r>
      <w:bookmarkEnd w:id="109"/>
      <w:r>
        <w:rPr>
          <w:color w:val="000000"/>
          <w:spacing w:val="0"/>
          <w:w w:val="100"/>
          <w:position w:val="0"/>
        </w:rPr>
        <w:t>、</w:t>
        <w:tab/>
        <w:t>围绕与国际知名</w:t>
      </w:r>
      <w:r>
        <w:rPr>
          <w:rFonts w:ascii="Times New Roman" w:eastAsia="Times New Roman" w:hAnsi="Times New Roman" w:cs="Times New Roman"/>
          <w:color w:val="000000"/>
          <w:spacing w:val="0"/>
          <w:w w:val="100"/>
          <w:position w:val="0"/>
        </w:rPr>
        <w:t>IT</w:t>
      </w:r>
      <w:r>
        <w:rPr>
          <w:color w:val="000000"/>
          <w:spacing w:val="0"/>
          <w:w w:val="100"/>
          <w:position w:val="0"/>
        </w:rPr>
        <w:t>企业在可信计算领域的紧密合作，公司积极把握可信计算标准升级机 遇，推进可信计算行业应用的扩展，完成技术升级，芯片产品已处于扩大量产阶段。同时，公 司积极布局下一代可信计算技术研发工作，围绕下一代可信计算产品的核心竞争力布局国内外 安全等级认证以及海外销售等工作。</w:t>
      </w:r>
    </w:p>
    <w:p>
      <w:pPr>
        <w:pStyle w:val="Style44"/>
        <w:keepNext w:val="0"/>
        <w:keepLines w:val="0"/>
        <w:widowControl w:val="0"/>
        <w:shd w:val="clear" w:color="auto" w:fill="auto"/>
        <w:tabs>
          <w:tab w:pos="1081" w:val="left"/>
        </w:tabs>
        <w:bidi w:val="0"/>
        <w:spacing w:before="0" w:after="40" w:line="467" w:lineRule="exact"/>
        <w:ind w:left="280" w:right="0" w:firstLine="460"/>
        <w:jc w:val="both"/>
      </w:pPr>
      <w:bookmarkStart w:id="110" w:name="bookmark110"/>
      <w:r>
        <w:rPr>
          <w:rFonts w:ascii="Times New Roman" w:eastAsia="Times New Roman" w:hAnsi="Times New Roman" w:cs="Times New Roman"/>
          <w:color w:val="000000"/>
          <w:spacing w:val="0"/>
          <w:w w:val="100"/>
          <w:position w:val="0"/>
        </w:rPr>
        <w:t>3</w:t>
      </w:r>
      <w:bookmarkEnd w:id="110"/>
      <w:r>
        <w:rPr>
          <w:color w:val="000000"/>
          <w:spacing w:val="0"/>
          <w:w w:val="100"/>
          <w:position w:val="0"/>
        </w:rPr>
        <w:t>、</w:t>
        <w:tab/>
        <w:t>为进入更大规模的通用芯片产品市场，公司深入研究通用型芯片技术发展趋势和市场竞 争格局，以获得在工业控制、智能家电及智能家庭物联网终端、智能表计、安防、医疗电子、 电机驱动、电池及能源管理、生物识别、通讯、传感器、机器自动化等新兴物联网市场巨大增 长空间为目标，结合低功耗和安全芯片研发所形成的技术优势，开展低功耗通用</w:t>
      </w:r>
      <w:r>
        <w:rPr>
          <w:rFonts w:ascii="Times New Roman" w:eastAsia="Times New Roman" w:hAnsi="Times New Roman" w:cs="Times New Roman"/>
          <w:color w:val="000000"/>
          <w:spacing w:val="0"/>
          <w:w w:val="100"/>
          <w:position w:val="0"/>
        </w:rPr>
        <w:t>MCU</w:t>
      </w:r>
      <w:r>
        <w:rPr>
          <w:color w:val="000000"/>
          <w:spacing w:val="0"/>
          <w:w w:val="100"/>
          <w:position w:val="0"/>
        </w:rPr>
        <w:t>系列化芯 片新产品研发工作，报告期内已按计划完成基于</w:t>
      </w:r>
      <w:r>
        <w:rPr>
          <w:rFonts w:ascii="Times New Roman" w:eastAsia="Times New Roman" w:hAnsi="Times New Roman" w:cs="Times New Roman"/>
          <w:color w:val="000000"/>
          <w:spacing w:val="0"/>
          <w:w w:val="100"/>
          <w:position w:val="0"/>
        </w:rPr>
        <w:t>ARM Cortex M4/M</w:t>
      </w:r>
      <w:r>
        <w:rPr>
          <w:rFonts w:ascii="Times New Roman" w:eastAsia="Times New Roman" w:hAnsi="Times New Roman" w:cs="Times New Roman"/>
          <w:color w:val="000000"/>
          <w:spacing w:val="0"/>
          <w:w w:val="100"/>
          <w:position w:val="0"/>
        </w:rPr>
        <w:t>0</w:t>
      </w:r>
      <w:r>
        <w:rPr>
          <w:color w:val="000000"/>
          <w:spacing w:val="0"/>
          <w:w w:val="100"/>
          <w:position w:val="0"/>
        </w:rPr>
        <w:t>内核多个系列</w:t>
      </w:r>
      <w:r>
        <w:rPr>
          <w:rFonts w:ascii="Times New Roman" w:eastAsia="Times New Roman" w:hAnsi="Times New Roman" w:cs="Times New Roman"/>
          <w:color w:val="000000"/>
          <w:spacing w:val="0"/>
          <w:w w:val="100"/>
          <w:position w:val="0"/>
        </w:rPr>
        <w:t>MCU</w:t>
      </w:r>
      <w:r>
        <w:rPr>
          <w:color w:val="000000"/>
          <w:spacing w:val="0"/>
          <w:w w:val="100"/>
          <w:position w:val="0"/>
        </w:rPr>
        <w:t>芯片产 品的研发工作，产品进入方案开发和市场推广阶段。同时开展了中端、中低端较高性价比等平 台化、系列化</w:t>
      </w:r>
      <w:r>
        <w:rPr>
          <w:rFonts w:ascii="Times New Roman" w:eastAsia="Times New Roman" w:hAnsi="Times New Roman" w:cs="Times New Roman"/>
          <w:color w:val="000000"/>
          <w:spacing w:val="0"/>
          <w:w w:val="100"/>
          <w:position w:val="0"/>
        </w:rPr>
        <w:t>MCU</w:t>
      </w:r>
      <w:r>
        <w:rPr>
          <w:color w:val="000000"/>
          <w:spacing w:val="0"/>
          <w:w w:val="100"/>
          <w:position w:val="0"/>
        </w:rPr>
        <w:t>芯片产品研制工作。</w:t>
      </w:r>
    </w:p>
    <w:p>
      <w:pPr>
        <w:pStyle w:val="Style44"/>
        <w:keepNext w:val="0"/>
        <w:keepLines w:val="0"/>
        <w:widowControl w:val="0"/>
        <w:shd w:val="clear" w:color="auto" w:fill="auto"/>
        <w:tabs>
          <w:tab w:pos="368" w:val="left"/>
        </w:tabs>
        <w:bidi w:val="0"/>
        <w:spacing w:before="0" w:after="40" w:line="468" w:lineRule="exact"/>
        <w:ind w:left="0" w:right="0" w:firstLine="700"/>
        <w:jc w:val="both"/>
      </w:pPr>
      <w:bookmarkStart w:id="111" w:name="bookmark111"/>
      <w:r>
        <w:rPr>
          <w:rFonts w:ascii="Times New Roman" w:eastAsia="Times New Roman" w:hAnsi="Times New Roman" w:cs="Times New Roman"/>
          <w:color w:val="000000"/>
          <w:spacing w:val="0"/>
          <w:w w:val="100"/>
          <w:position w:val="0"/>
        </w:rPr>
        <w:t>4</w:t>
      </w:r>
      <w:bookmarkEnd w:id="111"/>
      <w:r>
        <w:rPr>
          <w:color w:val="000000"/>
          <w:spacing w:val="0"/>
          <w:w w:val="100"/>
          <w:position w:val="0"/>
        </w:rPr>
        <w:t>、</w:t>
        <w:tab/>
        <w:t xml:space="preserve">公司持续在嵌入式存储器高端工艺平台上，不断提升下一代安全芯片、通用芯片的研发 </w:t>
      </w:r>
      <w:r>
        <w:rPr>
          <w:color w:val="000000"/>
          <w:spacing w:val="0"/>
          <w:w w:val="100"/>
          <w:position w:val="0"/>
        </w:rPr>
        <w:t>技术能力与水平；利用多年自研众多成熟丰富的</w:t>
      </w:r>
      <w:r>
        <w:rPr>
          <w:rFonts w:ascii="Times New Roman" w:eastAsia="Times New Roman" w:hAnsi="Times New Roman" w:cs="Times New Roman"/>
          <w:color w:val="000000"/>
          <w:spacing w:val="0"/>
          <w:w w:val="100"/>
          <w:position w:val="0"/>
        </w:rPr>
        <w:t>IP</w:t>
      </w:r>
      <w:r>
        <w:rPr>
          <w:color w:val="000000"/>
          <w:spacing w:val="0"/>
          <w:w w:val="100"/>
          <w:position w:val="0"/>
        </w:rPr>
        <w:t>积累，在产品中已经集成较多模拟外设功能， 进一步巩固产品的高集成度的优势；在半导体制造行业标准化工艺上，不断提升定制化的批量 生产工艺优化能力。产品研发竞争力和优质产品市场化速度提升显著。</w:t>
      </w:r>
    </w:p>
    <w:p>
      <w:pPr>
        <w:pStyle w:val="Style44"/>
        <w:keepNext w:val="0"/>
        <w:keepLines w:val="0"/>
        <w:widowControl w:val="0"/>
        <w:shd w:val="clear" w:color="auto" w:fill="auto"/>
        <w:tabs>
          <w:tab w:pos="1068" w:val="left"/>
        </w:tabs>
        <w:bidi w:val="0"/>
        <w:spacing w:before="0" w:after="40" w:line="468" w:lineRule="exact"/>
        <w:ind w:left="220" w:right="0" w:firstLine="520"/>
        <w:jc w:val="both"/>
      </w:pPr>
      <w:bookmarkStart w:id="112" w:name="bookmark112"/>
      <w:r>
        <w:rPr>
          <w:rFonts w:ascii="Times New Roman" w:eastAsia="Times New Roman" w:hAnsi="Times New Roman" w:cs="Times New Roman"/>
          <w:color w:val="000000"/>
          <w:spacing w:val="0"/>
          <w:w w:val="100"/>
          <w:position w:val="0"/>
        </w:rPr>
        <w:t>5</w:t>
      </w:r>
      <w:bookmarkEnd w:id="112"/>
      <w:r>
        <w:rPr>
          <w:color w:val="000000"/>
          <w:spacing w:val="0"/>
          <w:w w:val="100"/>
          <w:position w:val="0"/>
        </w:rPr>
        <w:t>、</w:t>
        <w:tab/>
        <w:t>报告期内，子公司国民科技持续投入开发及完善保障性住房智能化监管管理系统，引入 身份证识别技术、对承租人进行身份认证、摄像头跟踪等智能化管理手段，系统集成公司研发 的国密算法高安全等级芯片、蓝牙通讯技术、</w:t>
      </w:r>
      <w:r>
        <w:rPr>
          <w:rFonts w:ascii="Times New Roman" w:eastAsia="Times New Roman" w:hAnsi="Times New Roman" w:cs="Times New Roman"/>
          <w:color w:val="000000"/>
          <w:spacing w:val="0"/>
          <w:w w:val="100"/>
          <w:position w:val="0"/>
        </w:rPr>
        <w:t>RCC</w:t>
      </w:r>
      <w:r>
        <w:rPr>
          <w:color w:val="000000"/>
          <w:spacing w:val="0"/>
          <w:w w:val="100"/>
          <w:position w:val="0"/>
        </w:rPr>
        <w:t>国家标准限域通信及国民安全云等技术。安 全管理平台还可对系统数据进行智能化分析，住户通过</w:t>
      </w:r>
      <w:r>
        <w:rPr>
          <w:rFonts w:ascii="Times New Roman" w:eastAsia="Times New Roman" w:hAnsi="Times New Roman" w:cs="Times New Roman"/>
          <w:color w:val="000000"/>
          <w:spacing w:val="0"/>
          <w:w w:val="100"/>
          <w:position w:val="0"/>
        </w:rPr>
        <w:t>RCC SIM</w:t>
      </w:r>
      <w:r>
        <w:rPr>
          <w:color w:val="000000"/>
          <w:spacing w:val="0"/>
          <w:w w:val="100"/>
          <w:position w:val="0"/>
        </w:rPr>
        <w:t>卡即可完成身份识别、移动支 付、蓝牙连接等信息认证，安全便捷、机制完善。</w:t>
      </w:r>
    </w:p>
    <w:p>
      <w:pPr>
        <w:pStyle w:val="Style44"/>
        <w:keepNext w:val="0"/>
        <w:keepLines w:val="0"/>
        <w:widowControl w:val="0"/>
        <w:shd w:val="clear" w:color="auto" w:fill="auto"/>
        <w:tabs>
          <w:tab w:pos="1068" w:val="left"/>
        </w:tabs>
        <w:bidi w:val="0"/>
        <w:spacing w:before="0" w:after="40" w:line="473" w:lineRule="exact"/>
        <w:ind w:left="220" w:right="0" w:firstLine="520"/>
        <w:jc w:val="both"/>
      </w:pPr>
      <w:bookmarkStart w:id="113" w:name="bookmark113"/>
      <w:r>
        <w:rPr>
          <w:rFonts w:ascii="Times New Roman" w:eastAsia="Times New Roman" w:hAnsi="Times New Roman" w:cs="Times New Roman"/>
          <w:color w:val="000000"/>
          <w:spacing w:val="0"/>
          <w:w w:val="100"/>
          <w:position w:val="0"/>
        </w:rPr>
        <w:t>6</w:t>
      </w:r>
      <w:bookmarkEnd w:id="113"/>
      <w:r>
        <w:rPr>
          <w:color w:val="000000"/>
          <w:spacing w:val="0"/>
          <w:w w:val="100"/>
          <w:position w:val="0"/>
        </w:rPr>
        <w:t>、</w:t>
        <w:tab/>
        <w:t>报告期内，公司继续加强建设以研发设计为主体的新加坡全资子公司，继续引进和培育 国际优秀技术人才，把握全球集成电路设计和新兴技术发展方向，持续提升公司现有技术开发 和产品战略规划能力。</w:t>
      </w:r>
    </w:p>
    <w:p>
      <w:pPr>
        <w:pStyle w:val="Style44"/>
        <w:keepNext w:val="0"/>
        <w:keepLines w:val="0"/>
        <w:widowControl w:val="0"/>
        <w:shd w:val="clear" w:color="auto" w:fill="auto"/>
        <w:tabs>
          <w:tab w:pos="1073" w:val="left"/>
        </w:tabs>
        <w:bidi w:val="0"/>
        <w:spacing w:before="0" w:after="220" w:line="468" w:lineRule="exact"/>
        <w:ind w:left="220" w:right="0" w:firstLine="520"/>
        <w:jc w:val="both"/>
      </w:pPr>
      <w:bookmarkStart w:id="114" w:name="bookmark114"/>
      <w:r>
        <w:rPr>
          <w:rFonts w:ascii="Times New Roman" w:eastAsia="Times New Roman" w:hAnsi="Times New Roman" w:cs="Times New Roman"/>
          <w:color w:val="000000"/>
          <w:spacing w:val="0"/>
          <w:w w:val="100"/>
          <w:position w:val="0"/>
        </w:rPr>
        <w:t>7</w:t>
      </w:r>
      <w:bookmarkEnd w:id="114"/>
      <w:r>
        <w:rPr>
          <w:color w:val="000000"/>
          <w:spacing w:val="0"/>
          <w:w w:val="100"/>
          <w:position w:val="0"/>
        </w:rPr>
        <w:t>、</w:t>
        <w:tab/>
        <w:t>报告期内，斯诺实业对深圳研发中心、江西中试基地、内蒙石墨化生产基地持续投入， 引进优秀的工程技术人才的同时开展校企合作，持续对石墨负极材料基础研究和产品应用研究， 提升公司锂离子电池负极材料研发与制造水平。斯诺实业保持对高容量、长循环硅碳复合材料 负极投入和跟踪，加强对长循环、高性价比负极材料进行攻关，持续对关键工艺特性的技术进 行研发储备并形成相应的专利和技术成果。目前已开发出高倍率，高容量，低成本的负极材料 产品，并已处于主要客户中试阶段。</w:t>
      </w:r>
    </w:p>
    <w:p>
      <w:pPr>
        <w:pStyle w:val="Style42"/>
        <w:keepNext/>
        <w:keepLines/>
        <w:widowControl w:val="0"/>
        <w:shd w:val="clear" w:color="auto" w:fill="auto"/>
        <w:bidi w:val="0"/>
        <w:spacing w:before="0" w:after="360" w:line="468" w:lineRule="exact"/>
        <w:ind w:left="0" w:right="0" w:firstLine="220"/>
        <w:jc w:val="left"/>
      </w:pPr>
      <w:bookmarkStart w:id="115" w:name="bookmark115"/>
      <w:bookmarkStart w:id="116" w:name="bookmark116"/>
      <w:bookmarkStart w:id="117" w:name="bookmark117"/>
      <w:bookmarkStart w:id="118" w:name="bookmark118"/>
      <w:r>
        <w:rPr>
          <w:color w:val="000000"/>
          <w:spacing w:val="0"/>
          <w:w w:val="100"/>
          <w:position w:val="0"/>
        </w:rPr>
        <w:t>二</w:t>
      </w:r>
      <w:bookmarkEnd w:id="117"/>
      <w:r>
        <w:rPr>
          <w:color w:val="000000"/>
          <w:spacing w:val="0"/>
          <w:w w:val="100"/>
          <w:position w:val="0"/>
        </w:rPr>
        <w:t>、主营业务分析</w:t>
      </w:r>
      <w:bookmarkEnd w:id="115"/>
      <w:bookmarkEnd w:id="116"/>
      <w:bookmarkEnd w:id="118"/>
    </w:p>
    <w:p>
      <w:pPr>
        <w:pStyle w:val="Style52"/>
        <w:keepNext/>
        <w:keepLines/>
        <w:widowControl w:val="0"/>
        <w:shd w:val="clear" w:color="auto" w:fill="auto"/>
        <w:tabs>
          <w:tab w:pos="598" w:val="left"/>
        </w:tabs>
        <w:bidi w:val="0"/>
        <w:spacing w:before="0" w:after="0" w:line="444" w:lineRule="auto"/>
        <w:ind w:left="0" w:right="0"/>
        <w:jc w:val="left"/>
      </w:pPr>
      <w:bookmarkStart w:id="119" w:name="bookmark119"/>
      <w:bookmarkStart w:id="120" w:name="bookmark120"/>
      <w:bookmarkStart w:id="121" w:name="bookmark121"/>
      <w:bookmarkStart w:id="122" w:name="bookmark122"/>
      <w:r>
        <w:rPr>
          <w:rFonts w:ascii="Times New Roman" w:eastAsia="Times New Roman" w:hAnsi="Times New Roman" w:cs="Times New Roman"/>
          <w:color w:val="000000"/>
          <w:spacing w:val="0"/>
          <w:w w:val="100"/>
          <w:position w:val="0"/>
        </w:rPr>
        <w:t>1</w:t>
      </w:r>
      <w:bookmarkEnd w:id="121"/>
      <w:r>
        <w:rPr>
          <w:color w:val="000000"/>
          <w:spacing w:val="0"/>
          <w:w w:val="100"/>
          <w:position w:val="0"/>
        </w:rPr>
        <w:t>、</w:t>
        <w:tab/>
        <w:t>概述</w:t>
      </w:r>
      <w:bookmarkEnd w:id="119"/>
      <w:bookmarkEnd w:id="120"/>
      <w:bookmarkEnd w:id="122"/>
    </w:p>
    <w:p>
      <w:pPr>
        <w:pStyle w:val="Style44"/>
        <w:keepNext w:val="0"/>
        <w:keepLines w:val="0"/>
        <w:widowControl w:val="0"/>
        <w:shd w:val="clear" w:color="auto" w:fill="auto"/>
        <w:bidi w:val="0"/>
        <w:spacing w:before="0" w:after="0" w:line="468" w:lineRule="exact"/>
        <w:ind w:left="0" w:right="0" w:firstLine="220"/>
        <w:jc w:val="left"/>
      </w:pPr>
      <w:r>
        <w:rPr>
          <w:color w:val="000000"/>
          <w:spacing w:val="0"/>
          <w:w w:val="100"/>
          <w:position w:val="0"/>
        </w:rPr>
        <w:t>是否与经营情况讨论与分析中的概述披露相同</w:t>
      </w:r>
    </w:p>
    <w:p>
      <w:pPr>
        <w:pStyle w:val="Style44"/>
        <w:keepNext w:val="0"/>
        <w:keepLines w:val="0"/>
        <w:widowControl w:val="0"/>
        <w:shd w:val="clear" w:color="auto" w:fill="auto"/>
        <w:bidi w:val="0"/>
        <w:spacing w:before="0" w:after="0" w:line="468" w:lineRule="exact"/>
        <w:ind w:left="0" w:right="0" w:firstLine="220"/>
        <w:jc w:val="left"/>
      </w:pPr>
      <w:r>
        <w:rPr>
          <w:color w:val="000000"/>
          <w:spacing w:val="0"/>
          <w:w w:val="100"/>
          <w:position w:val="0"/>
        </w:rPr>
        <w:t>寸</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44"/>
        <w:keepNext w:val="0"/>
        <w:keepLines w:val="0"/>
        <w:widowControl w:val="0"/>
        <w:shd w:val="clear" w:color="auto" w:fill="auto"/>
        <w:bidi w:val="0"/>
        <w:spacing w:before="0" w:after="160" w:line="468" w:lineRule="exact"/>
        <w:ind w:left="0" w:right="0" w:firstLine="220"/>
        <w:jc w:val="left"/>
      </w:pPr>
      <w:r>
        <w:rPr>
          <w:color w:val="000000"/>
          <w:spacing w:val="0"/>
          <w:w w:val="100"/>
          <w:position w:val="0"/>
        </w:rPr>
        <w:t>参见“经营情况讨论与分析”之“一、概述”相关内容。</w:t>
      </w:r>
    </w:p>
    <w:p>
      <w:pPr>
        <w:pStyle w:val="Style52"/>
        <w:keepNext/>
        <w:keepLines/>
        <w:widowControl w:val="0"/>
        <w:shd w:val="clear" w:color="auto" w:fill="auto"/>
        <w:tabs>
          <w:tab w:pos="612" w:val="left"/>
        </w:tabs>
        <w:bidi w:val="0"/>
        <w:spacing w:before="0" w:after="160" w:line="468" w:lineRule="exact"/>
        <w:ind w:left="0" w:right="0"/>
        <w:jc w:val="left"/>
      </w:pPr>
      <w:bookmarkStart w:id="123" w:name="bookmark123"/>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rPr>
        <w:t>2</w:t>
      </w:r>
      <w:bookmarkEnd w:id="125"/>
      <w:r>
        <w:rPr>
          <w:color w:val="000000"/>
          <w:spacing w:val="0"/>
          <w:w w:val="100"/>
          <w:position w:val="0"/>
        </w:rPr>
        <w:t>、</w:t>
        <w:tab/>
        <w:t>收入与成本</w:t>
      </w:r>
      <w:bookmarkEnd w:id="123"/>
      <w:bookmarkEnd w:id="124"/>
      <w:bookmarkEnd w:id="126"/>
    </w:p>
    <w:p>
      <w:pPr>
        <w:pStyle w:val="Style52"/>
        <w:keepNext/>
        <w:keepLines/>
        <w:widowControl w:val="0"/>
        <w:shd w:val="clear" w:color="auto" w:fill="auto"/>
        <w:bidi w:val="0"/>
        <w:spacing w:before="0" w:after="360" w:line="468" w:lineRule="exact"/>
        <w:ind w:left="0" w:right="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7"/>
      <w:bookmarkEnd w:id="128"/>
      <w:bookmarkEnd w:id="130"/>
    </w:p>
    <w:p>
      <w:pPr>
        <w:pStyle w:val="Style44"/>
        <w:keepNext w:val="0"/>
        <w:keepLines w:val="0"/>
        <w:widowControl w:val="0"/>
        <w:shd w:val="clear" w:color="auto" w:fill="auto"/>
        <w:bidi w:val="0"/>
        <w:spacing w:before="0" w:after="160" w:line="240" w:lineRule="auto"/>
        <w:ind w:left="0" w:right="0" w:firstLine="220"/>
        <w:jc w:val="left"/>
      </w:pPr>
      <w:r>
        <w:rPr>
          <w:color w:val="000000"/>
          <w:spacing w:val="0"/>
          <w:w w:val="100"/>
          <w:position w:val="0"/>
        </w:rPr>
        <w:t>营业收入整体情况</w:t>
      </w:r>
    </w:p>
    <w:p>
      <w:pPr>
        <w:pStyle w:val="Style3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603"/>
        <w:gridCol w:w="3187"/>
        <w:gridCol w:w="3187"/>
        <w:gridCol w:w="1603"/>
      </w:tblGrid>
      <w:tr>
        <w:trPr>
          <w:trHeight w:val="53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sz w:val="20"/>
                <w:szCs w:val="20"/>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 xml:space="preserve">2019 </w:t>
            </w:r>
            <w:r>
              <w:rPr>
                <w:color w:val="000000"/>
                <w:spacing w:val="0"/>
                <w:w w:val="100"/>
                <w:position w:val="0"/>
                <w:sz w:val="20"/>
                <w:szCs w:val="20"/>
              </w:rPr>
              <w:t>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占营业收入比 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占营业收入比 重</w:t>
            </w:r>
          </w:p>
        </w:tc>
        <w:tc>
          <w:tcPr>
            <w:tcBorders>
              <w:top w:val="single" w:sz="4"/>
              <w:left w:val="single" w:sz="4"/>
              <w:right w:val="single" w:sz="4"/>
            </w:tcBorders>
            <w:shd w:val="clear" w:color="auto" w:fill="D3D3D3"/>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379,707,203.30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394,733,173.32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-3.81%</w:t>
            </w:r>
          </w:p>
        </w:tc>
      </w:tr>
      <w:tr>
        <w:trPr>
          <w:trHeight w:val="51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集成电路和关键 元器件等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241,581,503.74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247,870,530.71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-2.54%</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负极材料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138,125,699.56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146,862,642.61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-5.95%</w:t>
            </w:r>
          </w:p>
        </w:tc>
      </w:tr>
      <w:tr>
        <w:trPr>
          <w:trHeight w:val="51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分产品</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芯片类产品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157,322,194.70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175,348,162.65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-10.28%</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42,980,793.27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12,159,113.82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253.49%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负极材料销售及 加工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133,578,859.71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146,138,993.05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-8.59%</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45,825,355.62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61,086,903.80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-24.98%</w:t>
            </w:r>
          </w:p>
        </w:tc>
      </w:tr>
      <w:tr>
        <w:trPr>
          <w:trHeight w:val="51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分地区</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357,028,849.45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368,176,171.65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-3.03%</w:t>
            </w:r>
          </w:p>
        </w:tc>
      </w:tr>
      <w:tr>
        <w:trPr>
          <w:trHeight w:val="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22,678,353.85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26,557,001.67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-14.60%</w:t>
            </w:r>
          </w:p>
        </w:tc>
      </w:tr>
    </w:tbl>
    <w:p>
      <w:pPr>
        <w:widowControl w:val="0"/>
        <w:spacing w:after="119" w:line="1" w:lineRule="exact"/>
      </w:pPr>
    </w:p>
    <w:p>
      <w:pPr>
        <w:pStyle w:val="Style44"/>
        <w:keepNext w:val="0"/>
        <w:keepLines w:val="0"/>
        <w:widowControl w:val="0"/>
        <w:shd w:val="clear" w:color="auto" w:fill="auto"/>
        <w:bidi w:val="0"/>
        <w:spacing w:before="0" w:after="240" w:line="475" w:lineRule="exact"/>
        <w:ind w:left="160" w:right="0" w:firstLine="4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rPr>
        <w:t>13</w:t>
      </w:r>
      <w:r>
        <w:rPr>
          <w:color w:val="000000"/>
          <w:spacing w:val="0"/>
          <w:w w:val="100"/>
          <w:position w:val="0"/>
        </w:rPr>
        <w:t>号一一上市公司从事锂离子电池产 业链相关业务》的披露要求</w:t>
      </w:r>
    </w:p>
    <w:p>
      <w:pPr>
        <w:pStyle w:val="Style44"/>
        <w:keepNext w:val="0"/>
        <w:keepLines w:val="0"/>
        <w:widowControl w:val="0"/>
        <w:shd w:val="clear" w:color="auto" w:fill="auto"/>
        <w:bidi w:val="0"/>
        <w:spacing w:before="0" w:after="240" w:line="240" w:lineRule="auto"/>
        <w:ind w:left="160" w:right="0" w:firstLine="40"/>
        <w:jc w:val="left"/>
      </w:pPr>
      <w:r>
        <w:rPr>
          <w:color w:val="000000"/>
          <w:spacing w:val="0"/>
          <w:w w:val="100"/>
          <w:position w:val="0"/>
        </w:rPr>
        <w:t>报告期内上市公司从事锂离子电池产业链相关业务的海外销售收入占同期营业收入</w:t>
      </w:r>
      <w:r>
        <w:rPr>
          <w:rFonts w:ascii="Times New Roman" w:eastAsia="Times New Roman" w:hAnsi="Times New Roman" w:cs="Times New Roman"/>
          <w:color w:val="000000"/>
          <w:spacing w:val="0"/>
          <w:w w:val="100"/>
          <w:position w:val="0"/>
        </w:rPr>
        <w:t>30%</w:t>
      </w:r>
      <w:r>
        <w:rPr>
          <w:color w:val="000000"/>
          <w:spacing w:val="0"/>
          <w:w w:val="100"/>
          <w:position w:val="0"/>
        </w:rPr>
        <w:t>以上</w:t>
      </w:r>
    </w:p>
    <w:p>
      <w:pPr>
        <w:pStyle w:val="Style44"/>
        <w:keepNext w:val="0"/>
        <w:keepLines w:val="0"/>
        <w:widowControl w:val="0"/>
        <w:shd w:val="clear" w:color="auto" w:fill="auto"/>
        <w:bidi w:val="0"/>
        <w:spacing w:before="0" w:after="340" w:line="240" w:lineRule="auto"/>
        <w:ind w:left="0" w:right="0" w:firstLine="1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4"/>
        <w:keepNext w:val="0"/>
        <w:keepLines w:val="0"/>
        <w:widowControl w:val="0"/>
        <w:shd w:val="clear" w:color="auto" w:fill="auto"/>
        <w:bidi w:val="0"/>
        <w:spacing w:before="0" w:after="180" w:line="240" w:lineRule="auto"/>
        <w:ind w:left="0" w:right="0" w:firstLine="16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号——上市公司从事集成电路相关</w:t>
      </w:r>
    </w:p>
    <w:p>
      <w:pPr>
        <w:pStyle w:val="Style44"/>
        <w:keepNext w:val="0"/>
        <w:keepLines w:val="0"/>
        <w:widowControl w:val="0"/>
        <w:shd w:val="clear" w:color="auto" w:fill="auto"/>
        <w:bidi w:val="0"/>
        <w:spacing w:before="0" w:after="240" w:line="240" w:lineRule="auto"/>
        <w:ind w:left="0" w:right="0" w:firstLine="160"/>
        <w:jc w:val="left"/>
      </w:pPr>
      <w:r>
        <w:rPr>
          <w:color w:val="000000"/>
          <w:spacing w:val="0"/>
          <w:w w:val="100"/>
          <w:position w:val="0"/>
        </w:rPr>
        <w:t>业务》的披露要求</w:t>
      </w:r>
    </w:p>
    <w:p>
      <w:pPr>
        <w:pStyle w:val="Style44"/>
        <w:keepNext w:val="0"/>
        <w:keepLines w:val="0"/>
        <w:widowControl w:val="0"/>
        <w:shd w:val="clear" w:color="auto" w:fill="auto"/>
        <w:bidi w:val="0"/>
        <w:spacing w:before="0" w:after="420" w:line="240" w:lineRule="auto"/>
        <w:ind w:left="0" w:right="0" w:firstLine="160"/>
        <w:jc w:val="left"/>
      </w:pPr>
      <w:r>
        <w:rPr>
          <w:color w:val="000000"/>
          <w:spacing w:val="0"/>
          <w:w w:val="100"/>
          <w:position w:val="0"/>
        </w:rPr>
        <w:t>公司报告期内当地汇率、与公司业务相关的关税等经济政策未发生重大变化。</w:t>
      </w:r>
    </w:p>
    <w:p>
      <w:pPr>
        <w:pStyle w:val="Style52"/>
        <w:keepNext/>
        <w:keepLines/>
        <w:widowControl w:val="0"/>
        <w:shd w:val="clear" w:color="auto" w:fill="auto"/>
        <w:bidi w:val="0"/>
        <w:spacing w:before="0" w:after="340" w:line="240" w:lineRule="auto"/>
        <w:ind w:left="0" w:right="0" w:firstLine="16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31"/>
      <w:bookmarkEnd w:id="132"/>
      <w:bookmarkEnd w:id="134"/>
    </w:p>
    <w:p>
      <w:pPr>
        <w:pStyle w:val="Style44"/>
        <w:keepNext w:val="0"/>
        <w:keepLines w:val="0"/>
        <w:widowControl w:val="0"/>
        <w:shd w:val="clear" w:color="auto" w:fill="auto"/>
        <w:bidi w:val="0"/>
        <w:spacing w:before="0" w:after="180" w:line="240" w:lineRule="auto"/>
        <w:ind w:left="0" w:right="0" w:firstLine="1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570"/>
        <w:gridCol w:w="1560"/>
        <w:gridCol w:w="1699"/>
        <w:gridCol w:w="965"/>
        <w:gridCol w:w="1368"/>
        <w:gridCol w:w="1363"/>
        <w:gridCol w:w="1382"/>
      </w:tblGrid>
      <w:tr>
        <w:trPr>
          <w:trHeight w:val="104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毛利率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营业收入比 上年同期增 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营业成本比 上年同期增 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毛利率比上 年同期增减</w:t>
            </w:r>
          </w:p>
        </w:tc>
      </w:tr>
    </w:tbl>
    <w:p>
      <w:pPr>
        <w:widowControl w:val="0"/>
        <w:spacing w:line="1" w:lineRule="exact"/>
      </w:pPr>
      <w:r>
        <w:br w:type="page"/>
      </w:r>
    </w:p>
    <w:tbl>
      <w:tblPr>
        <w:tblOverlap w:val="never"/>
        <w:jc w:val="center"/>
        <w:tblLayout w:type="fixed"/>
      </w:tblPr>
      <w:tblGrid>
        <w:gridCol w:w="1570"/>
        <w:gridCol w:w="1560"/>
        <w:gridCol w:w="1699"/>
        <w:gridCol w:w="965"/>
        <w:gridCol w:w="1368"/>
        <w:gridCol w:w="1363"/>
        <w:gridCol w:w="1382"/>
      </w:tblGrid>
      <w:tr>
        <w:trPr>
          <w:trHeight w:val="52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集成电路和美 键元器件等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241,581,503.74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111,280,362.37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22.32%</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负极材料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138,125,699.56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109,098,922.28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w:t>
            </w:r>
          </w:p>
        </w:tc>
      </w:tr>
      <w:tr>
        <w:trPr>
          <w:trHeight w:val="51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分产品</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芯片类产品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157,322,194.70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85,949,867.49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10.92%</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42,980,793.27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2,431,090.45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86.71%</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负极材料销售 及加工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133,578,859.71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106,597,557.70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6.72%</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45,825,355.62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25,400,769.01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17.05%</w:t>
            </w:r>
          </w:p>
        </w:tc>
      </w:tr>
      <w:tr>
        <w:trPr>
          <w:trHeight w:val="52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分地区</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819,070.79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1,064,840.69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-34.03%</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107,952,253.98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80,882,454.43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73,858,103.58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48,546,141.84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18.60%</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127,199,010.20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72,058,227.77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10.95%</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8,825,833.58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7,385,151.74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36,172,949.02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4,037,504.69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80.76%</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2,201,628.30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1,724,449.11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-15.42%</w:t>
            </w:r>
          </w:p>
        </w:tc>
      </w:tr>
      <w:tr>
        <w:trPr>
          <w:trHeight w:val="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22,678,353.85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4,680,514.38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-67.71%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33.93%</w:t>
            </w:r>
          </w:p>
        </w:tc>
      </w:tr>
    </w:tbl>
    <w:p>
      <w:pPr>
        <w:widowControl w:val="0"/>
        <w:spacing w:after="79" w:line="1" w:lineRule="exact"/>
      </w:pPr>
    </w:p>
    <w:p>
      <w:pPr>
        <w:pStyle w:val="Style44"/>
        <w:keepNext w:val="0"/>
        <w:keepLines w:val="0"/>
        <w:widowControl w:val="0"/>
        <w:shd w:val="clear" w:color="auto" w:fill="auto"/>
        <w:bidi w:val="0"/>
        <w:spacing w:before="0" w:after="180" w:line="365" w:lineRule="exact"/>
        <w:ind w:left="500" w:right="0" w:firstLine="0"/>
        <w:jc w:val="left"/>
      </w:pPr>
      <w:r>
        <w:rPr>
          <w:color w:val="000000"/>
          <w:spacing w:val="0"/>
          <w:w w:val="100"/>
          <w:position w:val="0"/>
        </w:rPr>
        <w:t>公司主营业务数据统计口径在报告期发生调整的情况下，最近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 营业务数据</w:t>
      </w:r>
    </w:p>
    <w:p>
      <w:pPr>
        <w:pStyle w:val="Style44"/>
        <w:keepNext w:val="0"/>
        <w:keepLines w:val="0"/>
        <w:widowControl w:val="0"/>
        <w:shd w:val="clear" w:color="auto" w:fill="auto"/>
        <w:bidi w:val="0"/>
        <w:spacing w:before="0" w:after="80" w:line="326" w:lineRule="auto"/>
        <w:ind w:left="0" w:right="0" w:firstLine="5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4"/>
        <w:keepNext w:val="0"/>
        <w:keepLines w:val="0"/>
        <w:widowControl w:val="0"/>
        <w:shd w:val="clear" w:color="auto" w:fill="auto"/>
        <w:bidi w:val="0"/>
        <w:spacing w:before="0" w:after="80" w:line="322" w:lineRule="exact"/>
        <w:ind w:left="50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rPr>
        <w:t>13</w:t>
      </w:r>
      <w:r>
        <w:rPr>
          <w:color w:val="000000"/>
          <w:spacing w:val="0"/>
          <w:w w:val="100"/>
          <w:position w:val="0"/>
        </w:rPr>
        <w:t>号——上市公司从事锂离子电池产 业链相关业务》的披露要求</w:t>
      </w:r>
    </w:p>
    <w:p>
      <w:pPr>
        <w:pStyle w:val="Style3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373"/>
        <w:gridCol w:w="1464"/>
        <w:gridCol w:w="1560"/>
        <w:gridCol w:w="1368"/>
        <w:gridCol w:w="1334"/>
        <w:gridCol w:w="1402"/>
        <w:gridCol w:w="1378"/>
      </w:tblGrid>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营业收入比 上年同期增 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毛利率比上 年同期增减</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分业务</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负极材料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138,125,699.56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109,098,922.28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7.76%</w:t>
            </w:r>
          </w:p>
        </w:tc>
      </w:tr>
    </w:tbl>
    <w:p>
      <w:pPr>
        <w:widowControl w:val="0"/>
        <w:spacing w:line="1" w:lineRule="exact"/>
      </w:pPr>
      <w:r>
        <w:br w:type="page"/>
      </w:r>
    </w:p>
    <w:tbl>
      <w:tblPr>
        <w:tblOverlap w:val="never"/>
        <w:jc w:val="center"/>
        <w:tblLayout w:type="fixed"/>
      </w:tblPr>
      <w:tblGrid>
        <w:gridCol w:w="1373"/>
        <w:gridCol w:w="1464"/>
        <w:gridCol w:w="1560"/>
        <w:gridCol w:w="1368"/>
        <w:gridCol w:w="1339"/>
        <w:gridCol w:w="1397"/>
        <w:gridCol w:w="1378"/>
      </w:tblGrid>
      <w:tr>
        <w:trPr>
          <w:trHeight w:val="52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负极材料销</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售及加工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133,578,859.71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106,597,557.70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4,546,839.85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2,501,364.58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77.20%</w:t>
            </w:r>
          </w:p>
        </w:tc>
      </w:tr>
      <w:tr>
        <w:trPr>
          <w:trHeight w:val="51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分地区</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809,283.17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1,059,645.34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-35.68%</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26,545,019.76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22,756,157.30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45,152,228.23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36,608,887.29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50,492,825.55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37,400,549.05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22.08%</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7,746,867.24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6,705,018.45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5,187,289.78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2,852,356.53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21.19%</w:t>
            </w:r>
          </w:p>
        </w:tc>
      </w:tr>
      <w:tr>
        <w:trPr>
          <w:trHeight w:val="53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2,192,185.83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1,716,308.32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w:t>
            </w:r>
          </w:p>
        </w:tc>
      </w:tr>
    </w:tbl>
    <w:p>
      <w:pPr>
        <w:widowControl w:val="0"/>
        <w:spacing w:after="79" w:line="1" w:lineRule="exact"/>
      </w:pPr>
    </w:p>
    <w:p>
      <w:pPr>
        <w:pStyle w:val="Style44"/>
        <w:keepNext w:val="0"/>
        <w:keepLines w:val="0"/>
        <w:widowControl w:val="0"/>
        <w:shd w:val="clear" w:color="auto" w:fill="auto"/>
        <w:bidi w:val="0"/>
        <w:spacing w:before="0" w:after="160" w:line="312" w:lineRule="exact"/>
        <w:ind w:left="50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 的主营业务数据</w:t>
      </w:r>
    </w:p>
    <w:p>
      <w:pPr>
        <w:pStyle w:val="Style44"/>
        <w:keepNext w:val="0"/>
        <w:keepLines w:val="0"/>
        <w:widowControl w:val="0"/>
        <w:shd w:val="clear" w:color="auto" w:fill="auto"/>
        <w:bidi w:val="0"/>
        <w:spacing w:before="0" w:after="160" w:line="298" w:lineRule="auto"/>
        <w:ind w:left="0" w:right="0" w:firstLine="5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4"/>
        <w:keepNext w:val="0"/>
        <w:keepLines w:val="0"/>
        <w:widowControl w:val="0"/>
        <w:shd w:val="clear" w:color="auto" w:fill="auto"/>
        <w:bidi w:val="0"/>
        <w:spacing w:before="0" w:after="160" w:line="312" w:lineRule="exact"/>
        <w:ind w:left="0" w:right="0" w:firstLine="500"/>
        <w:jc w:val="left"/>
      </w:pPr>
      <w:r>
        <w:rPr>
          <w:color w:val="000000"/>
          <w:spacing w:val="0"/>
          <w:w w:val="100"/>
          <w:position w:val="0"/>
        </w:rPr>
        <w:t>锂离子电池产业链各环节主要产品或业务相关的关键技术或性能指标</w:t>
      </w:r>
    </w:p>
    <w:p>
      <w:pPr>
        <w:pStyle w:val="Style44"/>
        <w:keepNext w:val="0"/>
        <w:keepLines w:val="0"/>
        <w:widowControl w:val="0"/>
        <w:shd w:val="clear" w:color="auto" w:fill="auto"/>
        <w:bidi w:val="0"/>
        <w:spacing w:before="0" w:after="80" w:line="312" w:lineRule="exact"/>
        <w:ind w:left="0" w:right="0" w:firstLine="50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9"/>
        <w:gridCol w:w="1272"/>
        <w:gridCol w:w="1138"/>
        <w:gridCol w:w="1416"/>
        <w:gridCol w:w="1555"/>
        <w:gridCol w:w="2270"/>
        <w:gridCol w:w="1997"/>
      </w:tblGrid>
      <w:tr>
        <w:trPr>
          <w:trHeight w:val="6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产品型号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产品原料</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半电克容量</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mAh/g</w:t>
            </w:r>
            <w:r>
              <w:rPr>
                <w:color w:val="000000"/>
                <w:spacing w:val="0"/>
                <w:w w:val="100"/>
                <w:position w:val="0"/>
                <w:sz w:val="20"/>
                <w:szCs w:val="2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 xml:space="preserve">极片压实密度 </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 xml:space="preserve">g/cm </w:t>
            </w:r>
            <w:r>
              <w:rPr>
                <w:color w:val="000000"/>
                <w:spacing w:val="0"/>
                <w:w w:val="100"/>
                <w:position w:val="0"/>
                <w:sz w:val="20"/>
                <w:szCs w:val="20"/>
              </w:rPr>
              <w:t>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常温循环性能</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应用领域</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负极材料</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系列</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人造石墨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343-350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1.45-1.50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1C</w:t>
            </w:r>
            <w:r>
              <w:rPr>
                <w:color w:val="000000"/>
                <w:spacing w:val="0"/>
                <w:w w:val="100"/>
                <w:position w:val="0"/>
                <w:sz w:val="20"/>
                <w:szCs w:val="20"/>
              </w:rPr>
              <w:t>循环</w:t>
            </w:r>
            <w:r>
              <w:rPr>
                <w:rFonts w:ascii="Times New Roman" w:eastAsia="Times New Roman" w:hAnsi="Times New Roman" w:cs="Times New Roman"/>
                <w:color w:val="000000"/>
                <w:spacing w:val="0"/>
                <w:w w:val="100"/>
                <w:position w:val="0"/>
                <w:sz w:val="22"/>
                <w:szCs w:val="22"/>
              </w:rPr>
              <w:t>1500</w:t>
            </w:r>
            <w:r>
              <w:rPr>
                <w:color w:val="000000"/>
                <w:spacing w:val="0"/>
                <w:w w:val="100"/>
                <w:position w:val="0"/>
                <w:sz w:val="20"/>
                <w:szCs w:val="20"/>
              </w:rPr>
              <w:t>周，容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量保持率＞</w:t>
            </w: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4" w:lineRule="exact"/>
              <w:ind w:left="0" w:right="0" w:firstLine="0"/>
              <w:jc w:val="left"/>
              <w:rPr>
                <w:sz w:val="20"/>
                <w:szCs w:val="20"/>
              </w:rPr>
            </w:pPr>
            <w:r>
              <w:rPr>
                <w:color w:val="000000"/>
                <w:spacing w:val="0"/>
                <w:w w:val="100"/>
                <w:position w:val="0"/>
                <w:sz w:val="20"/>
                <w:szCs w:val="20"/>
              </w:rPr>
              <w:t>动力锂离子电池、 储能电池、电子烟、 电动工具、航模、</w:t>
            </w:r>
          </w:p>
          <w:p>
            <w:pPr>
              <w:pStyle w:val="Style2"/>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color w:val="000000"/>
                <w:spacing w:val="0"/>
                <w:w w:val="100"/>
                <w:position w:val="0"/>
              </w:rPr>
              <w:t>HEV</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负极材料</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系列</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人造石墨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2"/>
                <w:szCs w:val="22"/>
              </w:rPr>
              <w:t>N</w:t>
            </w:r>
            <w:r>
              <w:rPr>
                <w:color w:val="000000"/>
                <w:spacing w:val="0"/>
                <w:w w:val="100"/>
                <w:position w:val="0"/>
                <w:sz w:val="20"/>
                <w:szCs w:val="20"/>
              </w:rPr>
              <w:t>造石墨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1.48-1.53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1C</w:t>
            </w:r>
            <w:r>
              <w:rPr>
                <w:color w:val="000000"/>
                <w:spacing w:val="0"/>
                <w:w w:val="100"/>
                <w:position w:val="0"/>
                <w:sz w:val="20"/>
                <w:szCs w:val="20"/>
              </w:rPr>
              <w:t>循环</w:t>
            </w:r>
            <w:r>
              <w:rPr>
                <w:rFonts w:ascii="Times New Roman" w:eastAsia="Times New Roman" w:hAnsi="Times New Roman" w:cs="Times New Roman"/>
                <w:color w:val="000000"/>
                <w:spacing w:val="0"/>
                <w:w w:val="100"/>
                <w:position w:val="0"/>
              </w:rPr>
              <w:t>1000</w:t>
            </w:r>
            <w:r>
              <w:rPr>
                <w:color w:val="000000"/>
                <w:spacing w:val="0"/>
                <w:w w:val="100"/>
                <w:position w:val="0"/>
                <w:sz w:val="20"/>
                <w:szCs w:val="20"/>
              </w:rPr>
              <w:t>周，容 量保持率</w:t>
            </w:r>
            <w:r>
              <w:rPr>
                <w:rFonts w:ascii="Times New Roman" w:eastAsia="Times New Roman" w:hAnsi="Times New Roman" w:cs="Times New Roman"/>
                <w:color w:val="000000"/>
                <w:spacing w:val="0"/>
                <w:w w:val="100"/>
                <w:position w:val="0"/>
              </w:rPr>
              <w:t>93%</w:t>
            </w:r>
            <w:r>
              <w:rPr>
                <w:color w:val="000000"/>
                <w:spacing w:val="0"/>
                <w:w w:val="100"/>
                <w:position w:val="0"/>
                <w:sz w:val="20"/>
                <w:szCs w:val="20"/>
              </w:rPr>
              <w:t>以上； 循环</w:t>
            </w:r>
            <w:r>
              <w:rPr>
                <w:rFonts w:ascii="Times New Roman" w:eastAsia="Times New Roman" w:hAnsi="Times New Roman" w:cs="Times New Roman"/>
                <w:color w:val="000000"/>
                <w:spacing w:val="0"/>
                <w:w w:val="100"/>
                <w:position w:val="0"/>
              </w:rPr>
              <w:t>2000</w:t>
            </w:r>
            <w:r>
              <w:rPr>
                <w:color w:val="000000"/>
                <w:spacing w:val="0"/>
                <w:w w:val="100"/>
                <w:position w:val="0"/>
                <w:sz w:val="20"/>
                <w:szCs w:val="20"/>
              </w:rPr>
              <w:t>周，容量保 持率＞</w:t>
            </w: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20"/>
                <w:szCs w:val="20"/>
              </w:rPr>
            </w:pPr>
            <w:r>
              <w:rPr>
                <w:color w:val="000000"/>
                <w:spacing w:val="0"/>
                <w:w w:val="100"/>
                <w:position w:val="0"/>
                <w:sz w:val="20"/>
                <w:szCs w:val="20"/>
              </w:rPr>
              <w:t>长循环型锂离子电 池；动力锂离子电 池、储能电池</w:t>
            </w:r>
          </w:p>
        </w:tc>
      </w:tr>
      <w:tr>
        <w:trPr>
          <w:trHeight w:val="12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负极材料</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系列</w:t>
            </w: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 xml:space="preserve">人造石墨 </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天然石 墨复合负 极材料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354-360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1.60-1.70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1C</w:t>
            </w:r>
            <w:r>
              <w:rPr>
                <w:color w:val="000000"/>
                <w:spacing w:val="0"/>
                <w:w w:val="100"/>
                <w:position w:val="0"/>
                <w:sz w:val="20"/>
                <w:szCs w:val="20"/>
              </w:rPr>
              <w:t>循环</w:t>
            </w:r>
            <w:r>
              <w:rPr>
                <w:rFonts w:ascii="Times New Roman" w:eastAsia="Times New Roman" w:hAnsi="Times New Roman" w:cs="Times New Roman"/>
                <w:color w:val="000000"/>
                <w:spacing w:val="0"/>
                <w:w w:val="100"/>
                <w:position w:val="0"/>
              </w:rPr>
              <w:t>800</w:t>
            </w:r>
            <w:r>
              <w:rPr>
                <w:color w:val="000000"/>
                <w:spacing w:val="0"/>
                <w:w w:val="100"/>
                <w:position w:val="0"/>
                <w:sz w:val="20"/>
                <w:szCs w:val="20"/>
              </w:rPr>
              <w:t>周，容量 保持率</w:t>
            </w:r>
            <w:r>
              <w:rPr>
                <w:rFonts w:ascii="Times New Roman" w:eastAsia="Times New Roman" w:hAnsi="Times New Roman" w:cs="Times New Roman"/>
                <w:color w:val="000000"/>
                <w:spacing w:val="0"/>
                <w:w w:val="100"/>
                <w:position w:val="0"/>
              </w:rPr>
              <w:t xml:space="preserve">92% </w:t>
            </w:r>
            <w:r>
              <w:rPr>
                <w:color w:val="000000"/>
                <w:spacing w:val="0"/>
                <w:w w:val="100"/>
                <w:position w:val="0"/>
                <w:sz w:val="20"/>
                <w:szCs w:val="20"/>
              </w:rPr>
              <w:t xml:space="preserve">；循环 </w:t>
            </w:r>
            <w:r>
              <w:rPr>
                <w:rFonts w:ascii="Times New Roman" w:eastAsia="Times New Roman" w:hAnsi="Times New Roman" w:cs="Times New Roman"/>
                <w:color w:val="000000"/>
                <w:spacing w:val="0"/>
                <w:w w:val="100"/>
                <w:position w:val="0"/>
              </w:rPr>
              <w:t>2000</w:t>
            </w:r>
            <w:r>
              <w:rPr>
                <w:color w:val="000000"/>
                <w:spacing w:val="0"/>
                <w:w w:val="100"/>
                <w:position w:val="0"/>
                <w:sz w:val="20"/>
                <w:szCs w:val="20"/>
              </w:rPr>
              <w:t>周，容量保持率 ＞</w:t>
            </w:r>
            <w:r>
              <w:rPr>
                <w:rFonts w:ascii="Times New Roman" w:eastAsia="Times New Roman" w:hAnsi="Times New Roman" w:cs="Times New Roman"/>
                <w:color w:val="000000"/>
                <w:spacing w:val="0"/>
                <w:w w:val="100"/>
                <w:position w:val="0"/>
              </w:rPr>
              <w:t>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高容量数码锂离子 电池；动力锂离子 电池；方形、圆柱、 聚合物电池</w:t>
            </w:r>
          </w:p>
        </w:tc>
      </w:tr>
    </w:tbl>
    <w:p>
      <w:pPr>
        <w:widowControl w:val="0"/>
        <w:spacing w:after="279" w:line="1" w:lineRule="exact"/>
      </w:pPr>
    </w:p>
    <w:p>
      <w:pPr>
        <w:pStyle w:val="Style44"/>
        <w:keepNext w:val="0"/>
        <w:keepLines w:val="0"/>
        <w:widowControl w:val="0"/>
        <w:shd w:val="clear" w:color="auto" w:fill="auto"/>
        <w:bidi w:val="0"/>
        <w:spacing w:before="0" w:after="160" w:line="240" w:lineRule="auto"/>
        <w:ind w:left="0" w:right="0" w:firstLine="500"/>
        <w:jc w:val="left"/>
      </w:pPr>
      <w:r>
        <w:rPr>
          <w:color w:val="000000"/>
          <w:spacing w:val="0"/>
          <w:w w:val="100"/>
          <w:position w:val="0"/>
        </w:rPr>
        <w:t>占公司最近一个会计年度销售收入</w:t>
      </w:r>
      <w:r>
        <w:rPr>
          <w:rFonts w:ascii="Times New Roman" w:eastAsia="Times New Roman" w:hAnsi="Times New Roman" w:cs="Times New Roman"/>
          <w:color w:val="000000"/>
          <w:spacing w:val="0"/>
          <w:w w:val="100"/>
          <w:position w:val="0"/>
        </w:rPr>
        <w:t>30%</w:t>
      </w:r>
      <w:r>
        <w:rPr>
          <w:color w:val="000000"/>
          <w:spacing w:val="0"/>
          <w:w w:val="100"/>
          <w:position w:val="0"/>
        </w:rPr>
        <w:t>以上产品的销售均价较期初变动幅度超过</w:t>
      </w:r>
      <w:r>
        <w:rPr>
          <w:rFonts w:ascii="Times New Roman" w:eastAsia="Times New Roman" w:hAnsi="Times New Roman" w:cs="Times New Roman"/>
          <w:color w:val="000000"/>
          <w:spacing w:val="0"/>
          <w:w w:val="100"/>
          <w:position w:val="0"/>
        </w:rPr>
        <w:t>30%</w:t>
      </w:r>
      <w:r>
        <w:rPr>
          <w:color w:val="000000"/>
          <w:spacing w:val="0"/>
          <w:w w:val="100"/>
          <w:position w:val="0"/>
        </w:rPr>
        <w:t>的</w:t>
      </w:r>
    </w:p>
    <w:p>
      <w:pPr>
        <w:pStyle w:val="Style44"/>
        <w:keepNext w:val="0"/>
        <w:keepLines w:val="0"/>
        <w:widowControl w:val="0"/>
        <w:shd w:val="clear" w:color="auto" w:fill="auto"/>
        <w:bidi w:val="0"/>
        <w:spacing w:before="0" w:after="160" w:line="240" w:lineRule="auto"/>
        <w:ind w:left="0" w:right="0" w:firstLine="50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q</w:t>
      </w:r>
      <w:r>
        <w:rPr>
          <w:color w:val="000000"/>
          <w:spacing w:val="0"/>
          <w:w w:val="100"/>
          <w:position w:val="0"/>
        </w:rPr>
        <w:t>不适用</w:t>
      </w:r>
    </w:p>
    <w:p>
      <w:pPr>
        <w:pStyle w:val="Style71"/>
        <w:keepNext/>
        <w:keepLines/>
        <w:widowControl w:val="0"/>
        <w:shd w:val="clear" w:color="auto" w:fill="auto"/>
        <w:bidi w:val="0"/>
        <w:spacing w:before="0" w:after="360" w:line="240" w:lineRule="auto"/>
        <w:ind w:left="0" w:right="0"/>
        <w:jc w:val="left"/>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35"/>
      <w:bookmarkEnd w:id="136"/>
      <w:bookmarkEnd w:id="138"/>
    </w:p>
    <w:p>
      <w:pPr>
        <w:pStyle w:val="Style44"/>
        <w:keepNext w:val="0"/>
        <w:keepLines w:val="0"/>
        <w:widowControl w:val="0"/>
        <w:shd w:val="clear" w:color="auto" w:fill="auto"/>
        <w:bidi w:val="0"/>
        <w:spacing w:before="0" w:after="120" w:line="240" w:lineRule="auto"/>
        <w:ind w:left="0" w:right="0" w:firstLine="460"/>
        <w:jc w:val="left"/>
      </w:pPr>
      <w:r>
        <w:rPr>
          <w:i/>
          <w:iCs/>
          <w:color w:val="000000"/>
          <w:spacing w:val="0"/>
          <w:w w:val="100"/>
          <w:position w:val="0"/>
          <w:sz w:val="20"/>
          <w:szCs w:val="20"/>
        </w:rPr>
        <w:t>-</w:t>
      </w:r>
      <w:r>
        <w:rPr>
          <w:b/>
          <w:bCs/>
          <w:i/>
          <w:iCs/>
          <w:color w:val="000000"/>
          <w:spacing w:val="0"/>
          <w:w w:val="100"/>
          <w:position w:val="0"/>
          <w:sz w:val="50"/>
          <w:szCs w:val="50"/>
        </w:rPr>
        <w:t>是</w:t>
      </w:r>
      <w:r>
        <w:rPr>
          <w:color w:val="000000"/>
          <w:spacing w:val="0"/>
          <w:w w:val="100"/>
          <w:position w:val="0"/>
        </w:rPr>
        <w:t>口否</w:t>
      </w:r>
    </w:p>
    <w:tbl>
      <w:tblPr>
        <w:tblOverlap w:val="never"/>
        <w:jc w:val="center"/>
        <w:tblLayout w:type="fixed"/>
      </w:tblPr>
      <w:tblGrid>
        <w:gridCol w:w="1598"/>
        <w:gridCol w:w="1594"/>
        <w:gridCol w:w="1176"/>
        <w:gridCol w:w="1699"/>
        <w:gridCol w:w="1699"/>
        <w:gridCol w:w="1814"/>
      </w:tblGrid>
      <w:tr>
        <w:trPr>
          <w:trHeight w:val="52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 xml:space="preserve">2019 </w:t>
            </w:r>
            <w:r>
              <w:rPr>
                <w:color w:val="000000"/>
                <w:spacing w:val="0"/>
                <w:w w:val="100"/>
                <w:position w:val="0"/>
                <w:sz w:val="20"/>
                <w:szCs w:val="2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w:t>
            </w:r>
          </w:p>
        </w:tc>
      </w:tr>
      <w:tr>
        <w:trPr>
          <w:trHeight w:val="51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集成电路和关键 元器件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万颗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5,882.60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8,476.03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 xml:space="preserve">-30.60% </w:t>
            </w:r>
            <w:r>
              <w:rPr>
                <w:color w:val="000000"/>
                <w:spacing w:val="0"/>
                <w:w w:val="100"/>
                <w:position w:val="0"/>
                <w:sz w:val="20"/>
                <w:szCs w:val="20"/>
              </w:rPr>
              <w:t xml:space="preserve">（注 </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w:t>
            </w:r>
          </w:p>
        </w:tc>
      </w:tr>
      <w:tr>
        <w:trPr>
          <w:trHeight w:val="51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万颗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5,958.81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8,400.90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 xml:space="preserve">-29.07% </w:t>
            </w:r>
            <w:r>
              <w:rPr>
                <w:color w:val="000000"/>
                <w:spacing w:val="0"/>
                <w:w w:val="100"/>
                <w:position w:val="0"/>
                <w:sz w:val="20"/>
                <w:szCs w:val="20"/>
              </w:rPr>
              <w:t xml:space="preserve">（注 </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w:t>
            </w:r>
          </w:p>
        </w:tc>
      </w:tr>
      <w:tr>
        <w:trPr>
          <w:trHeight w:val="52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负极材料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4,212.75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2,378.02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 xml:space="preserve">77.15% </w:t>
            </w:r>
            <w:r>
              <w:rPr>
                <w:color w:val="000000"/>
                <w:spacing w:val="0"/>
                <w:w w:val="100"/>
                <w:position w:val="0"/>
                <w:sz w:val="20"/>
                <w:szCs w:val="20"/>
              </w:rPr>
              <w:t xml:space="preserve">（注 </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w:t>
            </w:r>
          </w:p>
        </w:tc>
      </w:tr>
      <w:tr>
        <w:trPr>
          <w:trHeight w:val="52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生产量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4,486.72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2,818.22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 xml:space="preserve">59.20% </w:t>
            </w:r>
            <w:r>
              <w:rPr>
                <w:color w:val="000000"/>
                <w:spacing w:val="0"/>
                <w:w w:val="100"/>
                <w:position w:val="0"/>
                <w:sz w:val="20"/>
                <w:szCs w:val="20"/>
              </w:rPr>
              <w:t xml:space="preserve">（注 </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w:t>
            </w:r>
          </w:p>
        </w:tc>
      </w:tr>
    </w:tbl>
    <w:p>
      <w:pPr>
        <w:widowControl w:val="0"/>
        <w:spacing w:after="219" w:line="1" w:lineRule="exact"/>
      </w:pPr>
    </w:p>
    <w:p>
      <w:pPr>
        <w:pStyle w:val="Style44"/>
        <w:keepNext w:val="0"/>
        <w:keepLines w:val="0"/>
        <w:widowControl w:val="0"/>
        <w:shd w:val="clear" w:color="auto" w:fill="auto"/>
        <w:bidi w:val="0"/>
        <w:spacing w:before="0" w:after="220" w:line="240" w:lineRule="auto"/>
        <w:ind w:left="0" w:right="0" w:firstLine="46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44"/>
        <w:keepNext w:val="0"/>
        <w:keepLines w:val="0"/>
        <w:widowControl w:val="0"/>
        <w:shd w:val="clear" w:color="auto" w:fill="auto"/>
        <w:bidi w:val="0"/>
        <w:spacing w:before="0" w:after="40" w:line="240" w:lineRule="auto"/>
        <w:ind w:left="0" w:right="0" w:firstLine="4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val="0"/>
        <w:keepLines w:val="0"/>
        <w:widowControl w:val="0"/>
        <w:shd w:val="clear" w:color="auto" w:fill="auto"/>
        <w:bidi w:val="0"/>
        <w:spacing w:before="0" w:after="40" w:line="470" w:lineRule="exact"/>
        <w:ind w:left="460" w:right="0" w:firstLine="50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：集成电路和关键元器件销售收入中芯片类产品较上年同期下降</w:t>
      </w:r>
      <w:r>
        <w:rPr>
          <w:rFonts w:ascii="Times New Roman" w:eastAsia="Times New Roman" w:hAnsi="Times New Roman" w:cs="Times New Roman"/>
          <w:color w:val="000000"/>
          <w:spacing w:val="0"/>
          <w:w w:val="100"/>
          <w:position w:val="0"/>
        </w:rPr>
        <w:t>10.28%</w:t>
      </w:r>
      <w:r>
        <w:rPr>
          <w:color w:val="000000"/>
          <w:spacing w:val="0"/>
          <w:w w:val="100"/>
          <w:position w:val="0"/>
        </w:rPr>
        <w:t>，销售量同比 下降</w:t>
      </w:r>
      <w:r>
        <w:rPr>
          <w:rFonts w:ascii="Times New Roman" w:eastAsia="Times New Roman" w:hAnsi="Times New Roman" w:cs="Times New Roman"/>
          <w:color w:val="000000"/>
          <w:spacing w:val="0"/>
          <w:w w:val="100"/>
          <w:position w:val="0"/>
        </w:rPr>
        <w:t>-30.60%</w:t>
      </w:r>
      <w:r>
        <w:rPr>
          <w:color w:val="000000"/>
          <w:spacing w:val="0"/>
          <w:w w:val="100"/>
          <w:position w:val="0"/>
        </w:rPr>
        <w:t>,主要是银行卡、金融终端等销售单价较低的安全主控芯片产品，经过多年发展， 市场增量持续放缓或停滞，市场竞争日益激烈，相关产品销售量出现下降；</w:t>
      </w:r>
      <w:r>
        <w:rPr>
          <w:rFonts w:ascii="Times New Roman" w:eastAsia="Times New Roman" w:hAnsi="Times New Roman" w:cs="Times New Roman"/>
          <w:color w:val="000000"/>
          <w:spacing w:val="0"/>
          <w:w w:val="100"/>
          <w:position w:val="0"/>
        </w:rPr>
        <w:t>ETC</w:t>
      </w:r>
      <w:r>
        <w:rPr>
          <w:color w:val="000000"/>
          <w:spacing w:val="0"/>
          <w:w w:val="100"/>
          <w:position w:val="0"/>
        </w:rPr>
        <w:t>模块芯片受政 策影响，出货量大幅减少。</w:t>
      </w:r>
    </w:p>
    <w:p>
      <w:pPr>
        <w:pStyle w:val="Style44"/>
        <w:keepNext w:val="0"/>
        <w:keepLines w:val="0"/>
        <w:widowControl w:val="0"/>
        <w:shd w:val="clear" w:color="auto" w:fill="auto"/>
        <w:bidi w:val="0"/>
        <w:spacing w:before="0" w:after="220" w:line="473" w:lineRule="exact"/>
        <w:ind w:left="460" w:right="0" w:firstLine="50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：销售量与生产量均只统计负极材料产品，未包括石墨化加工及辅料等。斯诺实业开发 新客户取得重大进展，多家大客户实现销售收入，负极材料销售量同比增长；随着内蒙斯诺石 墨化产线产能提升，销售量增长以及订单提前备货，生产量增长。</w:t>
      </w:r>
    </w:p>
    <w:p>
      <w:pPr>
        <w:pStyle w:val="Style71"/>
        <w:keepNext/>
        <w:keepLines/>
        <w:widowControl w:val="0"/>
        <w:shd w:val="clear" w:color="auto" w:fill="auto"/>
        <w:tabs>
          <w:tab w:pos="977" w:val="left"/>
        </w:tabs>
        <w:bidi w:val="0"/>
        <w:spacing w:before="0" w:after="120" w:line="472" w:lineRule="exact"/>
        <w:ind w:left="0" w:right="0"/>
        <w:jc w:val="left"/>
      </w:pPr>
      <w:bookmarkStart w:id="139" w:name="bookmark139"/>
      <w:bookmarkStart w:id="140" w:name="bookmark140"/>
      <w:bookmarkStart w:id="141" w:name="bookmark141"/>
      <w:bookmarkStart w:id="142" w:name="bookmark142"/>
      <w:r>
        <w:rPr>
          <w:color w:val="000000"/>
          <w:spacing w:val="0"/>
          <w:w w:val="100"/>
          <w:position w:val="0"/>
        </w:rPr>
        <w:t>（</w:t>
      </w:r>
      <w:bookmarkEnd w:id="14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39"/>
      <w:bookmarkEnd w:id="140"/>
      <w:bookmarkEnd w:id="142"/>
    </w:p>
    <w:p>
      <w:pPr>
        <w:pStyle w:val="Style44"/>
        <w:keepNext w:val="0"/>
        <w:keepLines w:val="0"/>
        <w:widowControl w:val="0"/>
        <w:shd w:val="clear" w:color="auto" w:fill="auto"/>
        <w:bidi w:val="0"/>
        <w:spacing w:before="0" w:after="120" w:line="472" w:lineRule="exact"/>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71"/>
        <w:keepNext/>
        <w:keepLines/>
        <w:widowControl w:val="0"/>
        <w:shd w:val="clear" w:color="auto" w:fill="auto"/>
        <w:tabs>
          <w:tab w:pos="977" w:val="left"/>
        </w:tabs>
        <w:bidi w:val="0"/>
        <w:spacing w:before="0" w:after="120" w:line="472" w:lineRule="exact"/>
        <w:ind w:left="0" w:right="0"/>
        <w:jc w:val="left"/>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43"/>
      <w:bookmarkEnd w:id="144"/>
      <w:bookmarkEnd w:id="146"/>
    </w:p>
    <w:p>
      <w:pPr>
        <w:pStyle w:val="Style44"/>
        <w:keepNext w:val="0"/>
        <w:keepLines w:val="0"/>
        <w:widowControl w:val="0"/>
        <w:shd w:val="clear" w:color="auto" w:fill="auto"/>
        <w:bidi w:val="0"/>
        <w:spacing w:before="0" w:after="120" w:line="472" w:lineRule="exact"/>
        <w:ind w:left="0" w:right="0" w:firstLine="460"/>
        <w:jc w:val="left"/>
      </w:pPr>
      <w:r>
        <w:rPr>
          <w:color w:val="000000"/>
          <w:spacing w:val="0"/>
          <w:w w:val="100"/>
          <w:position w:val="0"/>
        </w:rPr>
        <w:t>行业分类</w:t>
      </w:r>
    </w:p>
    <w:p>
      <w:pPr>
        <w:pStyle w:val="Style38"/>
        <w:keepNext w:val="0"/>
        <w:keepLines w:val="0"/>
        <w:widowControl w:val="0"/>
        <w:shd w:val="clear" w:color="auto" w:fill="auto"/>
        <w:bidi w:val="0"/>
        <w:spacing w:before="0" w:after="0" w:line="240" w:lineRule="auto"/>
        <w:ind w:left="8578"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1267"/>
        <w:gridCol w:w="1594"/>
        <w:gridCol w:w="1570"/>
        <w:gridCol w:w="1142"/>
        <w:gridCol w:w="1709"/>
        <w:gridCol w:w="1147"/>
        <w:gridCol w:w="1142"/>
      </w:tblGrid>
      <w:tr>
        <w:trPr>
          <w:trHeight w:val="52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sz w:val="20"/>
                <w:szCs w:val="2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 xml:space="preserve">2019 </w:t>
            </w:r>
            <w:r>
              <w:rPr>
                <w:color w:val="000000"/>
                <w:spacing w:val="0"/>
                <w:w w:val="100"/>
                <w:position w:val="0"/>
                <w:sz w:val="20"/>
                <w:szCs w:val="2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占营业成 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占营业成 本比重</w:t>
            </w:r>
          </w:p>
        </w:tc>
        <w:tc>
          <w:tcPr>
            <w:vMerge/>
            <w:tcBorders>
              <w:left w:val="single" w:sz="4"/>
              <w:right w:val="single" w:sz="4"/>
            </w:tcBorders>
            <w:shd w:val="clear" w:color="auto" w:fill="D3D3D3"/>
            <w:vAlign w:val="center"/>
          </w:tcPr>
          <w:p>
            <w:pPr/>
          </w:p>
        </w:tc>
      </w:tr>
      <w:tr>
        <w:trPr>
          <w:trHeight w:val="51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集成电路和 关键元器件 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103,760,522.74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158,425,869.50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-34.51%</w:t>
            </w:r>
          </w:p>
        </w:tc>
      </w:tr>
      <w:tr>
        <w:trPr>
          <w:trHeight w:val="5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7,519,839.63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11,066,744.92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-32.05%</w:t>
            </w:r>
          </w:p>
        </w:tc>
      </w:tr>
      <w:tr>
        <w:trPr>
          <w:trHeight w:val="53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111,280,362.37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169,492,614.42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57.09%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-34.35%</w:t>
            </w:r>
          </w:p>
        </w:tc>
      </w:tr>
    </w:tbl>
    <w:p>
      <w:pPr>
        <w:widowControl w:val="0"/>
        <w:spacing w:line="1" w:lineRule="exact"/>
      </w:pPr>
      <w:r>
        <w:br w:type="page"/>
      </w:r>
    </w:p>
    <w:tbl>
      <w:tblPr>
        <w:tblOverlap w:val="never"/>
        <w:jc w:val="center"/>
        <w:tblLayout w:type="fixed"/>
      </w:tblPr>
      <w:tblGrid>
        <w:gridCol w:w="1267"/>
        <w:gridCol w:w="1594"/>
        <w:gridCol w:w="1570"/>
        <w:gridCol w:w="1142"/>
        <w:gridCol w:w="1709"/>
        <w:gridCol w:w="1147"/>
        <w:gridCol w:w="1142"/>
      </w:tblGrid>
      <w:tr>
        <w:trPr>
          <w:trHeight w:val="64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负极材料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21,920,194.58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74,150,223.39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-70.44%</w:t>
            </w:r>
          </w:p>
        </w:tc>
      </w:tr>
      <w:tr>
        <w:trPr>
          <w:trHeight w:val="5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13,403,064.31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13,969,433.65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-4.05%</w:t>
            </w:r>
          </w:p>
        </w:tc>
      </w:tr>
      <w:tr>
        <w:trPr>
          <w:trHeight w:val="52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73,775,663.39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39,278,992.16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87.82%</w:t>
            </w:r>
          </w:p>
        </w:tc>
      </w:tr>
      <w:tr>
        <w:trPr>
          <w:trHeight w:val="52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109,098,922.28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127,398,649.20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-14.36%</w:t>
            </w:r>
          </w:p>
        </w:tc>
      </w:tr>
    </w:tbl>
    <w:p>
      <w:pPr>
        <w:widowControl w:val="0"/>
        <w:spacing w:after="399" w:line="1" w:lineRule="exact"/>
      </w:pPr>
    </w:p>
    <w:p>
      <w:pPr>
        <w:pStyle w:val="Style44"/>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产品分类</w:t>
      </w:r>
    </w:p>
    <w:p>
      <w:pPr>
        <w:pStyle w:val="Style44"/>
        <w:keepNext w:val="0"/>
        <w:keepLines w:val="0"/>
        <w:widowControl w:val="0"/>
        <w:shd w:val="clear" w:color="auto" w:fill="auto"/>
        <w:bidi w:val="0"/>
        <w:spacing w:before="0" w:after="100" w:line="240" w:lineRule="auto"/>
        <w:ind w:left="0" w:right="38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306"/>
        <w:gridCol w:w="1310"/>
        <w:gridCol w:w="1738"/>
        <w:gridCol w:w="1454"/>
        <w:gridCol w:w="1742"/>
        <w:gridCol w:w="1450"/>
        <w:gridCol w:w="1171"/>
      </w:tblGrid>
      <w:tr>
        <w:trPr>
          <w:trHeight w:val="52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sz w:val="20"/>
                <w:szCs w:val="2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 xml:space="preserve">2019 </w:t>
            </w:r>
            <w:r>
              <w:rPr>
                <w:color w:val="000000"/>
                <w:spacing w:val="0"/>
                <w:w w:val="100"/>
                <w:position w:val="0"/>
                <w:sz w:val="20"/>
                <w:szCs w:val="2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w:t>
            </w:r>
          </w:p>
        </w:tc>
      </w:tr>
      <w:tr>
        <w:trPr>
          <w:trHeight w:val="6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占营业成本 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占营业成本 比重</w:t>
            </w:r>
          </w:p>
        </w:tc>
        <w:tc>
          <w:tcPr>
            <w:vMerge/>
            <w:tcBorders>
              <w:left w:val="single" w:sz="4"/>
              <w:right w:val="single" w:sz="4"/>
            </w:tcBorders>
            <w:shd w:val="clear" w:color="auto" w:fill="D3D3D3"/>
            <w:vAlign w:val="center"/>
          </w:tcPr>
          <w:p>
            <w:pPr/>
          </w:p>
        </w:tc>
      </w:tr>
      <w:tr>
        <w:trPr>
          <w:trHeight w:val="51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芯片类产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78,430,027.86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103,881,678.28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-24.50%</w:t>
            </w:r>
          </w:p>
        </w:tc>
      </w:tr>
      <w:tr>
        <w:trPr>
          <w:trHeight w:val="52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7,519,839.63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11,061,705.32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-32.02%</w:t>
            </w:r>
          </w:p>
        </w:tc>
      </w:tr>
      <w:tr>
        <w:trPr>
          <w:trHeight w:val="51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20"/>
                <w:szCs w:val="20"/>
              </w:rPr>
              <w:t>负极材料 销售及加 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19,418,830.00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73,193,470.21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-73.47%</w:t>
            </w:r>
          </w:p>
        </w:tc>
      </w:tr>
      <w:tr>
        <w:trPr>
          <w:trHeight w:val="5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13,403,064.31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13,969,433.65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w:t>
            </w:r>
          </w:p>
        </w:tc>
      </w:tr>
      <w:tr>
        <w:trPr>
          <w:trHeight w:val="52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73,775,663.39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39,278,992.16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87.82%</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技术服务 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2,431,090.45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11,230,989.37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-78.35%</w:t>
            </w:r>
          </w:p>
        </w:tc>
      </w:tr>
      <w:tr>
        <w:trPr>
          <w:trHeight w:val="51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25,400,769.01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44,269,955.03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-42.62%</w:t>
            </w:r>
          </w:p>
        </w:tc>
      </w:tr>
      <w:tr>
        <w:trPr>
          <w:trHeight w:val="5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53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220,379,284.65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296,891,263.62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-25.77%</w:t>
            </w:r>
          </w:p>
        </w:tc>
      </w:tr>
    </w:tbl>
    <w:p>
      <w:pPr>
        <w:widowControl w:val="0"/>
        <w:spacing w:after="199" w:line="1" w:lineRule="exact"/>
      </w:pPr>
    </w:p>
    <w:p>
      <w:pPr>
        <w:pStyle w:val="Style44"/>
        <w:keepNext w:val="0"/>
        <w:keepLines w:val="0"/>
        <w:widowControl w:val="0"/>
        <w:shd w:val="clear" w:color="auto" w:fill="auto"/>
        <w:bidi w:val="0"/>
        <w:spacing w:before="0" w:after="200" w:line="240" w:lineRule="auto"/>
        <w:ind w:left="0" w:right="0" w:firstLine="38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号——上市公司从事集成电路相关</w:t>
      </w:r>
    </w:p>
    <w:p>
      <w:pPr>
        <w:pStyle w:val="Style44"/>
        <w:keepNext w:val="0"/>
        <w:keepLines w:val="0"/>
        <w:widowControl w:val="0"/>
        <w:shd w:val="clear" w:color="auto" w:fill="auto"/>
        <w:bidi w:val="0"/>
        <w:spacing w:before="0" w:after="200" w:line="240" w:lineRule="auto"/>
        <w:ind w:left="0" w:right="0" w:firstLine="380"/>
        <w:jc w:val="left"/>
      </w:pPr>
      <w:r>
        <w:rPr>
          <w:color w:val="000000"/>
          <w:spacing w:val="0"/>
          <w:w w:val="100"/>
          <w:position w:val="0"/>
        </w:rPr>
        <w:t>业务》的披露要求产品的产销情况</w:t>
      </w:r>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826"/>
        <w:gridCol w:w="1416"/>
        <w:gridCol w:w="1450"/>
        <w:gridCol w:w="706"/>
        <w:gridCol w:w="1560"/>
        <w:gridCol w:w="1560"/>
        <w:gridCol w:w="566"/>
        <w:gridCol w:w="850"/>
        <w:gridCol w:w="850"/>
        <w:gridCol w:w="57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5" w:lineRule="exact"/>
              <w:ind w:left="0" w:right="0" w:firstLine="0"/>
              <w:jc w:val="center"/>
              <w:rPr>
                <w:sz w:val="20"/>
                <w:szCs w:val="20"/>
              </w:rPr>
            </w:pPr>
            <w:r>
              <w:rPr>
                <w:color w:val="000000"/>
                <w:spacing w:val="0"/>
                <w:w w:val="100"/>
                <w:position w:val="0"/>
                <w:sz w:val="20"/>
                <w:szCs w:val="20"/>
              </w:rPr>
              <w:t>产品 名称</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sz w:val="20"/>
                <w:szCs w:val="20"/>
              </w:rPr>
              <w:t>年</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 xml:space="preserve">2019 </w:t>
            </w:r>
            <w:r>
              <w:rPr>
                <w:color w:val="000000"/>
                <w:spacing w:val="0"/>
                <w:w w:val="100"/>
                <w:position w:val="0"/>
                <w:sz w:val="20"/>
                <w:szCs w:val="20"/>
              </w:rPr>
              <w:t>年</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产能 利用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产能 利用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rPr>
                <w:sz w:val="20"/>
                <w:szCs w:val="20"/>
              </w:rPr>
            </w:pPr>
            <w:r>
              <w:rPr>
                <w:color w:val="000000"/>
                <w:spacing w:val="0"/>
                <w:w w:val="100"/>
                <w:position w:val="0"/>
                <w:sz w:val="20"/>
                <w:szCs w:val="20"/>
              </w:rPr>
              <w:t>营业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20"/>
                <w:szCs w:val="20"/>
              </w:rPr>
            </w:pPr>
            <w:r>
              <w:rPr>
                <w:color w:val="000000"/>
                <w:spacing w:val="0"/>
                <w:w w:val="100"/>
                <w:position w:val="0"/>
                <w:sz w:val="20"/>
                <w:szCs w:val="20"/>
              </w:rPr>
              <w:t>销售</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产能 利用 率</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芯片类</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85,949,867.49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157,322,194.70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114,943,383.60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175,348,162.65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w:t>
            </w:r>
          </w:p>
        </w:tc>
      </w:tr>
    </w:tbl>
    <w:p>
      <w:pPr>
        <w:widowControl w:val="0"/>
        <w:spacing w:after="399" w:line="1" w:lineRule="exact"/>
      </w:pPr>
    </w:p>
    <w:p>
      <w:pPr>
        <w:pStyle w:val="Style44"/>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主营业务成本构成</w:t>
      </w:r>
    </w:p>
    <w:p>
      <w:pPr>
        <w:pStyle w:val="Style44"/>
        <w:keepNext w:val="0"/>
        <w:keepLines w:val="0"/>
        <w:widowControl w:val="0"/>
        <w:shd w:val="clear" w:color="auto" w:fill="auto"/>
        <w:bidi w:val="0"/>
        <w:spacing w:before="0" w:after="200" w:line="240" w:lineRule="auto"/>
        <w:ind w:left="0" w:right="38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709"/>
        <w:gridCol w:w="1699"/>
        <w:gridCol w:w="1699"/>
        <w:gridCol w:w="994"/>
        <w:gridCol w:w="1560"/>
        <w:gridCol w:w="1277"/>
        <w:gridCol w:w="1426"/>
      </w:tblGrid>
      <w:tr>
        <w:trPr>
          <w:trHeight w:val="52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产品名称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sz w:val="20"/>
                <w:szCs w:val="2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 xml:space="preserve">2019 </w:t>
            </w:r>
            <w:r>
              <w:rPr>
                <w:color w:val="000000"/>
                <w:spacing w:val="0"/>
                <w:w w:val="100"/>
                <w:position w:val="0"/>
                <w:sz w:val="20"/>
                <w:szCs w:val="2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占营业成 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占营业成本 比重</w:t>
            </w:r>
          </w:p>
        </w:tc>
        <w:tc>
          <w:tcPr>
            <w:vMerge/>
            <w:tcBorders>
              <w:left w:val="single" w:sz="4"/>
              <w:right w:val="single" w:sz="4"/>
            </w:tcBorders>
            <w:shd w:val="clear" w:color="auto" w:fill="D3D3D3"/>
            <w:vAlign w:val="center"/>
          </w:tcPr>
          <w:p>
            <w:pPr/>
          </w:p>
        </w:tc>
      </w:tr>
      <w:tr>
        <w:trPr>
          <w:trHeight w:val="51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集成电路和关键 元器件等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101,360,342.45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156,144,047.20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-35.09%</w:t>
            </w:r>
          </w:p>
        </w:tc>
      </w:tr>
      <w:tr>
        <w:trPr>
          <w:trHeight w:val="5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7,519,839.63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11,066,744.92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-32.05%</w:t>
            </w:r>
          </w:p>
        </w:tc>
      </w:tr>
      <w:tr>
        <w:trPr>
          <w:trHeight w:val="52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负极材料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19,418,830.00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73,193,470.21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-73.47%</w:t>
            </w:r>
          </w:p>
        </w:tc>
      </w:tr>
      <w:tr>
        <w:trPr>
          <w:trHeight w:val="5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13,403,064.31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13,969,433.65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-4.05%</w:t>
            </w:r>
          </w:p>
        </w:tc>
      </w:tr>
      <w:tr>
        <w:trPr>
          <w:trHeight w:val="52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制造费用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73,775,663.39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39,278,992.16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87.82%</w:t>
            </w:r>
          </w:p>
        </w:tc>
      </w:tr>
    </w:tbl>
    <w:p>
      <w:pPr>
        <w:pStyle w:val="Style44"/>
        <w:keepNext w:val="0"/>
        <w:keepLines w:val="0"/>
        <w:widowControl w:val="0"/>
        <w:shd w:val="clear" w:color="auto" w:fill="auto"/>
        <w:bidi w:val="0"/>
        <w:spacing w:before="0" w:after="0" w:line="446" w:lineRule="exact"/>
        <w:ind w:left="460" w:right="0" w:firstLine="0"/>
        <w:jc w:val="left"/>
      </w:pPr>
      <w:r>
        <w:rPr>
          <w:color w:val="000000"/>
          <w:spacing w:val="0"/>
          <w:w w:val="100"/>
          <w:position w:val="0"/>
        </w:rPr>
        <w:t>同比变化</w:t>
      </w:r>
      <w:r>
        <w:rPr>
          <w:rFonts w:ascii="Times New Roman" w:eastAsia="Times New Roman" w:hAnsi="Times New Roman" w:cs="Times New Roman"/>
          <w:color w:val="000000"/>
          <w:spacing w:val="0"/>
          <w:w w:val="100"/>
          <w:position w:val="0"/>
        </w:rPr>
        <w:t>30%</w:t>
      </w:r>
      <w:r>
        <w:rPr>
          <w:color w:val="000000"/>
          <w:spacing w:val="0"/>
          <w:w w:val="100"/>
          <w:position w:val="0"/>
        </w:rPr>
        <w:t xml:space="preserve">以上 </w:t>
      </w:r>
      <w:r>
        <w:rPr>
          <w:rFonts w:ascii="Times New Roman" w:eastAsia="Times New Roman" w:hAnsi="Times New Roman" w:cs="Times New Roman"/>
          <w:color w:val="000000"/>
          <w:spacing w:val="0"/>
          <w:w w:val="100"/>
          <w:position w:val="0"/>
          <w:sz w:val="20"/>
          <w:szCs w:val="2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val="0"/>
        <w:keepLines w:val="0"/>
        <w:widowControl w:val="0"/>
        <w:shd w:val="clear" w:color="auto" w:fill="auto"/>
        <w:bidi w:val="0"/>
        <w:spacing w:before="0" w:after="100" w:line="472" w:lineRule="exact"/>
        <w:ind w:left="460" w:right="0" w:firstLine="460"/>
        <w:jc w:val="both"/>
      </w:pPr>
      <w:r>
        <w:rPr>
          <w:color w:val="000000"/>
          <w:spacing w:val="0"/>
          <w:w w:val="100"/>
          <w:position w:val="0"/>
        </w:rPr>
        <w:t>集成电路和关键元器件等直接材料同比下降</w:t>
      </w:r>
      <w:r>
        <w:rPr>
          <w:rFonts w:ascii="Times New Roman" w:eastAsia="Times New Roman" w:hAnsi="Times New Roman" w:cs="Times New Roman"/>
          <w:color w:val="000000"/>
          <w:spacing w:val="0"/>
          <w:w w:val="100"/>
          <w:position w:val="0"/>
        </w:rPr>
        <w:t>35.09%</w:t>
      </w:r>
      <w:r>
        <w:rPr>
          <w:color w:val="000000"/>
          <w:spacing w:val="0"/>
          <w:w w:val="100"/>
          <w:position w:val="0"/>
        </w:rPr>
        <w:t>,制造费用同比下降</w:t>
      </w:r>
      <w:r>
        <w:rPr>
          <w:rFonts w:ascii="Times New Roman" w:eastAsia="Times New Roman" w:hAnsi="Times New Roman" w:cs="Times New Roman"/>
          <w:color w:val="000000"/>
          <w:spacing w:val="0"/>
          <w:w w:val="100"/>
          <w:position w:val="0"/>
        </w:rPr>
        <w:t>32.05%</w:t>
      </w:r>
      <w:r>
        <w:rPr>
          <w:color w:val="000000"/>
          <w:spacing w:val="0"/>
          <w:w w:val="100"/>
          <w:position w:val="0"/>
        </w:rPr>
        <w:t>,主要是银 行卡、金融终端等安全主控芯片产品，经过多年发展，市场增量持续放缓或停滞，市场竞争日 益激烈，相关产品销售量出现下降；</w:t>
      </w:r>
      <w:r>
        <w:rPr>
          <w:rFonts w:ascii="Times New Roman" w:eastAsia="Times New Roman" w:hAnsi="Times New Roman" w:cs="Times New Roman"/>
          <w:color w:val="000000"/>
          <w:spacing w:val="0"/>
          <w:w w:val="100"/>
          <w:position w:val="0"/>
        </w:rPr>
        <w:t>ETC</w:t>
      </w:r>
      <w:r>
        <w:rPr>
          <w:color w:val="000000"/>
          <w:spacing w:val="0"/>
          <w:w w:val="100"/>
          <w:position w:val="0"/>
        </w:rPr>
        <w:t>模块芯片受政策影响，出货量大幅减少。主营业务成 本随着销量下降而下降。</w:t>
      </w:r>
    </w:p>
    <w:p>
      <w:pPr>
        <w:pStyle w:val="Style44"/>
        <w:keepNext w:val="0"/>
        <w:keepLines w:val="0"/>
        <w:widowControl w:val="0"/>
        <w:shd w:val="clear" w:color="auto" w:fill="auto"/>
        <w:bidi w:val="0"/>
        <w:spacing w:before="0" w:after="180" w:line="470" w:lineRule="exact"/>
        <w:ind w:left="460" w:right="0" w:firstLine="460"/>
        <w:jc w:val="both"/>
      </w:pPr>
      <w:r>
        <w:rPr>
          <w:color w:val="000000"/>
          <w:spacing w:val="0"/>
          <w:w w:val="100"/>
          <w:position w:val="0"/>
        </w:rPr>
        <w:t>负极材料的直接材料同比下降</w:t>
      </w:r>
      <w:r>
        <w:rPr>
          <w:rFonts w:ascii="Times New Roman" w:eastAsia="Times New Roman" w:hAnsi="Times New Roman" w:cs="Times New Roman"/>
          <w:color w:val="000000"/>
          <w:spacing w:val="0"/>
          <w:w w:val="100"/>
          <w:position w:val="0"/>
        </w:rPr>
        <w:t>73.47%</w:t>
      </w:r>
      <w:r>
        <w:rPr>
          <w:color w:val="000000"/>
          <w:spacing w:val="0"/>
          <w:w w:val="100"/>
          <w:position w:val="0"/>
        </w:rPr>
        <w:t>，制造费用同比增长</w:t>
      </w:r>
      <w:r>
        <w:rPr>
          <w:rFonts w:ascii="Times New Roman" w:eastAsia="Times New Roman" w:hAnsi="Times New Roman" w:cs="Times New Roman"/>
          <w:color w:val="000000"/>
          <w:spacing w:val="0"/>
          <w:w w:val="100"/>
          <w:position w:val="0"/>
        </w:rPr>
        <w:t>87.82%</w:t>
      </w:r>
      <w:r>
        <w:rPr>
          <w:color w:val="000000"/>
          <w:spacing w:val="0"/>
          <w:w w:val="100"/>
          <w:position w:val="0"/>
        </w:rPr>
        <w:t>，主要是：内蒙斯诺石墨 化量产，负极材料由以前的委外加工变为自加工，成本结构发生变化；内蒙斯诺在满足自身石 墨化需求的情况下，利用富余产能对外提供石墨化加工服务，对外石墨化加工收入增加，相关 的成本主要为制造费用。</w:t>
      </w:r>
    </w:p>
    <w:p>
      <w:pPr>
        <w:pStyle w:val="Style71"/>
        <w:keepNext/>
        <w:keepLines/>
        <w:widowControl w:val="0"/>
        <w:shd w:val="clear" w:color="auto" w:fill="auto"/>
        <w:tabs>
          <w:tab w:pos="1097" w:val="left"/>
        </w:tabs>
        <w:bidi w:val="0"/>
        <w:spacing w:before="0" w:after="0" w:line="480" w:lineRule="exact"/>
        <w:ind w:left="460" w:right="0" w:firstLine="0"/>
        <w:jc w:val="left"/>
      </w:pPr>
      <w:bookmarkStart w:id="147" w:name="bookmark147"/>
      <w:bookmarkStart w:id="148" w:name="bookmark148"/>
      <w:bookmarkStart w:id="149" w:name="bookmark149"/>
      <w:bookmarkStart w:id="150" w:name="bookmark150"/>
      <w:r>
        <w:rPr>
          <w:color w:val="000000"/>
          <w:spacing w:val="0"/>
          <w:w w:val="100"/>
          <w:position w:val="0"/>
        </w:rPr>
        <w:t>（</w:t>
      </w:r>
      <w:bookmarkEnd w:id="149"/>
      <w:r>
        <w:rPr>
          <w:rFonts w:ascii="Times New Roman" w:eastAsia="Times New Roman" w:hAnsi="Times New Roman" w:cs="Times New Roman"/>
          <w:color w:val="000000"/>
          <w:spacing w:val="0"/>
          <w:w w:val="100"/>
          <w:position w:val="0"/>
        </w:rPr>
        <w:t>6</w:t>
      </w:r>
      <w:r>
        <w:rPr>
          <w:color w:val="000000"/>
          <w:spacing w:val="0"/>
          <w:w w:val="100"/>
          <w:position w:val="0"/>
        </w:rPr>
        <w:t>）</w:t>
        <w:tab/>
        <w:t xml:space="preserve">报告期内合并范围是否发生变动 </w:t>
      </w:r>
      <w:r>
        <w:rPr>
          <w:b w:val="0"/>
          <w:bCs w:val="0"/>
          <w:color w:val="000000"/>
          <w:spacing w:val="0"/>
          <w:w w:val="100"/>
          <w:position w:val="0"/>
        </w:rPr>
        <w:t>寸</w:t>
      </w:r>
      <w:r>
        <w:rPr>
          <w:b w:val="0"/>
          <w:bCs w:val="0"/>
          <w:color w:val="000000"/>
          <w:spacing w:val="0"/>
          <w:w w:val="100"/>
          <w:position w:val="0"/>
        </w:rPr>
        <w:t>是</w:t>
      </w:r>
      <w:r>
        <w:rPr>
          <w:b w:val="0"/>
          <w:bCs w:val="0"/>
          <w:color w:val="000000"/>
          <w:spacing w:val="0"/>
          <w:w w:val="100"/>
          <w:position w:val="0"/>
        </w:rPr>
        <w:t>口</w:t>
      </w:r>
      <w:r>
        <w:rPr>
          <w:b w:val="0"/>
          <w:bCs w:val="0"/>
          <w:color w:val="000000"/>
          <w:spacing w:val="0"/>
          <w:w w:val="100"/>
          <w:position w:val="0"/>
        </w:rPr>
        <w:t>否</w:t>
      </w:r>
      <w:bookmarkEnd w:id="147"/>
      <w:bookmarkEnd w:id="148"/>
      <w:bookmarkEnd w:id="150"/>
    </w:p>
    <w:p>
      <w:pPr>
        <w:pStyle w:val="Style44"/>
        <w:keepNext w:val="0"/>
        <w:keepLines w:val="0"/>
        <w:widowControl w:val="0"/>
        <w:shd w:val="clear" w:color="auto" w:fill="auto"/>
        <w:bidi w:val="0"/>
        <w:spacing w:before="0" w:after="180" w:line="480" w:lineRule="exact"/>
        <w:ind w:left="460" w:right="0" w:firstLine="460"/>
        <w:jc w:val="both"/>
      </w:pPr>
      <w:r>
        <w:rPr>
          <w:color w:val="000000"/>
          <w:spacing w:val="0"/>
          <w:w w:val="100"/>
          <w:position w:val="0"/>
        </w:rPr>
        <w:t>本公司本年度合并范围比上年度增加</w:t>
      </w:r>
      <w:r>
        <w:rPr>
          <w:rFonts w:ascii="Times New Roman" w:eastAsia="Times New Roman" w:hAnsi="Times New Roman" w:cs="Times New Roman"/>
          <w:color w:val="000000"/>
          <w:spacing w:val="0"/>
          <w:w w:val="100"/>
          <w:position w:val="0"/>
        </w:rPr>
        <w:t>1</w:t>
      </w:r>
      <w:r>
        <w:rPr>
          <w:color w:val="000000"/>
          <w:spacing w:val="0"/>
          <w:w w:val="100"/>
          <w:position w:val="0"/>
        </w:rPr>
        <w:t>户，是国民科技（深圳）有限公司于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r>
        <w:rPr>
          <w:color w:val="000000"/>
          <w:spacing w:val="0"/>
          <w:w w:val="100"/>
          <w:position w:val="0"/>
        </w:rPr>
        <w:t>日成立全资子公司民昇智能（深圳）有限公司。</w:t>
      </w:r>
    </w:p>
    <w:p>
      <w:pPr>
        <w:pStyle w:val="Style71"/>
        <w:keepNext/>
        <w:keepLines/>
        <w:widowControl w:val="0"/>
        <w:shd w:val="clear" w:color="auto" w:fill="auto"/>
        <w:tabs>
          <w:tab w:pos="977" w:val="left"/>
        </w:tabs>
        <w:bidi w:val="0"/>
        <w:spacing w:before="0" w:after="380"/>
        <w:ind w:left="0" w:right="0"/>
        <w:jc w:val="left"/>
      </w:pPr>
      <w:bookmarkStart w:id="151" w:name="bookmark151"/>
      <w:bookmarkStart w:id="152" w:name="bookmark152"/>
      <w:bookmarkStart w:id="153" w:name="bookmark153"/>
      <w:bookmarkStart w:id="154" w:name="bookmark154"/>
      <w:r>
        <w:rPr>
          <w:color w:val="000000"/>
          <w:spacing w:val="0"/>
          <w:w w:val="100"/>
          <w:position w:val="0"/>
        </w:rPr>
        <w:t>（</w:t>
      </w:r>
      <w:bookmarkEnd w:id="153"/>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1"/>
      <w:bookmarkEnd w:id="152"/>
      <w:bookmarkEnd w:id="154"/>
    </w:p>
    <w:p>
      <w:pPr>
        <w:pStyle w:val="Style44"/>
        <w:keepNext w:val="0"/>
        <w:keepLines w:val="0"/>
        <w:widowControl w:val="0"/>
        <w:shd w:val="clear" w:color="auto" w:fill="auto"/>
        <w:bidi w:val="0"/>
        <w:spacing w:before="0" w:after="0" w:line="492"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不适用</w:t>
      </w:r>
    </w:p>
    <w:p>
      <w:pPr>
        <w:pStyle w:val="Style71"/>
        <w:keepNext/>
        <w:keepLines/>
        <w:widowControl w:val="0"/>
        <w:shd w:val="clear" w:color="auto" w:fill="auto"/>
        <w:tabs>
          <w:tab w:pos="977" w:val="left"/>
        </w:tabs>
        <w:bidi w:val="0"/>
        <w:spacing w:before="0" w:after="180"/>
        <w:ind w:left="0" w:right="0"/>
        <w:jc w:val="left"/>
      </w:pPr>
      <w:bookmarkStart w:id="155" w:name="bookmark155"/>
      <w:bookmarkStart w:id="156" w:name="bookmark156"/>
      <w:bookmarkStart w:id="157" w:name="bookmark157"/>
      <w:bookmarkStart w:id="158" w:name="bookmark158"/>
      <w:r>
        <w:rPr>
          <w:color w:val="000000"/>
          <w:spacing w:val="0"/>
          <w:w w:val="100"/>
          <w:position w:val="0"/>
        </w:rPr>
        <w:t>（</w:t>
      </w:r>
      <w:bookmarkEnd w:id="15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5"/>
      <w:bookmarkEnd w:id="156"/>
      <w:bookmarkEnd w:id="158"/>
    </w:p>
    <w:p>
      <w:pPr>
        <w:pStyle w:val="Style44"/>
        <w:keepNext w:val="0"/>
        <w:keepLines w:val="0"/>
        <w:widowControl w:val="0"/>
        <w:shd w:val="clear" w:color="auto" w:fill="auto"/>
        <w:bidi w:val="0"/>
        <w:spacing w:before="0" w:after="180" w:line="472" w:lineRule="exact"/>
        <w:ind w:left="0" w:right="0" w:firstLine="460"/>
        <w:jc w:val="left"/>
      </w:pPr>
      <w:r>
        <w:rPr>
          <w:color w:val="000000"/>
          <w:spacing w:val="0"/>
          <w:w w:val="100"/>
          <w:position w:val="0"/>
        </w:rPr>
        <w:t>公司主要销售客户情况</w:t>
      </w:r>
    </w:p>
    <w:tbl>
      <w:tblPr>
        <w:tblOverlap w:val="never"/>
        <w:jc w:val="center"/>
        <w:tblLayout w:type="fixed"/>
      </w:tblPr>
      <w:tblGrid>
        <w:gridCol w:w="5501"/>
        <w:gridCol w:w="4080"/>
      </w:tblGrid>
      <w:tr>
        <w:trPr>
          <w:trHeight w:val="53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前五名客户合计销售金额（元）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106,557,371.26</w:t>
            </w:r>
          </w:p>
        </w:tc>
      </w:tr>
    </w:tbl>
    <w:p>
      <w:pPr>
        <w:widowControl w:val="0"/>
        <w:spacing w:line="1" w:lineRule="exact"/>
      </w:pPr>
      <w:r>
        <w:br w:type="page"/>
      </w:r>
    </w:p>
    <w:tbl>
      <w:tblPr>
        <w:tblOverlap w:val="never"/>
        <w:jc w:val="center"/>
        <w:tblLayout w:type="fixed"/>
      </w:tblPr>
      <w:tblGrid>
        <w:gridCol w:w="5501"/>
        <w:gridCol w:w="4080"/>
      </w:tblGrid>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28.08%</w:t>
            </w:r>
          </w:p>
        </w:tc>
      </w:tr>
      <w:tr>
        <w:trPr>
          <w:trHeight w:val="52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159" w:line="1" w:lineRule="exact"/>
      </w:pPr>
    </w:p>
    <w:p>
      <w:pPr>
        <w:pStyle w:val="Style44"/>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18"/>
        <w:gridCol w:w="3154"/>
      </w:tblGrid>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占年度销售总额比例（</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29,333,962.34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7.73</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26,146,282.17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6.89</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18,520,460.98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4.88</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18,511,533.40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4.88</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14,045,132.37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3.70</w:t>
            </w:r>
          </w:p>
        </w:tc>
      </w:tr>
      <w:tr>
        <w:trPr>
          <w:trHeight w:val="52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106,557,371.26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28.08</w:t>
            </w:r>
          </w:p>
        </w:tc>
      </w:tr>
    </w:tbl>
    <w:p>
      <w:pPr>
        <w:widowControl w:val="0"/>
        <w:spacing w:after="159" w:line="1" w:lineRule="exact"/>
      </w:pPr>
    </w:p>
    <w:p>
      <w:pPr>
        <w:pStyle w:val="Style44"/>
        <w:keepNext w:val="0"/>
        <w:keepLines w:val="0"/>
        <w:widowControl w:val="0"/>
        <w:shd w:val="clear" w:color="auto" w:fill="auto"/>
        <w:bidi w:val="0"/>
        <w:spacing w:before="0" w:after="200" w:line="240" w:lineRule="auto"/>
        <w:ind w:left="0" w:right="0" w:firstLine="460"/>
        <w:jc w:val="left"/>
      </w:pPr>
      <w:r>
        <w:rPr>
          <w:color w:val="000000"/>
          <w:spacing w:val="0"/>
          <w:w w:val="100"/>
          <w:position w:val="0"/>
        </w:rPr>
        <w:t>主要客户其他情况说明</w:t>
      </w:r>
    </w:p>
    <w:p>
      <w:pPr>
        <w:pStyle w:val="Style44"/>
        <w:keepNext w:val="0"/>
        <w:keepLines w:val="0"/>
        <w:widowControl w:val="0"/>
        <w:shd w:val="clear" w:color="auto" w:fill="auto"/>
        <w:bidi w:val="0"/>
        <w:spacing w:before="0" w:after="300" w:line="240" w:lineRule="auto"/>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q</w:t>
      </w:r>
      <w:r>
        <w:rPr>
          <w:color w:val="000000"/>
          <w:spacing w:val="0"/>
          <w:w w:val="100"/>
          <w:position w:val="0"/>
        </w:rPr>
        <w:t>不适用</w:t>
      </w:r>
    </w:p>
    <w:p>
      <w:pPr>
        <w:pStyle w:val="Style44"/>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公司主要供应商情况</w:t>
      </w:r>
    </w:p>
    <w:tbl>
      <w:tblPr>
        <w:tblOverlap w:val="never"/>
        <w:jc w:val="center"/>
        <w:tblLayout w:type="fixed"/>
      </w:tblPr>
      <w:tblGrid>
        <w:gridCol w:w="5501"/>
        <w:gridCol w:w="4080"/>
      </w:tblGrid>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112,636,401.29</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51.12%</w:t>
            </w:r>
          </w:p>
        </w:tc>
      </w:tr>
      <w:tr>
        <w:trPr>
          <w:trHeight w:val="81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65" w:lineRule="exact"/>
              <w:ind w:left="0" w:right="0" w:firstLine="0"/>
              <w:jc w:val="left"/>
              <w:rPr>
                <w:sz w:val="20"/>
                <w:szCs w:val="20"/>
              </w:rPr>
            </w:pPr>
            <w:r>
              <w:rPr>
                <w:color w:val="000000"/>
                <w:spacing w:val="0"/>
                <w:w w:val="100"/>
                <w:position w:val="0"/>
                <w:sz w:val="20"/>
                <w:szCs w:val="20"/>
              </w:rPr>
              <w:t>前五名供应商采购额中关联方采购额占年度采购总额比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159" w:line="1" w:lineRule="exact"/>
      </w:pPr>
    </w:p>
    <w:p>
      <w:pPr>
        <w:pStyle w:val="Style44"/>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3168"/>
        <w:gridCol w:w="2808"/>
        <w:gridCol w:w="2563"/>
      </w:tblGrid>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占年度采购总额比例（</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49,162,091.54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22.31</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29,081,819.65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13.20</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11,943,534.41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5.42</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11,871,592.86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5.39</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10,577,362.83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4.80</w:t>
            </w:r>
          </w:p>
        </w:tc>
      </w:tr>
      <w:tr>
        <w:trPr>
          <w:trHeight w:val="52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112,636,401.29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51.12</w:t>
            </w:r>
          </w:p>
        </w:tc>
      </w:tr>
    </w:tbl>
    <w:p>
      <w:pPr>
        <w:widowControl w:val="0"/>
        <w:spacing w:after="59" w:line="1" w:lineRule="exact"/>
      </w:pPr>
    </w:p>
    <w:p>
      <w:pPr>
        <w:pStyle w:val="Style44"/>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主要供应商其他情况说明</w:t>
      </w:r>
    </w:p>
    <w:p>
      <w:pPr>
        <w:pStyle w:val="Style44"/>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w:t>
      </w:r>
      <w:r>
        <w:rPr>
          <w:color w:val="000000"/>
          <w:spacing w:val="0"/>
          <w:w w:val="100"/>
          <w:position w:val="0"/>
        </w:rPr>
        <w:t>适用</w:t>
      </w:r>
      <w:r>
        <w:rPr>
          <w:i/>
          <w:iCs/>
          <w:color w:val="000000"/>
          <w:spacing w:val="0"/>
          <w:w w:val="100"/>
          <w:position w:val="0"/>
          <w:sz w:val="20"/>
          <w:szCs w:val="20"/>
        </w:rPr>
        <w:t>q</w:t>
      </w:r>
      <w:r>
        <w:rPr>
          <w:color w:val="000000"/>
          <w:spacing w:val="0"/>
          <w:w w:val="100"/>
          <w:position w:val="0"/>
        </w:rPr>
        <w:t>不适用</w:t>
      </w:r>
    </w:p>
    <w:p>
      <w:pPr>
        <w:pStyle w:val="Style52"/>
        <w:keepNext/>
        <w:keepLines/>
        <w:widowControl w:val="0"/>
        <w:shd w:val="clear" w:color="auto" w:fill="auto"/>
        <w:bidi w:val="0"/>
        <w:spacing w:before="0" w:after="360" w:line="240" w:lineRule="auto"/>
        <w:ind w:left="0" w:right="0" w:firstLine="44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3</w:t>
      </w:r>
      <w:bookmarkEnd w:id="161"/>
      <w:r>
        <w:rPr>
          <w:color w:val="000000"/>
          <w:spacing w:val="0"/>
          <w:w w:val="100"/>
          <w:position w:val="0"/>
        </w:rPr>
        <w:t>、费用</w:t>
      </w:r>
      <w:bookmarkEnd w:id="159"/>
      <w:bookmarkEnd w:id="160"/>
      <w:bookmarkEnd w:id="162"/>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531"/>
        <w:gridCol w:w="1637"/>
        <w:gridCol w:w="1637"/>
        <w:gridCol w:w="1459"/>
        <w:gridCol w:w="3072"/>
      </w:tblGrid>
      <w:tr>
        <w:trPr>
          <w:trHeight w:val="52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 xml:space="preserve">2019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重大变动说明</w:t>
            </w:r>
          </w:p>
        </w:tc>
      </w:tr>
      <w:tr>
        <w:trPr>
          <w:trHeight w:val="15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31,352,619.82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49,870,992.65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58" w:lineRule="exact"/>
              <w:ind w:left="0" w:right="0" w:firstLine="0"/>
              <w:jc w:val="both"/>
              <w:rPr>
                <w:sz w:val="20"/>
                <w:szCs w:val="20"/>
              </w:rPr>
            </w:pPr>
            <w:r>
              <w:rPr>
                <w:color w:val="000000"/>
                <w:spacing w:val="0"/>
                <w:w w:val="100"/>
                <w:position w:val="0"/>
                <w:sz w:val="20"/>
                <w:szCs w:val="20"/>
              </w:rPr>
              <w:t>一方面是公司节约销售费用支 出。另一方面是按照新收入准 则，与销售合同履约有关的运输 费调整至营业成本。</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66,662,040.79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102,247,886.78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主要是公司节约管理费用支出。</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132,504,869.90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131,728,181.73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0.59%</w:t>
            </w: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39,076,586.96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24,516,290.97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利息支出增加。</w:t>
            </w:r>
          </w:p>
        </w:tc>
      </w:tr>
    </w:tbl>
    <w:p>
      <w:pPr>
        <w:pStyle w:val="Style38"/>
        <w:keepNext w:val="0"/>
        <w:keepLines w:val="0"/>
        <w:widowControl w:val="0"/>
        <w:shd w:val="clear" w:color="auto" w:fill="auto"/>
        <w:bidi w:val="0"/>
        <w:spacing w:before="0" w:after="0" w:line="240" w:lineRule="auto"/>
        <w:ind w:left="0" w:right="0" w:firstLine="0"/>
        <w:jc w:val="left"/>
      </w:pPr>
      <w:bookmarkStart w:id="163" w:name="bookmark163"/>
      <w:r>
        <w:rPr>
          <w:rFonts w:ascii="Times New Roman" w:eastAsia="Times New Roman" w:hAnsi="Times New Roman" w:cs="Times New Roman"/>
          <w:b/>
          <w:bCs/>
          <w:color w:val="000000"/>
          <w:spacing w:val="0"/>
          <w:w w:val="100"/>
          <w:position w:val="0"/>
        </w:rPr>
        <w:t>4</w:t>
      </w:r>
      <w:r>
        <w:rPr>
          <w:b/>
          <w:bCs/>
          <w:color w:val="000000"/>
          <w:spacing w:val="0"/>
          <w:w w:val="100"/>
          <w:position w:val="0"/>
        </w:rPr>
        <w:t>、研发投入</w:t>
      </w:r>
      <w:bookmarkEnd w:id="163"/>
    </w:p>
    <w:p>
      <w:pPr>
        <w:widowControl w:val="0"/>
        <w:spacing w:after="179" w:line="1" w:lineRule="exact"/>
      </w:pPr>
    </w:p>
    <w:p>
      <w:pPr>
        <w:pStyle w:val="Style4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val="0"/>
        <w:keepLines w:val="0"/>
        <w:widowControl w:val="0"/>
        <w:shd w:val="clear" w:color="auto" w:fill="auto"/>
        <w:bidi w:val="0"/>
        <w:spacing w:before="0" w:after="0" w:line="472" w:lineRule="exact"/>
        <w:ind w:left="440" w:right="0" w:firstLine="440"/>
        <w:jc w:val="both"/>
      </w:pPr>
      <w:r>
        <w:rPr>
          <w:color w:val="000000"/>
          <w:spacing w:val="0"/>
          <w:w w:val="100"/>
          <w:position w:val="0"/>
        </w:rPr>
        <w:t>报告期内，公司积极布局物联网主控制器产品和技术，结合公司传统领域积累的技术优势， 开展多项物联网领域通用安全</w:t>
      </w:r>
      <w:r>
        <w:rPr>
          <w:rFonts w:ascii="Times New Roman" w:eastAsia="Times New Roman" w:hAnsi="Times New Roman" w:cs="Times New Roman"/>
          <w:color w:val="000000"/>
          <w:spacing w:val="0"/>
          <w:w w:val="100"/>
          <w:position w:val="0"/>
        </w:rPr>
        <w:t>MCU</w:t>
      </w:r>
      <w:r>
        <w:rPr>
          <w:color w:val="000000"/>
          <w:spacing w:val="0"/>
          <w:w w:val="100"/>
          <w:position w:val="0"/>
        </w:rPr>
        <w:t>核心技术研发，以结合微处理器架构技术、低功耗技术以及 信息安全技术应用为发展方向，形成系列化齐全的通用安全微处理器</w:t>
      </w:r>
      <w:r>
        <w:rPr>
          <w:color w:val="000000"/>
          <w:spacing w:val="0"/>
          <w:w w:val="100"/>
          <w:position w:val="0"/>
        </w:rPr>
        <w:t>（</w:t>
      </w:r>
      <w:r>
        <w:rPr>
          <w:rFonts w:ascii="Times New Roman" w:eastAsia="Times New Roman" w:hAnsi="Times New Roman" w:cs="Times New Roman"/>
          <w:color w:val="000000"/>
          <w:spacing w:val="0"/>
          <w:w w:val="100"/>
          <w:position w:val="0"/>
        </w:rPr>
        <w:t>MCU</w:t>
      </w:r>
      <w:r>
        <w:rPr>
          <w:color w:val="000000"/>
          <w:spacing w:val="0"/>
          <w:w w:val="100"/>
          <w:position w:val="0"/>
        </w:rPr>
        <w:t>）</w:t>
      </w:r>
      <w:r>
        <w:rPr>
          <w:color w:val="000000"/>
          <w:spacing w:val="0"/>
          <w:w w:val="100"/>
          <w:position w:val="0"/>
        </w:rPr>
        <w:t>芯片产品及其应 用解决方案。</w:t>
      </w:r>
    </w:p>
    <w:p>
      <w:pPr>
        <w:pStyle w:val="Style44"/>
        <w:keepNext w:val="0"/>
        <w:keepLines w:val="0"/>
        <w:widowControl w:val="0"/>
        <w:shd w:val="clear" w:color="auto" w:fill="auto"/>
        <w:bidi w:val="0"/>
        <w:spacing w:before="0" w:after="360" w:line="469" w:lineRule="exact"/>
        <w:ind w:left="440" w:right="0" w:firstLine="440"/>
        <w:jc w:val="both"/>
      </w:pPr>
      <w:r>
        <w:rPr>
          <w:color w:val="000000"/>
          <w:spacing w:val="0"/>
          <w:w w:val="100"/>
          <w:position w:val="0"/>
        </w:rPr>
        <w:t>报告期内，公司针对新一代安全主控制器投入研发，提升产品应用覆盖面；针对设备认证 市场，启动微认证产品的研发工作，进一步覆盖安全芯片市场应用覆盖度。对具有无线传输功 能的用于移动网络的安全主控芯片及其产品解决方案进行研发投入，提升产品在行业中的竞争 力；继续投入研发下一代可信计算标准产品，加强重点客户的开拓与深度合作，着力研制针对 性更强、应用更灵活的产品及系统解决方案，并把握市场需求，推动可信计算产品及解决方案 在大数据、云计算、物联网、工业控制等更多安全领域的应用；开展下一代超低功耗蓝牙芯片 开发，推动公司安全产品和解决方案进入移动互联网及物联网应用领域；进一步基于</w:t>
      </w:r>
      <w:r>
        <w:rPr>
          <w:rFonts w:ascii="Times New Roman" w:eastAsia="Times New Roman" w:hAnsi="Times New Roman" w:cs="Times New Roman"/>
          <w:color w:val="000000"/>
          <w:spacing w:val="0"/>
          <w:w w:val="100"/>
          <w:position w:val="0"/>
        </w:rPr>
        <w:t>ARM Cortex M4/M0</w:t>
      </w:r>
      <w:r>
        <w:rPr>
          <w:color w:val="000000"/>
          <w:spacing w:val="0"/>
          <w:w w:val="100"/>
          <w:position w:val="0"/>
        </w:rPr>
        <w:t>内核开展多个系列</w:t>
      </w:r>
      <w:r>
        <w:rPr>
          <w:rFonts w:ascii="Times New Roman" w:eastAsia="Times New Roman" w:hAnsi="Times New Roman" w:cs="Times New Roman"/>
          <w:color w:val="000000"/>
          <w:spacing w:val="0"/>
          <w:w w:val="100"/>
          <w:position w:val="0"/>
        </w:rPr>
        <w:t>MCU</w:t>
      </w:r>
      <w:r>
        <w:rPr>
          <w:color w:val="000000"/>
          <w:spacing w:val="0"/>
          <w:w w:val="100"/>
          <w:position w:val="0"/>
        </w:rPr>
        <w:t>芯片产品的研发工作，完善</w:t>
      </w:r>
      <w:r>
        <w:rPr>
          <w:rFonts w:ascii="Times New Roman" w:eastAsia="Times New Roman" w:hAnsi="Times New Roman" w:cs="Times New Roman"/>
          <w:color w:val="000000"/>
          <w:spacing w:val="0"/>
          <w:w w:val="100"/>
          <w:position w:val="0"/>
        </w:rPr>
        <w:t>MCU</w:t>
      </w:r>
      <w:r>
        <w:rPr>
          <w:color w:val="000000"/>
          <w:spacing w:val="0"/>
          <w:w w:val="100"/>
          <w:position w:val="0"/>
        </w:rPr>
        <w:t>产品应用拓展面和系 列化覆盖面，完善行业解决方案和相关推广工作，推动公司进入通用市场，提高知名度。</w:t>
      </w:r>
    </w:p>
    <w:p>
      <w:pPr>
        <w:pStyle w:val="Style38"/>
        <w:keepNext w:val="0"/>
        <w:keepLines w:val="0"/>
        <w:widowControl w:val="0"/>
        <w:shd w:val="clear" w:color="auto" w:fill="auto"/>
        <w:bidi w:val="0"/>
        <w:spacing w:before="0" w:after="0" w:line="240" w:lineRule="auto"/>
        <w:ind w:left="96"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3662"/>
        <w:gridCol w:w="2016"/>
        <w:gridCol w:w="2021"/>
        <w:gridCol w:w="2026"/>
      </w:tblGrid>
      <w:tr>
        <w:trPr>
          <w:trHeight w:val="46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 xml:space="preserve">2019 </w:t>
            </w:r>
            <w:r>
              <w:rPr>
                <w:color w:val="000000"/>
                <w:spacing w:val="0"/>
                <w:w w:val="100"/>
                <w:position w:val="0"/>
                <w:sz w:val="20"/>
                <w:szCs w:val="2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 xml:space="preserve">2018 </w:t>
            </w:r>
            <w:r>
              <w:rPr>
                <w:color w:val="000000"/>
                <w:spacing w:val="0"/>
                <w:w w:val="100"/>
                <w:position w:val="0"/>
                <w:sz w:val="20"/>
                <w:szCs w:val="20"/>
              </w:rPr>
              <w:t>年</w:t>
            </w: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研发人员数量（人）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273</w:t>
            </w:r>
          </w:p>
        </w:tc>
      </w:tr>
    </w:tbl>
    <w:p>
      <w:pPr>
        <w:widowControl w:val="0"/>
        <w:spacing w:line="1" w:lineRule="exact"/>
      </w:pPr>
    </w:p>
    <w:tbl>
      <w:tblPr>
        <w:tblOverlap w:val="never"/>
        <w:jc w:val="center"/>
        <w:tblLayout w:type="fixed"/>
      </w:tblPr>
      <w:tblGrid>
        <w:gridCol w:w="3662"/>
        <w:gridCol w:w="2016"/>
        <w:gridCol w:w="2021"/>
        <w:gridCol w:w="2026"/>
      </w:tblGrid>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32.54%</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180,300,543.44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158,131,196.53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144,190,754.94</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23.95%</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47,795,673.54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26,403,014.80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16,248,741.14</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资本化研发支出占研发投入的比例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11.27%</w:t>
            </w: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资本化研发支出占当期净利润的比重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-731.37%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-0.91%</w:t>
            </w:r>
          </w:p>
        </w:tc>
      </w:tr>
    </w:tbl>
    <w:p>
      <w:pPr>
        <w:widowControl w:val="0"/>
        <w:spacing w:after="99" w:line="1" w:lineRule="exact"/>
      </w:pPr>
    </w:p>
    <w:p>
      <w:pPr>
        <w:pStyle w:val="Style44"/>
        <w:keepNext w:val="0"/>
        <w:keepLines w:val="0"/>
        <w:widowControl w:val="0"/>
        <w:shd w:val="clear" w:color="auto" w:fill="auto"/>
        <w:bidi w:val="0"/>
        <w:spacing w:before="0" w:after="240" w:line="475" w:lineRule="exact"/>
        <w:ind w:left="0" w:right="0" w:firstLine="460"/>
        <w:jc w:val="left"/>
      </w:pPr>
      <w:r>
        <w:rPr>
          <w:color w:val="000000"/>
          <w:spacing w:val="0"/>
          <w:w w:val="100"/>
          <w:position w:val="0"/>
        </w:rPr>
        <w:t>研发投入总额占营业收入的比重较上年发生显著变化的原因</w:t>
      </w:r>
    </w:p>
    <w:p>
      <w:pPr>
        <w:pStyle w:val="Style44"/>
        <w:keepNext w:val="0"/>
        <w:keepLines w:val="0"/>
        <w:widowControl w:val="0"/>
        <w:shd w:val="clear" w:color="auto" w:fill="auto"/>
        <w:bidi w:val="0"/>
        <w:spacing w:before="0" w:after="0" w:line="451" w:lineRule="auto"/>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4"/>
        <w:keepNext w:val="0"/>
        <w:keepLines w:val="0"/>
        <w:widowControl w:val="0"/>
        <w:shd w:val="clear" w:color="auto" w:fill="auto"/>
        <w:bidi w:val="0"/>
        <w:spacing w:before="0" w:after="100" w:line="475" w:lineRule="exact"/>
        <w:ind w:left="0" w:right="0" w:firstLine="460"/>
        <w:jc w:val="left"/>
      </w:pPr>
      <w:r>
        <w:rPr>
          <w:color w:val="000000"/>
          <w:spacing w:val="0"/>
          <w:w w:val="100"/>
          <w:position w:val="0"/>
        </w:rPr>
        <w:t>研发投入资本化率大幅变动的原因及其合理性说明</w:t>
      </w:r>
    </w:p>
    <w:p>
      <w:pPr>
        <w:pStyle w:val="Style44"/>
        <w:keepNext w:val="0"/>
        <w:keepLines w:val="0"/>
        <w:widowControl w:val="0"/>
        <w:shd w:val="clear" w:color="auto" w:fill="auto"/>
        <w:bidi w:val="0"/>
        <w:spacing w:before="0" w:after="100" w:line="475" w:lineRule="exact"/>
        <w:ind w:left="0" w:right="0" w:firstLine="46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q</w:t>
      </w:r>
      <w:r>
        <w:rPr>
          <w:color w:val="000000"/>
          <w:spacing w:val="0"/>
          <w:w w:val="100"/>
          <w:position w:val="0"/>
        </w:rPr>
        <w:t>不适用</w:t>
      </w:r>
    </w:p>
    <w:p>
      <w:pPr>
        <w:pStyle w:val="Style44"/>
        <w:keepNext w:val="0"/>
        <w:keepLines w:val="0"/>
        <w:widowControl w:val="0"/>
        <w:shd w:val="clear" w:color="auto" w:fill="auto"/>
        <w:bidi w:val="0"/>
        <w:spacing w:before="0" w:after="360" w:line="475" w:lineRule="exact"/>
        <w:ind w:left="46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号——上市公司从事集成电路相关 业务》的披露要求：</w:t>
      </w:r>
    </w:p>
    <w:p>
      <w:pPr>
        <w:pStyle w:val="Style44"/>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（一）拥有的国内外专利、国内外专利授权情况</w:t>
      </w:r>
    </w:p>
    <w:p>
      <w:pPr>
        <w:pStyle w:val="Style44"/>
        <w:keepNext w:val="0"/>
        <w:keepLines w:val="0"/>
        <w:widowControl w:val="0"/>
        <w:shd w:val="clear" w:color="auto" w:fill="auto"/>
        <w:bidi w:val="0"/>
        <w:spacing w:before="0" w:after="40" w:line="467" w:lineRule="exact"/>
        <w:ind w:left="460" w:right="0" w:firstLine="460"/>
        <w:jc w:val="both"/>
      </w:pPr>
      <w:r>
        <w:rPr>
          <w:color w:val="000000"/>
          <w:spacing w:val="0"/>
          <w:w w:val="100"/>
          <w:position w:val="0"/>
        </w:rPr>
        <w:t>经过多年的持续研发和技术积累，公司在</w:t>
      </w:r>
      <w:r>
        <w:rPr>
          <w:rFonts w:ascii="Times New Roman" w:eastAsia="Times New Roman" w:hAnsi="Times New Roman" w:cs="Times New Roman"/>
          <w:color w:val="000000"/>
          <w:spacing w:val="0"/>
          <w:w w:val="100"/>
          <w:position w:val="0"/>
        </w:rPr>
        <w:t>SoC</w:t>
      </w:r>
      <w:r>
        <w:rPr>
          <w:color w:val="000000"/>
          <w:spacing w:val="0"/>
          <w:w w:val="100"/>
          <w:position w:val="0"/>
        </w:rPr>
        <w:t>芯片设计、安全、射频、低功耗等多方面均 积累了自主研发的核心技术，并拥有多项知识产权。截至</w:t>
      </w:r>
      <w:r>
        <w:rPr>
          <w:rFonts w:ascii="Times New Roman" w:eastAsia="Times New Roman" w:hAnsi="Times New Roman" w:cs="Times New Roman"/>
          <w:color w:val="000000"/>
          <w:spacing w:val="0"/>
          <w:w w:val="100"/>
          <w:position w:val="0"/>
        </w:rPr>
        <w:t>2020</w:t>
      </w:r>
      <w:r>
        <w:rPr>
          <w:color w:val="000000"/>
          <w:spacing w:val="0"/>
          <w:w w:val="100"/>
          <w:position w:val="0"/>
        </w:rPr>
        <w:t>年底，公司知识产权（含专利、 商标、软件著作权、集成电路布图等）累计申请量达</w:t>
      </w:r>
      <w:r>
        <w:rPr>
          <w:rFonts w:ascii="Times New Roman" w:eastAsia="Times New Roman" w:hAnsi="Times New Roman" w:cs="Times New Roman"/>
          <w:color w:val="000000"/>
          <w:spacing w:val="0"/>
          <w:w w:val="100"/>
          <w:position w:val="0"/>
        </w:rPr>
        <w:t>2,296</w:t>
      </w:r>
      <w:r>
        <w:rPr>
          <w:color w:val="000000"/>
          <w:spacing w:val="0"/>
          <w:w w:val="100"/>
          <w:position w:val="0"/>
        </w:rPr>
        <w:t>项，授权量为</w:t>
      </w:r>
      <w:r>
        <w:rPr>
          <w:rFonts w:ascii="Times New Roman" w:eastAsia="Times New Roman" w:hAnsi="Times New Roman" w:cs="Times New Roman"/>
          <w:color w:val="000000"/>
          <w:spacing w:val="0"/>
          <w:w w:val="100"/>
          <w:position w:val="0"/>
        </w:rPr>
        <w:t>1,333</w:t>
      </w:r>
      <w:r>
        <w:rPr>
          <w:color w:val="000000"/>
          <w:spacing w:val="0"/>
          <w:w w:val="100"/>
          <w:position w:val="0"/>
        </w:rPr>
        <w:t>项，其中国内外 专利申请总量达</w:t>
      </w:r>
      <w:r>
        <w:rPr>
          <w:rFonts w:ascii="Times New Roman" w:eastAsia="Times New Roman" w:hAnsi="Times New Roman" w:cs="Times New Roman"/>
          <w:color w:val="000000"/>
          <w:spacing w:val="0"/>
          <w:w w:val="100"/>
          <w:position w:val="0"/>
        </w:rPr>
        <w:t>1464</w:t>
      </w:r>
      <w:r>
        <w:rPr>
          <w:color w:val="000000"/>
          <w:spacing w:val="0"/>
          <w:w w:val="100"/>
          <w:position w:val="0"/>
        </w:rPr>
        <w:t>项，取得国内外授权专利</w:t>
      </w:r>
      <w:r>
        <w:rPr>
          <w:rFonts w:ascii="Times New Roman" w:eastAsia="Times New Roman" w:hAnsi="Times New Roman" w:cs="Times New Roman"/>
          <w:color w:val="000000"/>
          <w:spacing w:val="0"/>
          <w:w w:val="100"/>
          <w:position w:val="0"/>
        </w:rPr>
        <w:t>730</w:t>
      </w:r>
      <w:r>
        <w:rPr>
          <w:color w:val="000000"/>
          <w:spacing w:val="0"/>
          <w:w w:val="100"/>
          <w:position w:val="0"/>
        </w:rPr>
        <w:t>项，集成电路布图设计登记</w:t>
      </w:r>
      <w:r>
        <w:rPr>
          <w:rFonts w:ascii="Times New Roman" w:eastAsia="Times New Roman" w:hAnsi="Times New Roman" w:cs="Times New Roman"/>
          <w:color w:val="000000"/>
          <w:spacing w:val="0"/>
          <w:w w:val="100"/>
          <w:position w:val="0"/>
        </w:rPr>
        <w:t>40</w:t>
      </w:r>
      <w:r>
        <w:rPr>
          <w:color w:val="000000"/>
          <w:spacing w:val="0"/>
          <w:w w:val="100"/>
          <w:position w:val="0"/>
        </w:rPr>
        <w:t>项，软件著 作权</w:t>
      </w:r>
      <w:r>
        <w:rPr>
          <w:rFonts w:ascii="Times New Roman" w:eastAsia="Times New Roman" w:hAnsi="Times New Roman" w:cs="Times New Roman"/>
          <w:color w:val="000000"/>
          <w:spacing w:val="0"/>
          <w:w w:val="100"/>
          <w:position w:val="0"/>
        </w:rPr>
        <w:t>73</w:t>
      </w:r>
      <w:r>
        <w:rPr>
          <w:color w:val="000000"/>
          <w:spacing w:val="0"/>
          <w:w w:val="100"/>
          <w:position w:val="0"/>
        </w:rPr>
        <w:t>项。</w:t>
      </w:r>
    </w:p>
    <w:p>
      <w:pPr>
        <w:pStyle w:val="Style44"/>
        <w:keepNext w:val="0"/>
        <w:keepLines w:val="0"/>
        <w:widowControl w:val="0"/>
        <w:shd w:val="clear" w:color="auto" w:fill="auto"/>
        <w:bidi w:val="0"/>
        <w:spacing w:before="0" w:after="40" w:line="475" w:lineRule="exact"/>
        <w:ind w:left="0" w:right="0" w:firstLine="920"/>
        <w:jc w:val="left"/>
      </w:pPr>
      <w:r>
        <w:rPr>
          <w:color w:val="000000"/>
          <w:spacing w:val="0"/>
          <w:w w:val="100"/>
          <w:position w:val="0"/>
        </w:rPr>
        <w:t>（二）研发投入金额及研发投向</w:t>
      </w:r>
    </w:p>
    <w:p>
      <w:pPr>
        <w:pStyle w:val="Style44"/>
        <w:keepNext w:val="0"/>
        <w:keepLines w:val="0"/>
        <w:widowControl w:val="0"/>
        <w:shd w:val="clear" w:color="auto" w:fill="auto"/>
        <w:bidi w:val="0"/>
        <w:spacing w:before="0" w:after="360" w:line="475" w:lineRule="exact"/>
        <w:ind w:left="460" w:right="0" w:firstLine="460"/>
        <w:jc w:val="both"/>
      </w:pPr>
      <w:r>
        <w:rPr>
          <w:color w:val="000000"/>
          <w:spacing w:val="0"/>
          <w:w w:val="100"/>
          <w:position w:val="0"/>
        </w:rPr>
        <w:t>报告期内，公司研发投入金额为</w:t>
      </w:r>
      <w:r>
        <w:rPr>
          <w:rFonts w:ascii="Times New Roman" w:eastAsia="Times New Roman" w:hAnsi="Times New Roman" w:cs="Times New Roman"/>
          <w:color w:val="000000"/>
          <w:spacing w:val="0"/>
          <w:w w:val="100"/>
          <w:position w:val="0"/>
        </w:rPr>
        <w:t>180,300,543.44</w:t>
      </w:r>
      <w:r>
        <w:rPr>
          <w:color w:val="000000"/>
          <w:spacing w:val="0"/>
          <w:w w:val="100"/>
          <w:position w:val="0"/>
        </w:rPr>
        <w:t>元。基于聚焦核心主业，明确面向物联网“安 全</w:t>
      </w:r>
      <w:r>
        <w:rPr>
          <w:rFonts w:ascii="Times New Roman" w:eastAsia="Times New Roman" w:hAnsi="Times New Roman" w:cs="Times New Roman"/>
          <w:color w:val="000000"/>
          <w:spacing w:val="0"/>
          <w:w w:val="100"/>
          <w:position w:val="0"/>
        </w:rPr>
        <w:t>+</w:t>
      </w:r>
      <w:r>
        <w:rPr>
          <w:color w:val="000000"/>
          <w:spacing w:val="0"/>
          <w:w w:val="100"/>
          <w:position w:val="0"/>
        </w:rPr>
        <w:t>通用”的发展战略，报告期内公司的研发投向主要为通用</w:t>
      </w:r>
      <w:r>
        <w:rPr>
          <w:rFonts w:ascii="Times New Roman" w:eastAsia="Times New Roman" w:hAnsi="Times New Roman" w:cs="Times New Roman"/>
          <w:color w:val="000000"/>
          <w:spacing w:val="0"/>
          <w:w w:val="100"/>
          <w:position w:val="0"/>
        </w:rPr>
        <w:t>MCU</w:t>
      </w:r>
      <w:r>
        <w:rPr>
          <w:color w:val="000000"/>
          <w:spacing w:val="0"/>
          <w:w w:val="100"/>
          <w:position w:val="0"/>
        </w:rPr>
        <w:t>芯片及下一代安全芯片。</w:t>
      </w:r>
    </w:p>
    <w:p>
      <w:pPr>
        <w:pStyle w:val="Style44"/>
        <w:keepNext w:val="0"/>
        <w:keepLines w:val="0"/>
        <w:widowControl w:val="0"/>
        <w:shd w:val="clear" w:color="auto" w:fill="auto"/>
        <w:bidi w:val="0"/>
        <w:spacing w:before="0" w:after="0" w:line="240" w:lineRule="auto"/>
        <w:ind w:left="0" w:right="0" w:firstLine="800"/>
        <w:jc w:val="both"/>
      </w:pPr>
      <w:bookmarkStart w:id="164" w:name="bookmark164"/>
      <w:r>
        <w:rPr>
          <w:color w:val="000000"/>
          <w:spacing w:val="0"/>
          <w:w w:val="100"/>
          <w:position w:val="0"/>
        </w:rPr>
        <w:t>（</w:t>
      </w:r>
      <w:bookmarkEnd w:id="164"/>
      <w:r>
        <w:rPr>
          <w:color w:val="000000"/>
          <w:spacing w:val="0"/>
          <w:w w:val="100"/>
          <w:position w:val="0"/>
        </w:rPr>
        <w:t>三）研发人员基本情况</w:t>
      </w:r>
    </w:p>
    <w:p>
      <w:pPr>
        <w:pStyle w:val="Style44"/>
        <w:keepNext w:val="0"/>
        <w:keepLines w:val="0"/>
        <w:widowControl w:val="0"/>
        <w:shd w:val="clear" w:color="auto" w:fill="auto"/>
        <w:bidi w:val="0"/>
        <w:spacing w:before="0" w:after="160" w:line="475" w:lineRule="exact"/>
        <w:ind w:left="460" w:right="0" w:firstLine="460"/>
        <w:jc w:val="both"/>
      </w:pPr>
      <w:r>
        <w:rPr>
          <w:color w:val="000000"/>
          <w:spacing w:val="0"/>
          <w:w w:val="100"/>
          <w:position w:val="0"/>
        </w:rPr>
        <w:t>截至本报告期末,公司芯片设计领域研发人员</w:t>
      </w:r>
      <w:r>
        <w:rPr>
          <w:rFonts w:ascii="Times New Roman" w:eastAsia="Times New Roman" w:hAnsi="Times New Roman" w:cs="Times New Roman"/>
          <w:color w:val="000000"/>
          <w:spacing w:val="0"/>
          <w:w w:val="100"/>
          <w:position w:val="0"/>
        </w:rPr>
        <w:t>268</w:t>
      </w:r>
      <w:r>
        <w:rPr>
          <w:color w:val="000000"/>
          <w:spacing w:val="0"/>
          <w:w w:val="100"/>
          <w:position w:val="0"/>
        </w:rPr>
        <w:t>人，占公司芯片业务员工总数的</w:t>
      </w:r>
      <w:r>
        <w:rPr>
          <w:rFonts w:ascii="Times New Roman" w:eastAsia="Times New Roman" w:hAnsi="Times New Roman" w:cs="Times New Roman"/>
          <w:color w:val="000000"/>
          <w:spacing w:val="0"/>
          <w:w w:val="100"/>
          <w:position w:val="0"/>
        </w:rPr>
        <w:t>71.85%</w:t>
      </w:r>
      <w:r>
        <w:rPr>
          <w:color w:val="000000"/>
          <w:spacing w:val="0"/>
          <w:w w:val="100"/>
          <w:position w:val="0"/>
        </w:rPr>
        <w:t>， 主要以硕士研究生和本科生构成，其中硕士研究生以上占比</w:t>
      </w:r>
      <w:r>
        <w:rPr>
          <w:rFonts w:ascii="Times New Roman" w:eastAsia="Times New Roman" w:hAnsi="Times New Roman" w:cs="Times New Roman"/>
          <w:color w:val="000000"/>
          <w:spacing w:val="0"/>
          <w:w w:val="100"/>
          <w:position w:val="0"/>
        </w:rPr>
        <w:t>38.06%</w:t>
      </w:r>
      <w:r>
        <w:rPr>
          <w:color w:val="000000"/>
          <w:spacing w:val="0"/>
          <w:w w:val="100"/>
          <w:position w:val="0"/>
        </w:rPr>
        <w:t>，本科生占比</w:t>
      </w:r>
      <w:r>
        <w:rPr>
          <w:rFonts w:ascii="Times New Roman" w:eastAsia="Times New Roman" w:hAnsi="Times New Roman" w:cs="Times New Roman"/>
          <w:color w:val="000000"/>
          <w:spacing w:val="0"/>
          <w:w w:val="100"/>
          <w:position w:val="0"/>
        </w:rPr>
        <w:t>57.46%</w:t>
      </w:r>
      <w:r>
        <w:rPr>
          <w:color w:val="000000"/>
          <w:spacing w:val="0"/>
          <w:w w:val="100"/>
          <w:position w:val="0"/>
        </w:rPr>
        <w:t>。截至 本报告期末，公司核心技术人员未有离职情况。</w:t>
      </w:r>
    </w:p>
    <w:p>
      <w:pPr>
        <w:pStyle w:val="Style44"/>
        <w:keepNext w:val="0"/>
        <w:keepLines w:val="0"/>
        <w:widowControl w:val="0"/>
        <w:shd w:val="clear" w:color="auto" w:fill="auto"/>
        <w:bidi w:val="0"/>
        <w:spacing w:before="0" w:after="40" w:line="240" w:lineRule="auto"/>
        <w:ind w:left="0" w:right="0" w:firstLine="920"/>
        <w:jc w:val="left"/>
      </w:pPr>
      <w:r>
        <w:rPr>
          <w:color w:val="000000"/>
          <w:spacing w:val="0"/>
          <w:w w:val="100"/>
          <w:position w:val="0"/>
        </w:rPr>
        <w:t>研发人员工作年限分布情况如下：</w:t>
      </w:r>
    </w:p>
    <w:tbl>
      <w:tblPr>
        <w:tblOverlap w:val="never"/>
        <w:jc w:val="center"/>
        <w:tblLayout w:type="fixed"/>
      </w:tblPr>
      <w:tblGrid>
        <w:gridCol w:w="3542"/>
        <w:gridCol w:w="2270"/>
        <w:gridCol w:w="2986"/>
      </w:tblGrid>
      <w:tr>
        <w:trPr>
          <w:trHeight w:val="538"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年限</w:t>
            </w: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人数</w:t>
            </w:r>
          </w:p>
        </w:tc>
        <w:tc>
          <w:tcPr>
            <w:tcBorders>
              <w:top w:val="single" w:sz="4"/>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占比</w:t>
            </w:r>
          </w:p>
        </w:tc>
      </w:tr>
    </w:tbl>
    <w:p>
      <w:pPr>
        <w:widowControl w:val="0"/>
        <w:spacing w:line="1" w:lineRule="exact"/>
      </w:pPr>
      <w:r>
        <w:br w:type="page"/>
      </w:r>
    </w:p>
    <w:tbl>
      <w:tblPr>
        <w:tblOverlap w:val="never"/>
        <w:jc w:val="center"/>
        <w:tblLayout w:type="fixed"/>
      </w:tblPr>
      <w:tblGrid>
        <w:gridCol w:w="3542"/>
        <w:gridCol w:w="2270"/>
        <w:gridCol w:w="2986"/>
      </w:tblGrid>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8.58%</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1-3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22.39%</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3-5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14.18%</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 xml:space="preserve">5-10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21.27%</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33.58%</w:t>
            </w:r>
          </w:p>
        </w:tc>
      </w:tr>
      <w:tr>
        <w:trPr>
          <w:trHeight w:val="53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bl>
    <w:p>
      <w:pPr>
        <w:widowControl w:val="0"/>
        <w:spacing w:after="319" w:line="1" w:lineRule="exact"/>
      </w:pPr>
    </w:p>
    <w:p>
      <w:pPr>
        <w:pStyle w:val="Style52"/>
        <w:keepNext/>
        <w:keepLines/>
        <w:widowControl w:val="0"/>
        <w:shd w:val="clear" w:color="auto" w:fill="auto"/>
        <w:bidi w:val="0"/>
        <w:spacing w:before="0" w:after="320" w:line="240" w:lineRule="auto"/>
        <w:ind w:left="0" w:right="0" w:firstLine="46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sz w:val="24"/>
          <w:szCs w:val="24"/>
        </w:rPr>
        <w:t>5</w:t>
      </w:r>
      <w:bookmarkEnd w:id="167"/>
      <w:r>
        <w:rPr>
          <w:color w:val="000000"/>
          <w:spacing w:val="0"/>
          <w:w w:val="100"/>
          <w:position w:val="0"/>
        </w:rPr>
        <w:t>、现金流</w:t>
      </w:r>
      <w:bookmarkEnd w:id="165"/>
      <w:bookmarkEnd w:id="166"/>
      <w:bookmarkEnd w:id="168"/>
    </w:p>
    <w:p>
      <w:pPr>
        <w:pStyle w:val="Style3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单位：元</w:t>
      </w:r>
    </w:p>
    <w:tbl>
      <w:tblPr>
        <w:tblOverlap w:val="never"/>
        <w:jc w:val="center"/>
        <w:tblLayout w:type="fixed"/>
      </w:tblPr>
      <w:tblGrid>
        <w:gridCol w:w="2981"/>
        <w:gridCol w:w="2256"/>
        <w:gridCol w:w="2251"/>
        <w:gridCol w:w="2266"/>
      </w:tblGrid>
      <w:tr>
        <w:trPr>
          <w:trHeight w:val="52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 xml:space="preserve">2019 </w:t>
            </w:r>
            <w:r>
              <w:rPr>
                <w:color w:val="000000"/>
                <w:spacing w:val="0"/>
                <w:w w:val="100"/>
                <w:position w:val="0"/>
                <w:sz w:val="20"/>
                <w:szCs w:val="2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550,448,624.25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579,068,787.47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-4.94%</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525,194,327.16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649,448,540.05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-19.13%</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25,254,297.09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-70,379,752.58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135.88%</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245,991,681.08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405,418,441.66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-39.32%</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222,433,890.48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607,333,442.80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-63.38%</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23,557,790.60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-201,915,001.14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111.67%</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10.57%</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447,859,512.75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408,231,134.98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9.71%</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2,140,487.25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-1,231,134.98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273.86%</w:t>
            </w:r>
          </w:p>
        </w:tc>
      </w:tr>
      <w:tr>
        <w:trPr>
          <w:trHeight w:val="52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50,159,680.27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-273,208,015.14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118.36%</w:t>
            </w:r>
          </w:p>
        </w:tc>
      </w:tr>
    </w:tbl>
    <w:p>
      <w:pPr>
        <w:pStyle w:val="Style44"/>
        <w:keepNext w:val="0"/>
        <w:keepLines w:val="0"/>
        <w:widowControl w:val="0"/>
        <w:shd w:val="clear" w:color="auto" w:fill="auto"/>
        <w:bidi w:val="0"/>
        <w:spacing w:before="0" w:after="40" w:line="504" w:lineRule="exact"/>
        <w:ind w:left="460" w:right="0" w:firstLine="0"/>
        <w:jc w:val="left"/>
      </w:pPr>
      <w:r>
        <w:rPr>
          <w:color w:val="000000"/>
          <w:spacing w:val="0"/>
          <w:w w:val="100"/>
          <w:position w:val="0"/>
        </w:rPr>
        <w:t xml:space="preserve">相关数据同比发生重大变动的主要影响因素说明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val="0"/>
        <w:keepLines w:val="0"/>
        <w:widowControl w:val="0"/>
        <w:shd w:val="clear" w:color="auto" w:fill="auto"/>
        <w:bidi w:val="0"/>
        <w:spacing w:before="0" w:after="0" w:line="475" w:lineRule="exact"/>
        <w:ind w:left="460" w:right="0" w:firstLine="460"/>
        <w:jc w:val="both"/>
      </w:pPr>
      <w:r>
        <w:rPr>
          <w:color w:val="000000"/>
          <w:spacing w:val="0"/>
          <w:w w:val="100"/>
          <w:position w:val="0"/>
        </w:rPr>
        <w:t>经营活动产生的现金流量净额同比增长</w:t>
      </w:r>
      <w:r>
        <w:rPr>
          <w:rFonts w:ascii="Times New Roman" w:eastAsia="Times New Roman" w:hAnsi="Times New Roman" w:cs="Times New Roman"/>
          <w:color w:val="000000"/>
          <w:spacing w:val="0"/>
          <w:w w:val="100"/>
          <w:position w:val="0"/>
        </w:rPr>
        <w:t>135.88%</w:t>
      </w:r>
      <w:r>
        <w:rPr>
          <w:color w:val="000000"/>
          <w:spacing w:val="0"/>
          <w:w w:val="100"/>
          <w:position w:val="0"/>
        </w:rPr>
        <w:t>，主要是①购买商品、接受劳务支付的现 金同比减少。②公司节约销售费用和管理费用支出，费用类支出同比减少。③收到计入货币资 金的票据保证金比上年增加。</w:t>
      </w:r>
    </w:p>
    <w:p>
      <w:pPr>
        <w:pStyle w:val="Style44"/>
        <w:keepNext w:val="0"/>
        <w:keepLines w:val="0"/>
        <w:widowControl w:val="0"/>
        <w:shd w:val="clear" w:color="auto" w:fill="auto"/>
        <w:bidi w:val="0"/>
        <w:spacing w:before="0" w:after="0" w:line="475" w:lineRule="exact"/>
        <w:ind w:left="460" w:right="0" w:firstLine="460"/>
        <w:jc w:val="both"/>
      </w:pPr>
      <w:r>
        <w:rPr>
          <w:color w:val="000000"/>
          <w:spacing w:val="0"/>
          <w:w w:val="100"/>
          <w:position w:val="0"/>
        </w:rPr>
        <w:t>投资活动现金流入小计同比下降</w:t>
      </w:r>
      <w:r>
        <w:rPr>
          <w:rFonts w:ascii="Times New Roman" w:eastAsia="Times New Roman" w:hAnsi="Times New Roman" w:cs="Times New Roman"/>
          <w:color w:val="000000"/>
          <w:spacing w:val="0"/>
          <w:w w:val="100"/>
          <w:position w:val="0"/>
        </w:rPr>
        <w:t>39.32%</w:t>
      </w:r>
      <w:r>
        <w:rPr>
          <w:color w:val="000000"/>
          <w:spacing w:val="0"/>
          <w:w w:val="100"/>
          <w:position w:val="0"/>
        </w:rPr>
        <w:t>,主要是现金管理所购买的理财产品较上年同期减 少。</w:t>
      </w:r>
    </w:p>
    <w:p>
      <w:pPr>
        <w:pStyle w:val="Style44"/>
        <w:keepNext w:val="0"/>
        <w:keepLines w:val="0"/>
        <w:widowControl w:val="0"/>
        <w:shd w:val="clear" w:color="auto" w:fill="auto"/>
        <w:bidi w:val="0"/>
        <w:spacing w:before="0" w:after="0" w:line="475" w:lineRule="exact"/>
        <w:ind w:left="0" w:right="0" w:firstLine="920"/>
        <w:jc w:val="left"/>
      </w:pPr>
      <w:r>
        <w:rPr>
          <w:color w:val="000000"/>
          <w:spacing w:val="0"/>
          <w:w w:val="100"/>
          <w:position w:val="0"/>
        </w:rPr>
        <w:t>投资活动现金流出小计同比下降</w:t>
      </w:r>
      <w:r>
        <w:rPr>
          <w:rFonts w:ascii="Times New Roman" w:eastAsia="Times New Roman" w:hAnsi="Times New Roman" w:cs="Times New Roman"/>
          <w:color w:val="000000"/>
          <w:spacing w:val="0"/>
          <w:w w:val="100"/>
          <w:position w:val="0"/>
        </w:rPr>
        <w:t>63.38%</w:t>
      </w:r>
      <w:r>
        <w:rPr>
          <w:color w:val="000000"/>
          <w:spacing w:val="0"/>
          <w:w w:val="100"/>
          <w:position w:val="0"/>
        </w:rPr>
        <w:t xml:space="preserve">，主要是①现金管理所购买的理财产品较上年同期 </w:t>
      </w:r>
      <w:r>
        <w:rPr>
          <w:color w:val="000000"/>
          <w:spacing w:val="0"/>
          <w:w w:val="100"/>
          <w:position w:val="0"/>
        </w:rPr>
        <w:t>减少。②支付并购斯诺实业股权款同比减少。③购建固定资产、无形资产和其他长期资产支付 的现金同比减少。</w:t>
      </w:r>
    </w:p>
    <w:p>
      <w:pPr>
        <w:pStyle w:val="Style44"/>
        <w:keepNext w:val="0"/>
        <w:keepLines w:val="0"/>
        <w:widowControl w:val="0"/>
        <w:shd w:val="clear" w:color="auto" w:fill="auto"/>
        <w:bidi w:val="0"/>
        <w:spacing w:before="0" w:after="0" w:line="472" w:lineRule="exact"/>
        <w:ind w:left="460" w:right="0" w:firstLine="460"/>
        <w:jc w:val="both"/>
      </w:pPr>
      <w:r>
        <w:rPr>
          <w:color w:val="000000"/>
          <w:spacing w:val="0"/>
          <w:w w:val="100"/>
          <w:position w:val="0"/>
        </w:rPr>
        <w:t>投资活动产生的现金流量净额增长</w:t>
      </w:r>
      <w:r>
        <w:rPr>
          <w:rFonts w:ascii="Times New Roman" w:eastAsia="Times New Roman" w:hAnsi="Times New Roman" w:cs="Times New Roman"/>
          <w:color w:val="000000"/>
          <w:spacing w:val="0"/>
          <w:w w:val="100"/>
          <w:position w:val="0"/>
        </w:rPr>
        <w:t>111.67%</w:t>
      </w:r>
      <w:r>
        <w:rPr>
          <w:color w:val="000000"/>
          <w:spacing w:val="0"/>
          <w:w w:val="100"/>
          <w:position w:val="0"/>
        </w:rPr>
        <w:t>，主要是①收到华夏芯业绩补偿款及部分股权转 让款。②支付并购斯诺实业股权款较上年同期减少。</w:t>
      </w:r>
    </w:p>
    <w:p>
      <w:pPr>
        <w:pStyle w:val="Style44"/>
        <w:keepNext w:val="0"/>
        <w:keepLines w:val="0"/>
        <w:widowControl w:val="0"/>
        <w:shd w:val="clear" w:color="auto" w:fill="auto"/>
        <w:bidi w:val="0"/>
        <w:spacing w:before="0" w:after="0" w:line="472" w:lineRule="exact"/>
        <w:ind w:left="460" w:right="0" w:firstLine="460"/>
        <w:jc w:val="both"/>
      </w:pPr>
      <w:r>
        <w:rPr>
          <w:color w:val="000000"/>
          <w:spacing w:val="0"/>
          <w:w w:val="100"/>
          <w:position w:val="0"/>
        </w:rPr>
        <w:t>筹资活动产生的现金流量净额同比增长</w:t>
      </w:r>
      <w:r>
        <w:rPr>
          <w:rFonts w:ascii="Times New Roman" w:eastAsia="Times New Roman" w:hAnsi="Times New Roman" w:cs="Times New Roman"/>
          <w:color w:val="000000"/>
          <w:spacing w:val="0"/>
          <w:w w:val="100"/>
          <w:position w:val="0"/>
        </w:rPr>
        <w:t>273.86%</w:t>
      </w:r>
      <w:r>
        <w:rPr>
          <w:color w:val="000000"/>
          <w:spacing w:val="0"/>
          <w:w w:val="100"/>
          <w:position w:val="0"/>
        </w:rPr>
        <w:t>，主要是取得借款收到的现金与偿还债务 支付的现金的差额较上年同期增加。</w:t>
      </w:r>
    </w:p>
    <w:p>
      <w:pPr>
        <w:pStyle w:val="Style44"/>
        <w:keepNext w:val="0"/>
        <w:keepLines w:val="0"/>
        <w:widowControl w:val="0"/>
        <w:shd w:val="clear" w:color="auto" w:fill="auto"/>
        <w:bidi w:val="0"/>
        <w:spacing w:before="0" w:after="360" w:line="472" w:lineRule="exact"/>
        <w:ind w:left="460" w:right="0" w:firstLine="460"/>
        <w:jc w:val="both"/>
      </w:pPr>
      <w:r>
        <w:rPr>
          <w:color w:val="000000"/>
          <w:spacing w:val="0"/>
          <w:w w:val="100"/>
          <w:position w:val="0"/>
        </w:rPr>
        <w:t>现金及现金等价物净增加额同比增长</w:t>
      </w:r>
      <w:r>
        <w:rPr>
          <w:rFonts w:ascii="Times New Roman" w:eastAsia="Times New Roman" w:hAnsi="Times New Roman" w:cs="Times New Roman"/>
          <w:color w:val="000000"/>
          <w:spacing w:val="0"/>
          <w:w w:val="100"/>
          <w:position w:val="0"/>
        </w:rPr>
        <w:t>118.36%</w:t>
      </w:r>
      <w:r>
        <w:rPr>
          <w:color w:val="000000"/>
          <w:spacing w:val="0"/>
          <w:w w:val="100"/>
          <w:position w:val="0"/>
        </w:rPr>
        <w:t>，主要是经营活动产生的现金流量净额和投 资活动产生的现金流量净额同比增加。</w:t>
      </w:r>
    </w:p>
    <w:p>
      <w:pPr>
        <w:pStyle w:val="Style44"/>
        <w:keepNext w:val="0"/>
        <w:keepLines w:val="0"/>
        <w:widowControl w:val="0"/>
        <w:shd w:val="clear" w:color="auto" w:fill="auto"/>
        <w:bidi w:val="0"/>
        <w:spacing w:before="0" w:after="0" w:line="485" w:lineRule="exact"/>
        <w:ind w:left="0" w:right="0" w:firstLine="460"/>
        <w:jc w:val="left"/>
      </w:pPr>
      <w:r>
        <w:rPr>
          <w:color w:val="000000"/>
          <w:spacing w:val="0"/>
          <w:w w:val="100"/>
          <w:position w:val="0"/>
        </w:rPr>
        <w:t>报告期内公司经营活动产生的现金净流量与本年度净利润存在重大差异的原因说明</w:t>
      </w:r>
    </w:p>
    <w:p>
      <w:pPr>
        <w:pStyle w:val="Style44"/>
        <w:keepNext w:val="0"/>
        <w:keepLines w:val="0"/>
        <w:widowControl w:val="0"/>
        <w:shd w:val="clear" w:color="auto" w:fill="auto"/>
        <w:bidi w:val="0"/>
        <w:spacing w:before="0" w:after="0" w:line="485" w:lineRule="exact"/>
        <w:ind w:left="0" w:right="0" w:firstLine="460"/>
        <w:jc w:val="both"/>
      </w:pPr>
      <w:r>
        <w:rPr>
          <w:color w:val="000000"/>
          <w:spacing w:val="0"/>
          <w:w w:val="100"/>
          <w:position w:val="0"/>
        </w:rPr>
        <w:t>寸</w:t>
      </w:r>
      <w:r>
        <w:rPr>
          <w:color w:val="000000"/>
          <w:spacing w:val="0"/>
          <w:w w:val="100"/>
          <w:position w:val="0"/>
        </w:rPr>
        <w:t>适用口不适用</w:t>
      </w:r>
    </w:p>
    <w:p>
      <w:pPr>
        <w:pStyle w:val="Style44"/>
        <w:keepNext w:val="0"/>
        <w:keepLines w:val="0"/>
        <w:widowControl w:val="0"/>
        <w:shd w:val="clear" w:color="auto" w:fill="auto"/>
        <w:bidi w:val="0"/>
        <w:spacing w:before="0" w:after="0" w:line="485" w:lineRule="exact"/>
        <w:ind w:left="460" w:right="0" w:firstLine="580"/>
        <w:jc w:val="both"/>
      </w:pPr>
      <w:r>
        <w:rPr>
          <w:color w:val="000000"/>
          <w:spacing w:val="0"/>
          <w:w w:val="100"/>
          <w:position w:val="0"/>
        </w:rPr>
        <w:t>两者的影响因素、计算原则不一样：经营活动产生的现金流量只受经营活动的影响，净利 润除了受经营活动的影响，还受投资活动、筹资活动的影响；经营活动产生的现金流量根据收 付实现制计算，净利润主要根据权责发生制原则计算。</w:t>
      </w:r>
    </w:p>
    <w:p>
      <w:pPr>
        <w:pStyle w:val="Style44"/>
        <w:keepNext w:val="0"/>
        <w:keepLines w:val="0"/>
        <w:widowControl w:val="0"/>
        <w:shd w:val="clear" w:color="auto" w:fill="auto"/>
        <w:tabs>
          <w:tab w:pos="5138" w:val="left"/>
        </w:tabs>
        <w:bidi w:val="0"/>
        <w:spacing w:before="0" w:after="0" w:line="485" w:lineRule="exact"/>
        <w:ind w:left="0" w:right="0" w:firstLine="800"/>
        <w:jc w:val="both"/>
      </w:pPr>
      <w:bookmarkStart w:id="169" w:name="bookmark169"/>
      <w:r>
        <w:rPr>
          <w:color w:val="000000"/>
          <w:spacing w:val="0"/>
          <w:w w:val="100"/>
          <w:position w:val="0"/>
        </w:rPr>
        <w:t>（</w:t>
      </w:r>
      <w:bookmarkEnd w:id="169"/>
      <w:r>
        <w:rPr>
          <w:rFonts w:ascii="Times New Roman" w:eastAsia="Times New Roman" w:hAnsi="Times New Roman" w:cs="Times New Roman"/>
          <w:color w:val="000000"/>
          <w:spacing w:val="0"/>
          <w:w w:val="100"/>
          <w:position w:val="0"/>
        </w:rPr>
        <w:t>1</w:t>
      </w:r>
      <w:r>
        <w:rPr>
          <w:color w:val="000000"/>
          <w:spacing w:val="0"/>
          <w:w w:val="100"/>
          <w:position w:val="0"/>
        </w:rPr>
        <w:t>）“利润表”中确认的“资产减值损失”</w:t>
        <w:tab/>
      </w:r>
      <w:r>
        <w:rPr>
          <w:rFonts w:ascii="Times New Roman" w:eastAsia="Times New Roman" w:hAnsi="Times New Roman" w:cs="Times New Roman"/>
          <w:color w:val="000000"/>
          <w:spacing w:val="0"/>
          <w:w w:val="100"/>
          <w:position w:val="0"/>
        </w:rPr>
        <w:t>-3,416.36</w:t>
      </w:r>
      <w:r>
        <w:rPr>
          <w:color w:val="000000"/>
          <w:spacing w:val="0"/>
          <w:w w:val="100"/>
          <w:position w:val="0"/>
        </w:rPr>
        <w:t>万元，不属于“现金流量表”中的“经</w:t>
      </w:r>
    </w:p>
    <w:p>
      <w:pPr>
        <w:pStyle w:val="Style44"/>
        <w:keepNext w:val="0"/>
        <w:keepLines w:val="0"/>
        <w:widowControl w:val="0"/>
        <w:shd w:val="clear" w:color="auto" w:fill="auto"/>
        <w:bidi w:val="0"/>
        <w:spacing w:before="0" w:after="0" w:line="485" w:lineRule="exact"/>
        <w:ind w:left="0" w:right="0" w:firstLine="460"/>
        <w:jc w:val="both"/>
      </w:pPr>
      <w:bookmarkStart w:id="170" w:name="bookmark170"/>
      <w:r>
        <w:rPr>
          <w:color w:val="000000"/>
          <w:spacing w:val="0"/>
          <w:w w:val="100"/>
          <w:position w:val="0"/>
        </w:rPr>
        <w:t>营</w:t>
      </w:r>
      <w:bookmarkEnd w:id="170"/>
      <w:r>
        <w:rPr>
          <w:color w:val="000000"/>
          <w:spacing w:val="0"/>
          <w:w w:val="100"/>
          <w:position w:val="0"/>
        </w:rPr>
        <w:t>活动产生的现金流量”。</w:t>
      </w:r>
    </w:p>
    <w:p>
      <w:pPr>
        <w:pStyle w:val="Style44"/>
        <w:keepNext w:val="0"/>
        <w:keepLines w:val="0"/>
        <w:widowControl w:val="0"/>
        <w:shd w:val="clear" w:color="auto" w:fill="auto"/>
        <w:tabs>
          <w:tab w:pos="1346" w:val="left"/>
        </w:tabs>
        <w:bidi w:val="0"/>
        <w:spacing w:before="0" w:after="0" w:line="485" w:lineRule="exact"/>
        <w:ind w:left="460" w:right="0" w:firstLine="340"/>
        <w:jc w:val="both"/>
      </w:pPr>
      <w:bookmarkStart w:id="171" w:name="bookmark171"/>
      <w:r>
        <w:rPr>
          <w:color w:val="000000"/>
          <w:spacing w:val="0"/>
          <w:w w:val="100"/>
          <w:position w:val="0"/>
        </w:rPr>
        <w:t>（</w:t>
      </w:r>
      <w:bookmarkEnd w:id="171"/>
      <w:r>
        <w:rPr>
          <w:rFonts w:ascii="Times New Roman" w:eastAsia="Times New Roman" w:hAnsi="Times New Roman" w:cs="Times New Roman"/>
          <w:color w:val="000000"/>
          <w:spacing w:val="0"/>
          <w:w w:val="100"/>
          <w:position w:val="0"/>
        </w:rPr>
        <w:t>3</w:t>
      </w:r>
      <w:r>
        <w:rPr>
          <w:color w:val="000000"/>
          <w:spacing w:val="0"/>
          <w:w w:val="100"/>
          <w:position w:val="0"/>
        </w:rPr>
        <w:t>）</w:t>
        <w:tab/>
        <w:t>“利润表”中确认的“固定资产折旧</w:t>
      </w:r>
      <w:r>
        <w:rPr>
          <w:color w:val="000000"/>
          <w:spacing w:val="0"/>
          <w:w w:val="100"/>
          <w:position w:val="0"/>
        </w:rPr>
        <w:t xml:space="preserve">” </w:t>
      </w:r>
      <w:r>
        <w:rPr>
          <w:rFonts w:ascii="Times New Roman" w:eastAsia="Times New Roman" w:hAnsi="Times New Roman" w:cs="Times New Roman"/>
          <w:color w:val="000000"/>
          <w:spacing w:val="0"/>
          <w:w w:val="100"/>
          <w:position w:val="0"/>
        </w:rPr>
        <w:t>2,464.06</w:t>
      </w:r>
      <w:r>
        <w:rPr>
          <w:color w:val="000000"/>
          <w:spacing w:val="0"/>
          <w:w w:val="100"/>
          <w:position w:val="0"/>
        </w:rPr>
        <w:t>万元，“无形资产摊销</w:t>
      </w:r>
      <w:r>
        <w:rPr>
          <w:color w:val="000000"/>
          <w:spacing w:val="0"/>
          <w:w w:val="100"/>
          <w:position w:val="0"/>
        </w:rPr>
        <w:t xml:space="preserve">” </w:t>
      </w:r>
      <w:r>
        <w:rPr>
          <w:rFonts w:ascii="Times New Roman" w:eastAsia="Times New Roman" w:hAnsi="Times New Roman" w:cs="Times New Roman"/>
          <w:color w:val="000000"/>
          <w:spacing w:val="0"/>
          <w:w w:val="100"/>
          <w:position w:val="0"/>
        </w:rPr>
        <w:t>2,207.52</w:t>
      </w:r>
      <w:r>
        <w:rPr>
          <w:color w:val="000000"/>
          <w:spacing w:val="0"/>
          <w:w w:val="100"/>
          <w:position w:val="0"/>
        </w:rPr>
        <w:t>万元， “长期待摊费用摊销</w:t>
      </w:r>
      <w:r>
        <w:rPr>
          <w:color w:val="000000"/>
          <w:spacing w:val="0"/>
          <w:w w:val="100"/>
          <w:position w:val="0"/>
        </w:rPr>
        <w:t>”</w:t>
      </w:r>
      <w:r>
        <w:rPr>
          <w:rFonts w:ascii="Times New Roman" w:eastAsia="Times New Roman" w:hAnsi="Times New Roman" w:cs="Times New Roman"/>
          <w:color w:val="000000"/>
          <w:spacing w:val="0"/>
          <w:w w:val="100"/>
          <w:position w:val="0"/>
        </w:rPr>
        <w:t>2,264.55</w:t>
      </w:r>
      <w:r>
        <w:rPr>
          <w:color w:val="000000"/>
          <w:spacing w:val="0"/>
          <w:w w:val="100"/>
          <w:position w:val="0"/>
        </w:rPr>
        <w:t>万元，不属于“现金流量表”中的“经营活动产生的现金流量”。</w:t>
      </w:r>
    </w:p>
    <w:p>
      <w:pPr>
        <w:pStyle w:val="Style44"/>
        <w:keepNext w:val="0"/>
        <w:keepLines w:val="0"/>
        <w:widowControl w:val="0"/>
        <w:shd w:val="clear" w:color="auto" w:fill="auto"/>
        <w:tabs>
          <w:tab w:pos="1346" w:val="left"/>
        </w:tabs>
        <w:bidi w:val="0"/>
        <w:spacing w:before="0" w:after="0" w:line="485" w:lineRule="exact"/>
        <w:ind w:left="460" w:right="0" w:firstLine="340"/>
        <w:jc w:val="both"/>
      </w:pPr>
      <w:bookmarkStart w:id="172" w:name="bookmark172"/>
      <w:r>
        <w:rPr>
          <w:color w:val="000000"/>
          <w:spacing w:val="0"/>
          <w:w w:val="100"/>
          <w:position w:val="0"/>
        </w:rPr>
        <w:t>（</w:t>
      </w:r>
      <w:bookmarkEnd w:id="172"/>
      <w:r>
        <w:rPr>
          <w:rFonts w:ascii="Times New Roman" w:eastAsia="Times New Roman" w:hAnsi="Times New Roman" w:cs="Times New Roman"/>
          <w:color w:val="000000"/>
          <w:spacing w:val="0"/>
          <w:w w:val="100"/>
          <w:position w:val="0"/>
        </w:rPr>
        <w:t>4</w:t>
      </w:r>
      <w:r>
        <w:rPr>
          <w:color w:val="000000"/>
          <w:spacing w:val="0"/>
          <w:w w:val="100"/>
          <w:position w:val="0"/>
        </w:rPr>
        <w:t>）</w:t>
        <w:tab/>
        <w:t xml:space="preserve">“利润表”中确认的“公允价值变动收益” </w:t>
      </w:r>
      <w:r>
        <w:rPr>
          <w:rFonts w:ascii="Times New Roman" w:eastAsia="Times New Roman" w:hAnsi="Times New Roman" w:cs="Times New Roman"/>
          <w:color w:val="000000"/>
          <w:spacing w:val="0"/>
          <w:w w:val="100"/>
          <w:position w:val="0"/>
        </w:rPr>
        <w:t>1,274.92</w:t>
      </w:r>
      <w:r>
        <w:rPr>
          <w:color w:val="000000"/>
          <w:spacing w:val="0"/>
          <w:w w:val="100"/>
          <w:position w:val="0"/>
        </w:rPr>
        <w:t>万元，不属于“现金流量表”中的 “经营活动产生的现金流量”。</w:t>
      </w:r>
    </w:p>
    <w:p>
      <w:pPr>
        <w:pStyle w:val="Style44"/>
        <w:keepNext w:val="0"/>
        <w:keepLines w:val="0"/>
        <w:widowControl w:val="0"/>
        <w:shd w:val="clear" w:color="auto" w:fill="auto"/>
        <w:tabs>
          <w:tab w:pos="1423" w:val="left"/>
        </w:tabs>
        <w:bidi w:val="0"/>
        <w:spacing w:before="0" w:after="600" w:line="485" w:lineRule="exact"/>
        <w:ind w:left="460" w:right="0" w:firstLine="340"/>
        <w:jc w:val="both"/>
      </w:pPr>
      <w:bookmarkStart w:id="173" w:name="bookmark173"/>
      <w:r>
        <w:rPr>
          <w:color w:val="000000"/>
          <w:spacing w:val="0"/>
          <w:w w:val="100"/>
          <w:position w:val="0"/>
        </w:rPr>
        <w:t>（</w:t>
      </w:r>
      <w:bookmarkEnd w:id="173"/>
      <w:r>
        <w:rPr>
          <w:rFonts w:ascii="Times New Roman" w:eastAsia="Times New Roman" w:hAnsi="Times New Roman" w:cs="Times New Roman"/>
          <w:color w:val="000000"/>
          <w:spacing w:val="0"/>
          <w:w w:val="100"/>
          <w:position w:val="0"/>
        </w:rPr>
        <w:t>5</w:t>
      </w:r>
      <w:r>
        <w:rPr>
          <w:color w:val="000000"/>
          <w:spacing w:val="0"/>
          <w:w w:val="100"/>
          <w:position w:val="0"/>
        </w:rPr>
        <w:t>）</w:t>
        <w:tab/>
        <w:t>“利润表”中确认的“营业外收入”中的</w:t>
      </w:r>
      <w:r>
        <w:rPr>
          <w:rFonts w:ascii="Times New Roman" w:eastAsia="Times New Roman" w:hAnsi="Times New Roman" w:cs="Times New Roman"/>
          <w:color w:val="000000"/>
          <w:spacing w:val="0"/>
          <w:w w:val="100"/>
          <w:position w:val="0"/>
        </w:rPr>
        <w:t>7,464.74</w:t>
      </w:r>
      <w:r>
        <w:rPr>
          <w:color w:val="000000"/>
          <w:spacing w:val="0"/>
          <w:w w:val="100"/>
          <w:position w:val="0"/>
        </w:rPr>
        <w:t>万元，是收到华夏芯业绩承诺方支付 的业绩补偿款，不属于“现金流量表”中的“经营活动产生的现金流量”。</w:t>
      </w:r>
    </w:p>
    <w:p>
      <w:pPr>
        <w:pStyle w:val="Style42"/>
        <w:keepNext/>
        <w:keepLines/>
        <w:widowControl w:val="0"/>
        <w:shd w:val="clear" w:color="auto" w:fill="auto"/>
        <w:bidi w:val="0"/>
        <w:spacing w:before="0" w:after="360" w:line="485" w:lineRule="exact"/>
        <w:ind w:left="0" w:right="0" w:firstLine="460"/>
        <w:jc w:val="left"/>
      </w:pPr>
      <w:bookmarkStart w:id="174" w:name="bookmark174"/>
      <w:bookmarkStart w:id="175" w:name="bookmark175"/>
      <w:bookmarkStart w:id="176" w:name="bookmark176"/>
      <w:bookmarkStart w:id="177" w:name="bookmark177"/>
      <w:r>
        <w:rPr>
          <w:color w:val="000000"/>
          <w:spacing w:val="0"/>
          <w:w w:val="100"/>
          <w:position w:val="0"/>
        </w:rPr>
        <w:t>三</w:t>
      </w:r>
      <w:bookmarkEnd w:id="176"/>
      <w:r>
        <w:rPr>
          <w:color w:val="000000"/>
          <w:spacing w:val="0"/>
          <w:w w:val="100"/>
          <w:position w:val="0"/>
        </w:rPr>
        <w:t>、非主营业务情况</w:t>
      </w:r>
      <w:bookmarkEnd w:id="174"/>
      <w:bookmarkEnd w:id="175"/>
      <w:bookmarkEnd w:id="177"/>
    </w:p>
    <w:p>
      <w:pPr>
        <w:pStyle w:val="Style38"/>
        <w:keepNext w:val="0"/>
        <w:keepLines w:val="0"/>
        <w:widowControl w:val="0"/>
        <w:shd w:val="clear" w:color="auto" w:fill="auto"/>
        <w:bidi w:val="0"/>
        <w:spacing w:before="0" w:after="0" w:line="485" w:lineRule="exact"/>
        <w:ind w:left="192" w:right="0" w:firstLine="0"/>
        <w:jc w:val="left"/>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392"/>
        <w:gridCol w:w="1843"/>
        <w:gridCol w:w="1272"/>
        <w:gridCol w:w="4253"/>
        <w:gridCol w:w="124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占利润总额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20"/>
                <w:szCs w:val="20"/>
              </w:rPr>
            </w:pPr>
            <w:r>
              <w:rPr>
                <w:color w:val="000000"/>
                <w:spacing w:val="0"/>
                <w:w w:val="100"/>
                <w:position w:val="0"/>
                <w:sz w:val="20"/>
                <w:szCs w:val="20"/>
              </w:rPr>
              <w:t>是否具有可 持续性</w:t>
            </w:r>
          </w:p>
        </w:tc>
      </w:tr>
      <w:tr>
        <w:trPr>
          <w:trHeight w:val="52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-9,669,147.75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138.11%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主要是按照权益法确认对华夏芯投资亏损。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widowControl w:val="0"/>
        <w:spacing w:line="1" w:lineRule="exact"/>
      </w:pPr>
      <w:r>
        <w:br w:type="page"/>
      </w:r>
    </w:p>
    <w:tbl>
      <w:tblPr>
        <w:tblOverlap w:val="never"/>
        <w:jc w:val="center"/>
        <w:tblLayout w:type="fixed"/>
      </w:tblPr>
      <w:tblGrid>
        <w:gridCol w:w="1392"/>
        <w:gridCol w:w="1843"/>
        <w:gridCol w:w="1272"/>
        <w:gridCol w:w="4253"/>
        <w:gridCol w:w="124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公允价值变动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12,749,229.48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主要是公司参与投资的</w:t>
            </w:r>
            <w:r>
              <w:rPr>
                <w:rFonts w:ascii="Times New Roman" w:eastAsia="Times New Roman" w:hAnsi="Times New Roman" w:cs="Times New Roman"/>
                <w:color w:val="000000"/>
                <w:spacing w:val="0"/>
                <w:w w:val="100"/>
                <w:position w:val="0"/>
                <w:sz w:val="22"/>
                <w:szCs w:val="22"/>
              </w:rPr>
              <w:t>Ambiq Micro,Inc.</w:t>
            </w:r>
            <w:r>
              <w:rPr>
                <w:color w:val="000000"/>
                <w:spacing w:val="0"/>
                <w:w w:val="100"/>
                <w:position w:val="0"/>
                <w:sz w:val="20"/>
                <w:szCs w:val="20"/>
              </w:rPr>
              <w:t>优 先股公允价值上升。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32,560,472.04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-465.08%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主要是回款金额超过单项计提坏账准备后的 账面价值，对超过部分进行转回的金额比上 年同期增加。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-34,163,619.51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主要是存货计提跌价；商誉计提减值。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75,314,857.40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主要是收到华夏芯业绩承诺方支付的业绩补 偿款。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2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1,607,106.89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主要是补偿款和非流动资产毁损报废损失。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widowControl w:val="0"/>
        <w:spacing w:after="339" w:line="1" w:lineRule="exact"/>
      </w:pPr>
    </w:p>
    <w:p>
      <w:pPr>
        <w:pStyle w:val="Style42"/>
        <w:keepNext/>
        <w:keepLines/>
        <w:widowControl w:val="0"/>
        <w:shd w:val="clear" w:color="auto" w:fill="auto"/>
        <w:bidi w:val="0"/>
        <w:spacing w:before="0" w:after="340" w:line="240" w:lineRule="auto"/>
        <w:ind w:left="0" w:right="0" w:firstLine="600"/>
        <w:jc w:val="left"/>
      </w:pPr>
      <w:bookmarkStart w:id="178" w:name="bookmark178"/>
      <w:bookmarkStart w:id="179" w:name="bookmark179"/>
      <w:bookmarkStart w:id="180" w:name="bookmark180"/>
      <w:bookmarkStart w:id="181" w:name="bookmark181"/>
      <w:r>
        <w:rPr>
          <w:color w:val="000000"/>
          <w:spacing w:val="0"/>
          <w:w w:val="100"/>
          <w:position w:val="0"/>
        </w:rPr>
        <w:t>四</w:t>
      </w:r>
      <w:bookmarkEnd w:id="180"/>
      <w:r>
        <w:rPr>
          <w:color w:val="000000"/>
          <w:spacing w:val="0"/>
          <w:w w:val="100"/>
          <w:position w:val="0"/>
        </w:rPr>
        <w:t>、资产及负债状况</w:t>
      </w:r>
      <w:bookmarkEnd w:id="178"/>
      <w:bookmarkEnd w:id="179"/>
      <w:bookmarkEnd w:id="181"/>
    </w:p>
    <w:p>
      <w:pPr>
        <w:pStyle w:val="Style52"/>
        <w:keepNext/>
        <w:keepLines/>
        <w:widowControl w:val="0"/>
        <w:shd w:val="clear" w:color="auto" w:fill="auto"/>
        <w:bidi w:val="0"/>
        <w:spacing w:before="0" w:after="340" w:line="240" w:lineRule="auto"/>
        <w:ind w:left="0" w:right="0" w:firstLine="600"/>
        <w:jc w:val="left"/>
        <w:rPr>
          <w:sz w:val="20"/>
          <w:szCs w:val="20"/>
        </w:rPr>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sz w:val="20"/>
          <w:szCs w:val="20"/>
        </w:rPr>
        <w:t>1</w:t>
      </w:r>
      <w:bookmarkEnd w:id="184"/>
      <w:r>
        <w:rPr>
          <w:color w:val="000000"/>
          <w:spacing w:val="0"/>
          <w:w w:val="100"/>
          <w:position w:val="0"/>
          <w:sz w:val="20"/>
          <w:szCs w:val="20"/>
        </w:rPr>
        <w:t>、资产构成重大变动情况</w:t>
      </w:r>
      <w:bookmarkEnd w:id="182"/>
      <w:bookmarkEnd w:id="183"/>
      <w:bookmarkEnd w:id="185"/>
    </w:p>
    <w:p>
      <w:pPr>
        <w:pStyle w:val="Style3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426"/>
        <w:gridCol w:w="1718"/>
        <w:gridCol w:w="1277"/>
        <w:gridCol w:w="1560"/>
        <w:gridCol w:w="1277"/>
        <w:gridCol w:w="1133"/>
        <w:gridCol w:w="1248"/>
      </w:tblGrid>
      <w:tr>
        <w:trPr>
          <w:trHeight w:val="52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重大变动说 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295,788,279.48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239,549,762.18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2.56%</w:t>
            </w: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202,917,873.97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230,342,373.19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-1.52%</w:t>
            </w: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182,019,017.88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182,472,718.56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-0.16%</w:t>
            </w: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101,967,376.78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4.98%</w:t>
            </w: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111,326,274.32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-5.53%</w:t>
            </w: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379,019,310.00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381,651,652.00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-0.42%</w:t>
            </w: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363,036,571.69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352,554,075.12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0.24%</w:t>
            </w: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35,223,603.10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55,911,950.66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-1.06%</w:t>
            </w: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100,189,138.89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325,536,033.33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-11.27%</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317,000,000.00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2"/>
        <w:keepNext/>
        <w:keepLines/>
        <w:widowControl w:val="0"/>
        <w:shd w:val="clear" w:color="auto" w:fill="auto"/>
        <w:bidi w:val="0"/>
        <w:spacing w:before="0" w:after="340" w:line="240" w:lineRule="auto"/>
        <w:ind w:left="0" w:right="0" w:firstLine="60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2</w:t>
      </w:r>
      <w:bookmarkEnd w:id="188"/>
      <w:r>
        <w:rPr>
          <w:color w:val="000000"/>
          <w:spacing w:val="0"/>
          <w:w w:val="100"/>
          <w:position w:val="0"/>
        </w:rPr>
        <w:t>、以公允价值计量的资产和负债</w:t>
      </w:r>
      <w:bookmarkEnd w:id="186"/>
      <w:bookmarkEnd w:id="187"/>
      <w:bookmarkEnd w:id="189"/>
    </w:p>
    <w:p>
      <w:pPr>
        <w:pStyle w:val="Style44"/>
        <w:keepNext w:val="0"/>
        <w:keepLines w:val="0"/>
        <w:widowControl w:val="0"/>
        <w:shd w:val="clear" w:color="auto" w:fill="auto"/>
        <w:bidi w:val="0"/>
        <w:spacing w:before="0" w:after="120" w:line="240" w:lineRule="auto"/>
        <w:ind w:left="0" w:right="0" w:firstLine="60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84"/>
        <w:keepNext w:val="0"/>
        <w:keepLines w:val="0"/>
        <w:widowControl w:val="0"/>
        <w:shd w:val="clear" w:color="auto" w:fill="auto"/>
        <w:bidi w:val="0"/>
        <w:spacing w:before="0" w:line="240" w:lineRule="auto"/>
        <w:ind w:left="9420" w:right="0" w:firstLine="0"/>
        <w:jc w:val="left"/>
      </w:pPr>
      <w:r>
        <w:rPr>
          <w:color w:val="000000"/>
          <w:spacing w:val="0"/>
          <w:w w:val="100"/>
          <w:position w:val="0"/>
        </w:rPr>
        <w:t>单位：元</w:t>
      </w:r>
      <w:r>
        <w:br w:type="page"/>
      </w:r>
    </w:p>
    <w:tbl>
      <w:tblPr>
        <w:tblOverlap w:val="never"/>
        <w:jc w:val="center"/>
        <w:tblLayout w:type="fixed"/>
      </w:tblPr>
      <w:tblGrid>
        <w:gridCol w:w="1589"/>
        <w:gridCol w:w="1397"/>
        <w:gridCol w:w="1411"/>
        <w:gridCol w:w="1282"/>
        <w:gridCol w:w="562"/>
        <w:gridCol w:w="1277"/>
        <w:gridCol w:w="571"/>
        <w:gridCol w:w="1277"/>
        <w:gridCol w:w="1426"/>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本期公允价值 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 计提 的减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本期 出售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52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金融资产</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交易性金融资 产（不含衍生金 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38,003,647.47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21,082,447.88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-1,353,900.00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57,732,195.35</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3,942,303.92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16,837,876.15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20,780,180.07</w:t>
            </w:r>
          </w:p>
        </w:tc>
      </w:tr>
      <w:tr>
        <w:trPr>
          <w:trHeight w:val="51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其他权益工具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69,280,119.29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122,226.59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69,402,345.88</w:t>
            </w:r>
          </w:p>
        </w:tc>
      </w:tr>
      <w:tr>
        <w:trPr>
          <w:trHeight w:val="51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金融资产小计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111,226,070.68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21,082,447.88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-1,231,673.41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147,914,721.30</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381,651,652.00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-2,632,342.00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379,019,310.00</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492,877,722.68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18,450,105.88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-1,231,673.41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16,837,876.15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526,934,031.30</w:t>
            </w:r>
          </w:p>
        </w:tc>
      </w:tr>
      <w:tr>
        <w:trPr>
          <w:trHeight w:val="533"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44"/>
        <w:keepNext w:val="0"/>
        <w:keepLines w:val="0"/>
        <w:widowControl w:val="0"/>
        <w:shd w:val="clear" w:color="auto" w:fill="auto"/>
        <w:bidi w:val="0"/>
        <w:spacing w:before="0" w:after="180" w:line="240" w:lineRule="auto"/>
        <w:ind w:left="0" w:right="0" w:firstLine="640"/>
        <w:jc w:val="left"/>
      </w:pPr>
      <w:r>
        <w:rPr>
          <w:color w:val="000000"/>
          <w:spacing w:val="0"/>
          <w:w w:val="100"/>
          <w:position w:val="0"/>
        </w:rPr>
        <w:t>报告期内公司主要资产计量属性是否发生重大变化</w:t>
      </w:r>
    </w:p>
    <w:p>
      <w:pPr>
        <w:pStyle w:val="Style44"/>
        <w:keepNext w:val="0"/>
        <w:keepLines w:val="0"/>
        <w:widowControl w:val="0"/>
        <w:shd w:val="clear" w:color="auto" w:fill="auto"/>
        <w:bidi w:val="0"/>
        <w:spacing w:before="0" w:after="360" w:line="240" w:lineRule="auto"/>
        <w:ind w:left="0" w:right="0" w:firstLine="640"/>
        <w:jc w:val="left"/>
      </w:pPr>
      <w:r>
        <w:rPr>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52"/>
        <w:keepNext/>
        <w:keepLines/>
        <w:widowControl w:val="0"/>
        <w:shd w:val="clear" w:color="auto" w:fill="auto"/>
        <w:bidi w:val="0"/>
        <w:spacing w:before="0" w:line="240" w:lineRule="auto"/>
        <w:ind w:left="0" w:right="0" w:firstLine="64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3</w:t>
      </w:r>
      <w:bookmarkEnd w:id="192"/>
      <w:r>
        <w:rPr>
          <w:color w:val="000000"/>
          <w:spacing w:val="0"/>
          <w:w w:val="100"/>
          <w:position w:val="0"/>
        </w:rPr>
        <w:t>、截至报告期末的资产权利受限情况</w:t>
      </w:r>
      <w:bookmarkEnd w:id="190"/>
      <w:bookmarkEnd w:id="191"/>
      <w:bookmarkEnd w:id="193"/>
    </w:p>
    <w:tbl>
      <w:tblPr>
        <w:tblOverlap w:val="never"/>
        <w:jc w:val="center"/>
        <w:tblLayout w:type="fixed"/>
      </w:tblPr>
      <w:tblGrid>
        <w:gridCol w:w="2669"/>
        <w:gridCol w:w="2832"/>
        <w:gridCol w:w="3979"/>
      </w:tblGrid>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37,015,985.64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票据保证金及借款保证金</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536,025.76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票据质押</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12,758,889.88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票据质押</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379,019,310.00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借款抵押</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254,607,200.25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借款抵押</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21,846,042.37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借款抵押</w:t>
            </w:r>
          </w:p>
        </w:tc>
      </w:tr>
      <w:tr>
        <w:trPr>
          <w:trHeight w:val="53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705,783,453.90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4"/>
        <w:keepNext w:val="0"/>
        <w:keepLines w:val="0"/>
        <w:widowControl w:val="0"/>
        <w:shd w:val="clear" w:color="auto" w:fill="auto"/>
        <w:bidi w:val="0"/>
        <w:spacing w:before="0" w:after="340" w:line="240" w:lineRule="auto"/>
        <w:ind w:left="0" w:right="0" w:firstLine="560"/>
        <w:jc w:val="left"/>
        <w:rPr>
          <w:sz w:val="20"/>
          <w:szCs w:val="20"/>
        </w:rPr>
      </w:pPr>
      <w:r>
        <w:rPr>
          <w:color w:val="000000"/>
          <w:spacing w:val="0"/>
          <w:w w:val="100"/>
          <w:position w:val="0"/>
          <w:sz w:val="20"/>
          <w:szCs w:val="20"/>
        </w:rPr>
        <w:t>截至报告期末，公司主要资产不存在其他被查封、扣押、冻结或者被抵押、质押的情形。</w:t>
      </w:r>
    </w:p>
    <w:p>
      <w:pPr>
        <w:pStyle w:val="Style42"/>
        <w:keepNext/>
        <w:keepLines/>
        <w:widowControl w:val="0"/>
        <w:shd w:val="clear" w:color="auto" w:fill="auto"/>
        <w:bidi w:val="0"/>
        <w:spacing w:before="0" w:after="340" w:line="240" w:lineRule="auto"/>
        <w:ind w:left="0" w:right="0" w:firstLine="560"/>
        <w:jc w:val="left"/>
      </w:pPr>
      <w:bookmarkStart w:id="194" w:name="bookmark194"/>
      <w:bookmarkStart w:id="195" w:name="bookmark195"/>
      <w:bookmarkStart w:id="196" w:name="bookmark196"/>
      <w:bookmarkStart w:id="197" w:name="bookmark197"/>
      <w:r>
        <w:rPr>
          <w:color w:val="000000"/>
          <w:spacing w:val="0"/>
          <w:w w:val="100"/>
          <w:position w:val="0"/>
        </w:rPr>
        <w:t>五</w:t>
      </w:r>
      <w:bookmarkEnd w:id="196"/>
      <w:r>
        <w:rPr>
          <w:color w:val="000000"/>
          <w:spacing w:val="0"/>
          <w:w w:val="100"/>
          <w:position w:val="0"/>
        </w:rPr>
        <w:t>、投资状况分析</w:t>
      </w:r>
      <w:bookmarkEnd w:id="194"/>
      <w:bookmarkEnd w:id="195"/>
      <w:bookmarkEnd w:id="197"/>
    </w:p>
    <w:p>
      <w:pPr>
        <w:pStyle w:val="Style52"/>
        <w:keepNext/>
        <w:keepLines/>
        <w:widowControl w:val="0"/>
        <w:shd w:val="clear" w:color="auto" w:fill="auto"/>
        <w:bidi w:val="0"/>
        <w:spacing w:before="0" w:after="340" w:line="240" w:lineRule="auto"/>
        <w:ind w:left="0" w:right="0" w:firstLine="56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1</w:t>
      </w:r>
      <w:bookmarkEnd w:id="200"/>
      <w:r>
        <w:rPr>
          <w:color w:val="000000"/>
          <w:spacing w:val="0"/>
          <w:w w:val="100"/>
          <w:position w:val="0"/>
        </w:rPr>
        <w:t>、总体情况</w:t>
      </w:r>
      <w:bookmarkEnd w:id="198"/>
      <w:bookmarkEnd w:id="199"/>
      <w:bookmarkEnd w:id="201"/>
    </w:p>
    <w:p>
      <w:pPr>
        <w:pStyle w:val="Style44"/>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336"/>
        <w:gridCol w:w="3192"/>
        <w:gridCol w:w="3269"/>
      </w:tblGrid>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变动幅度</w:t>
            </w:r>
          </w:p>
        </w:tc>
      </w:tr>
      <w:tr>
        <w:trPr>
          <w:trHeight w:val="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65,855,140.00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bl>
    <w:p>
      <w:pPr>
        <w:pStyle w:val="Style38"/>
        <w:keepNext w:val="0"/>
        <w:keepLines w:val="0"/>
        <w:widowControl w:val="0"/>
        <w:shd w:val="clear" w:color="auto" w:fill="auto"/>
        <w:bidi w:val="0"/>
        <w:spacing w:before="0" w:after="0" w:line="240" w:lineRule="auto"/>
        <w:ind w:left="0" w:right="0" w:firstLine="0"/>
        <w:jc w:val="center"/>
      </w:pPr>
      <w:bookmarkStart w:id="202" w:name="bookmark202"/>
      <w:r>
        <w:rPr>
          <w:rFonts w:ascii="Times New Roman" w:eastAsia="Times New Roman" w:hAnsi="Times New Roman" w:cs="Times New Roman"/>
          <w:b/>
          <w:bCs/>
          <w:color w:val="000000"/>
          <w:spacing w:val="0"/>
          <w:w w:val="100"/>
          <w:position w:val="0"/>
        </w:rPr>
        <w:t>2</w:t>
      </w:r>
      <w:r>
        <w:rPr>
          <w:b/>
          <w:bCs/>
          <w:color w:val="000000"/>
          <w:spacing w:val="0"/>
          <w:w w:val="100"/>
          <w:position w:val="0"/>
        </w:rPr>
        <w:t>、报告期内获取的重大的股权投资情况</w:t>
      </w:r>
      <w:bookmarkEnd w:id="202"/>
    </w:p>
    <w:p>
      <w:pPr>
        <w:widowControl w:val="0"/>
        <w:spacing w:after="339" w:line="1" w:lineRule="exact"/>
      </w:pPr>
    </w:p>
    <w:p>
      <w:pPr>
        <w:pStyle w:val="Style44"/>
        <w:keepNext w:val="0"/>
        <w:keepLines w:val="0"/>
        <w:widowControl w:val="0"/>
        <w:shd w:val="clear" w:color="auto" w:fill="auto"/>
        <w:bidi w:val="0"/>
        <w:spacing w:before="0" w:after="340" w:line="240" w:lineRule="auto"/>
        <w:ind w:left="0" w:right="0" w:firstLine="5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2"/>
        <w:keepNext/>
        <w:keepLines/>
        <w:widowControl w:val="0"/>
        <w:shd w:val="clear" w:color="auto" w:fill="auto"/>
        <w:tabs>
          <w:tab w:pos="952" w:val="left"/>
        </w:tabs>
        <w:bidi w:val="0"/>
        <w:spacing w:before="0" w:after="340" w:line="240" w:lineRule="auto"/>
        <w:ind w:left="0" w:right="0" w:firstLine="56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3</w:t>
      </w:r>
      <w:bookmarkEnd w:id="205"/>
      <w:r>
        <w:rPr>
          <w:color w:val="000000"/>
          <w:spacing w:val="0"/>
          <w:w w:val="100"/>
          <w:position w:val="0"/>
        </w:rPr>
        <w:t>、</w:t>
        <w:tab/>
        <w:t>报告期内正在进行的重大的非股权投资情况</w:t>
      </w:r>
      <w:bookmarkEnd w:id="203"/>
      <w:bookmarkEnd w:id="204"/>
      <w:bookmarkEnd w:id="206"/>
    </w:p>
    <w:p>
      <w:pPr>
        <w:pStyle w:val="Style44"/>
        <w:keepNext w:val="0"/>
        <w:keepLines w:val="0"/>
        <w:widowControl w:val="0"/>
        <w:shd w:val="clear" w:color="auto" w:fill="auto"/>
        <w:bidi w:val="0"/>
        <w:spacing w:before="0" w:after="340" w:line="240" w:lineRule="auto"/>
        <w:ind w:left="0" w:right="0" w:firstLine="5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2"/>
        <w:keepNext/>
        <w:keepLines/>
        <w:widowControl w:val="0"/>
        <w:shd w:val="clear" w:color="auto" w:fill="auto"/>
        <w:tabs>
          <w:tab w:pos="952" w:val="left"/>
        </w:tabs>
        <w:bidi w:val="0"/>
        <w:spacing w:before="0" w:after="340" w:line="240" w:lineRule="auto"/>
        <w:ind w:left="0" w:right="0" w:firstLine="56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4</w:t>
      </w:r>
      <w:bookmarkEnd w:id="209"/>
      <w:r>
        <w:rPr>
          <w:color w:val="000000"/>
          <w:spacing w:val="0"/>
          <w:w w:val="100"/>
          <w:position w:val="0"/>
        </w:rPr>
        <w:t>、</w:t>
        <w:tab/>
        <w:t>以公允价值计量的金融资产</w:t>
      </w:r>
      <w:bookmarkEnd w:id="207"/>
      <w:bookmarkEnd w:id="208"/>
      <w:bookmarkEnd w:id="210"/>
    </w:p>
    <w:p>
      <w:pPr>
        <w:pStyle w:val="Style38"/>
        <w:keepNext w:val="0"/>
        <w:keepLines w:val="0"/>
        <w:widowControl w:val="0"/>
        <w:shd w:val="clear" w:color="auto" w:fill="auto"/>
        <w:bidi w:val="0"/>
        <w:spacing w:before="0" w:after="0" w:line="240" w:lineRule="auto"/>
        <w:ind w:left="552"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65"/>
        <w:gridCol w:w="1450"/>
        <w:gridCol w:w="1416"/>
        <w:gridCol w:w="1272"/>
        <w:gridCol w:w="994"/>
        <w:gridCol w:w="710"/>
        <w:gridCol w:w="566"/>
        <w:gridCol w:w="1272"/>
        <w:gridCol w:w="1421"/>
        <w:gridCol w:w="57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初始投资成本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本期公允价值 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报告期内 购入金额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报告期 内售出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累计 投资 收益</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资金 来源</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应收款项 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3,942,303.92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16,837,876.15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20,780,180.07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自有 资金</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交易性金 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38,003,647.47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21,082,447.88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-1,353,900.00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57,732,195.35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自有 资金</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69,280,119.29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122,226.59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69,402,345.88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自有 资金</w:t>
            </w:r>
          </w:p>
        </w:tc>
      </w:tr>
      <w:tr>
        <w:trPr>
          <w:trHeight w:val="53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111,226,070.68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21,082,447.88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-1,231,673.41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16,837,876.15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147,914,721.30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339" w:line="1" w:lineRule="exact"/>
      </w:pPr>
    </w:p>
    <w:p>
      <w:pPr>
        <w:pStyle w:val="Style52"/>
        <w:keepNext/>
        <w:keepLines/>
        <w:widowControl w:val="0"/>
        <w:shd w:val="clear" w:color="auto" w:fill="auto"/>
        <w:bidi w:val="0"/>
        <w:spacing w:before="0" w:after="340" w:line="240" w:lineRule="auto"/>
        <w:ind w:left="0" w:right="0" w:firstLine="56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5</w:t>
      </w:r>
      <w:bookmarkEnd w:id="213"/>
      <w:r>
        <w:rPr>
          <w:color w:val="000000"/>
          <w:spacing w:val="0"/>
          <w:w w:val="100"/>
          <w:position w:val="0"/>
        </w:rPr>
        <w:t>、募集资金使用情况</w:t>
      </w:r>
      <w:bookmarkEnd w:id="211"/>
      <w:bookmarkEnd w:id="212"/>
      <w:bookmarkEnd w:id="214"/>
    </w:p>
    <w:p>
      <w:pPr>
        <w:pStyle w:val="Style44"/>
        <w:keepNext w:val="0"/>
        <w:keepLines w:val="0"/>
        <w:widowControl w:val="0"/>
        <w:shd w:val="clear" w:color="auto" w:fill="auto"/>
        <w:bidi w:val="0"/>
        <w:spacing w:before="0" w:after="340" w:line="240" w:lineRule="auto"/>
        <w:ind w:left="0" w:right="0" w:firstLine="5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71"/>
        <w:keepNext/>
        <w:keepLines/>
        <w:widowControl w:val="0"/>
        <w:shd w:val="clear" w:color="auto" w:fill="auto"/>
        <w:bidi w:val="0"/>
        <w:spacing w:before="0" w:after="340" w:line="240" w:lineRule="auto"/>
        <w:ind w:left="0" w:right="0" w:firstLine="560"/>
        <w:jc w:val="left"/>
      </w:pPr>
      <w:bookmarkStart w:id="215" w:name="bookmark215"/>
      <w:bookmarkStart w:id="216" w:name="bookmark216"/>
      <w:bookmarkStart w:id="217" w:name="bookmark217"/>
      <w:bookmarkStart w:id="218" w:name="bookmark218"/>
      <w:r>
        <w:rPr>
          <w:color w:val="000000"/>
          <w:spacing w:val="0"/>
          <w:w w:val="100"/>
          <w:position w:val="0"/>
        </w:rPr>
        <w:t>（</w:t>
      </w:r>
      <w:bookmarkEnd w:id="217"/>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5"/>
      <w:bookmarkEnd w:id="216"/>
      <w:bookmarkEnd w:id="218"/>
    </w:p>
    <w:p>
      <w:pPr>
        <w:pStyle w:val="Style44"/>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84"/>
        <w:keepNext w:val="0"/>
        <w:keepLines w:val="0"/>
        <w:widowControl w:val="0"/>
        <w:shd w:val="clear" w:color="auto" w:fill="auto"/>
        <w:bidi w:val="0"/>
        <w:spacing w:before="0" w:line="240" w:lineRule="auto"/>
        <w:ind w:left="0" w:right="560" w:firstLine="0"/>
        <w:jc w:val="right"/>
      </w:pPr>
      <w:r>
        <w:rPr>
          <w:color w:val="000000"/>
          <w:spacing w:val="0"/>
          <w:w w:val="100"/>
          <w:position w:val="0"/>
        </w:rPr>
        <w:t>单位：万元</w:t>
      </w:r>
      <w:r>
        <w:br w:type="page"/>
      </w:r>
    </w:p>
    <w:tbl>
      <w:tblPr>
        <w:tblOverlap w:val="never"/>
        <w:jc w:val="center"/>
        <w:tblLayout w:type="fixed"/>
      </w:tblPr>
      <w:tblGrid>
        <w:gridCol w:w="874"/>
        <w:gridCol w:w="864"/>
        <w:gridCol w:w="1075"/>
        <w:gridCol w:w="994"/>
        <w:gridCol w:w="1018"/>
        <w:gridCol w:w="821"/>
        <w:gridCol w:w="1022"/>
        <w:gridCol w:w="710"/>
        <w:gridCol w:w="989"/>
        <w:gridCol w:w="710"/>
        <w:gridCol w:w="1003"/>
      </w:tblGrid>
      <w:tr>
        <w:trPr>
          <w:trHeight w:val="188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募集年</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20"/>
                <w:szCs w:val="20"/>
              </w:rPr>
              <w:t>募集方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left"/>
              <w:rPr>
                <w:sz w:val="20"/>
                <w:szCs w:val="20"/>
              </w:rPr>
            </w:pPr>
            <w:r>
              <w:rPr>
                <w:color w:val="000000"/>
                <w:spacing w:val="0"/>
                <w:w w:val="100"/>
                <w:position w:val="0"/>
                <w:sz w:val="20"/>
                <w:szCs w:val="2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3" w:lineRule="exact"/>
              <w:ind w:left="0" w:right="0" w:firstLine="0"/>
              <w:jc w:val="both"/>
              <w:rPr>
                <w:sz w:val="20"/>
                <w:szCs w:val="20"/>
              </w:rPr>
            </w:pPr>
            <w:r>
              <w:rPr>
                <w:color w:val="000000"/>
                <w:spacing w:val="0"/>
                <w:w w:val="100"/>
                <w:position w:val="0"/>
                <w:sz w:val="20"/>
                <w:szCs w:val="2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3" w:lineRule="exact"/>
              <w:ind w:left="0" w:right="0" w:firstLine="0"/>
              <w:jc w:val="both"/>
              <w:rPr>
                <w:sz w:val="20"/>
                <w:szCs w:val="20"/>
              </w:rPr>
            </w:pPr>
            <w:r>
              <w:rPr>
                <w:color w:val="000000"/>
                <w:spacing w:val="0"/>
                <w:w w:val="100"/>
                <w:position w:val="0"/>
                <w:sz w:val="20"/>
                <w:szCs w:val="2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8" w:lineRule="exact"/>
              <w:ind w:left="0" w:right="0" w:firstLine="0"/>
              <w:jc w:val="both"/>
              <w:rPr>
                <w:sz w:val="20"/>
                <w:szCs w:val="20"/>
              </w:rPr>
            </w:pPr>
            <w:r>
              <w:rPr>
                <w:color w:val="000000"/>
                <w:spacing w:val="0"/>
                <w:w w:val="100"/>
                <w:position w:val="0"/>
                <w:sz w:val="20"/>
                <w:szCs w:val="20"/>
              </w:rPr>
              <w:t>报告期 内变更 用途的 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60" w:lineRule="exact"/>
              <w:ind w:left="0" w:right="0" w:firstLine="0"/>
              <w:jc w:val="both"/>
              <w:rPr>
                <w:sz w:val="20"/>
                <w:szCs w:val="20"/>
              </w:rPr>
            </w:pPr>
            <w:r>
              <w:rPr>
                <w:color w:val="000000"/>
                <w:spacing w:val="0"/>
                <w:w w:val="100"/>
                <w:position w:val="0"/>
                <w:sz w:val="20"/>
                <w:szCs w:val="20"/>
              </w:rPr>
              <w:t>累计变更 用途的募 集资金总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8" w:lineRule="exact"/>
              <w:ind w:left="0" w:right="0" w:firstLine="0"/>
              <w:jc w:val="both"/>
              <w:rPr>
                <w:sz w:val="20"/>
                <w:szCs w:val="20"/>
              </w:rPr>
            </w:pPr>
            <w:r>
              <w:rPr>
                <w:color w:val="000000"/>
                <w:spacing w:val="0"/>
                <w:w w:val="100"/>
                <w:position w:val="0"/>
                <w:sz w:val="20"/>
                <w:szCs w:val="20"/>
              </w:rPr>
              <w:t>累计变 更用途 的募集 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3" w:lineRule="exact"/>
              <w:ind w:left="0" w:right="0" w:firstLine="0"/>
              <w:jc w:val="both"/>
              <w:rPr>
                <w:sz w:val="20"/>
                <w:szCs w:val="20"/>
              </w:rPr>
            </w:pPr>
            <w:r>
              <w:rPr>
                <w:color w:val="000000"/>
                <w:spacing w:val="0"/>
                <w:w w:val="100"/>
                <w:position w:val="0"/>
                <w:sz w:val="20"/>
                <w:szCs w:val="20"/>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9" w:lineRule="exact"/>
              <w:ind w:left="0" w:right="0" w:firstLine="0"/>
              <w:jc w:val="both"/>
              <w:rPr>
                <w:sz w:val="20"/>
                <w:szCs w:val="20"/>
              </w:rPr>
            </w:pPr>
            <w:r>
              <w:rPr>
                <w:color w:val="000000"/>
                <w:spacing w:val="0"/>
                <w:w w:val="100"/>
                <w:position w:val="0"/>
                <w:sz w:val="20"/>
                <w:szCs w:val="20"/>
              </w:rPr>
              <w:t>尚未使 用募集 资金用 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58" w:lineRule="exact"/>
              <w:ind w:left="0" w:right="0" w:firstLine="0"/>
              <w:jc w:val="both"/>
              <w:rPr>
                <w:sz w:val="20"/>
                <w:szCs w:val="20"/>
              </w:rPr>
            </w:pPr>
            <w:r>
              <w:rPr>
                <w:color w:val="000000"/>
                <w:spacing w:val="0"/>
                <w:w w:val="100"/>
                <w:position w:val="0"/>
                <w:sz w:val="20"/>
                <w:szCs w:val="20"/>
              </w:rPr>
              <w:t>闲置两年 以上募集 资金金额</w:t>
            </w:r>
          </w:p>
        </w:tc>
      </w:tr>
      <w:tr>
        <w:trPr>
          <w:trHeight w:val="11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2010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首次公</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230,401.97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2,308.25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265,006.88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31,243.09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2,949.69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20"/>
                <w:szCs w:val="20"/>
              </w:rPr>
            </w:pPr>
            <w:r>
              <w:rPr>
                <w:color w:val="000000"/>
                <w:spacing w:val="0"/>
                <w:w w:val="100"/>
                <w:position w:val="0"/>
                <w:sz w:val="20"/>
                <w:szCs w:val="20"/>
              </w:rPr>
              <w:t>存放募</w:t>
            </w:r>
          </w:p>
          <w:p>
            <w:pPr>
              <w:pStyle w:val="Style2"/>
              <w:keepNext w:val="0"/>
              <w:keepLines w:val="0"/>
              <w:widowControl w:val="0"/>
              <w:shd w:val="clear" w:color="auto" w:fill="auto"/>
              <w:bidi w:val="0"/>
              <w:spacing w:before="0" w:after="120" w:line="240" w:lineRule="auto"/>
              <w:ind w:left="0" w:right="0" w:firstLine="0"/>
              <w:jc w:val="both"/>
              <w:rPr>
                <w:sz w:val="20"/>
                <w:szCs w:val="20"/>
              </w:rPr>
            </w:pPr>
            <w:r>
              <w:rPr>
                <w:color w:val="000000"/>
                <w:spacing w:val="0"/>
                <w:w w:val="100"/>
                <w:position w:val="0"/>
                <w:sz w:val="20"/>
                <w:szCs w:val="20"/>
              </w:rPr>
              <w:t>集资金</w:t>
            </w:r>
          </w:p>
          <w:p>
            <w:pPr>
              <w:pStyle w:val="Style2"/>
              <w:keepNext w:val="0"/>
              <w:keepLines w:val="0"/>
              <w:widowControl w:val="0"/>
              <w:shd w:val="clear" w:color="auto" w:fill="auto"/>
              <w:bidi w:val="0"/>
              <w:spacing w:before="0" w:after="120" w:line="240" w:lineRule="auto"/>
              <w:ind w:left="0" w:right="0" w:firstLine="0"/>
              <w:jc w:val="right"/>
              <w:rPr>
                <w:sz w:val="20"/>
                <w:szCs w:val="20"/>
              </w:rPr>
            </w:pPr>
            <w:r>
              <w:rPr>
                <w:color w:val="000000"/>
                <w:spacing w:val="0"/>
                <w:w w:val="100"/>
                <w:position w:val="0"/>
                <w:sz w:val="20"/>
                <w:szCs w:val="20"/>
              </w:rPr>
              <w:t>专户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2,949.69</w:t>
            </w:r>
          </w:p>
        </w:tc>
      </w:tr>
      <w:tr>
        <w:trPr>
          <w:trHeight w:val="4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230,401.97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2,308.25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265,006.88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31,243.09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2,949.69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2,949.69</w:t>
            </w:r>
          </w:p>
        </w:tc>
      </w:tr>
      <w:tr>
        <w:trPr>
          <w:trHeight w:val="451"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募集资金总体使用情况说明</w:t>
            </w:r>
          </w:p>
        </w:tc>
      </w:tr>
      <w:tr>
        <w:trPr>
          <w:trHeight w:val="9701"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858" w:val="left"/>
              </w:tabs>
              <w:bidi w:val="0"/>
              <w:spacing w:before="0" w:after="0" w:line="468" w:lineRule="exact"/>
              <w:ind w:left="0" w:right="0" w:firstLine="340"/>
              <w:jc w:val="both"/>
              <w:rPr>
                <w:sz w:val="20"/>
                <w:szCs w:val="20"/>
              </w:rPr>
            </w:pPr>
            <w:r>
              <w:rPr>
                <w:color w:val="000000"/>
                <w:spacing w:val="0"/>
                <w:w w:val="100"/>
                <w:position w:val="0"/>
                <w:sz w:val="20"/>
                <w:szCs w:val="20"/>
              </w:rPr>
              <w:t>（一）</w:t>
              <w:tab/>
              <w:t>募集资金金额及到位时间</w:t>
            </w:r>
          </w:p>
          <w:p>
            <w:pPr>
              <w:pStyle w:val="Style2"/>
              <w:keepNext w:val="0"/>
              <w:keepLines w:val="0"/>
              <w:widowControl w:val="0"/>
              <w:shd w:val="clear" w:color="auto" w:fill="auto"/>
              <w:bidi w:val="0"/>
              <w:spacing w:before="0" w:after="0" w:line="468" w:lineRule="exact"/>
              <w:ind w:left="0" w:right="0" w:firstLine="460"/>
              <w:jc w:val="both"/>
              <w:rPr>
                <w:sz w:val="20"/>
                <w:szCs w:val="20"/>
              </w:rPr>
            </w:pPr>
            <w:r>
              <w:rPr>
                <w:color w:val="000000"/>
                <w:spacing w:val="0"/>
                <w:w w:val="100"/>
                <w:position w:val="0"/>
                <w:sz w:val="20"/>
                <w:szCs w:val="20"/>
              </w:rPr>
              <w:t>经中国证券监督管理委员会证监许可</w:t>
            </w:r>
            <w:r>
              <w:rPr>
                <w:rFonts w:ascii="Times New Roman" w:eastAsia="Times New Roman" w:hAnsi="Times New Roman" w:cs="Times New Roman"/>
                <w:color w:val="000000"/>
                <w:spacing w:val="0"/>
                <w:w w:val="100"/>
                <w:position w:val="0"/>
                <w:sz w:val="20"/>
                <w:szCs w:val="20"/>
              </w:rPr>
              <w:t>［2010］432</w:t>
            </w:r>
            <w:r>
              <w:rPr>
                <w:color w:val="000000"/>
                <w:spacing w:val="0"/>
                <w:w w:val="100"/>
                <w:position w:val="0"/>
                <w:sz w:val="20"/>
                <w:szCs w:val="20"/>
              </w:rPr>
              <w:t>号核准，本公司委托主承销商安信证券股份有限公司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以下 简称“安信证券”</w:t>
            </w:r>
            <w:r>
              <w:rPr>
                <w:color w:val="000000"/>
                <w:spacing w:val="0"/>
                <w:w w:val="100"/>
                <w:position w:val="0"/>
                <w:sz w:val="20"/>
                <w:szCs w:val="20"/>
              </w:rPr>
              <w:t>）</w:t>
            </w:r>
            <w:r>
              <w:rPr>
                <w:color w:val="000000"/>
                <w:spacing w:val="0"/>
                <w:w w:val="100"/>
                <w:position w:val="0"/>
                <w:sz w:val="20"/>
                <w:szCs w:val="20"/>
              </w:rPr>
              <w:t>首次公开发行人民币普通股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w:t>
            </w:r>
            <w:r>
              <w:rPr>
                <w:rFonts w:ascii="Times New Roman" w:eastAsia="Times New Roman" w:hAnsi="Times New Roman" w:cs="Times New Roman"/>
                <w:color w:val="000000"/>
                <w:spacing w:val="0"/>
                <w:w w:val="100"/>
                <w:position w:val="0"/>
                <w:sz w:val="20"/>
                <w:szCs w:val="20"/>
              </w:rPr>
              <w:t>2,720</w:t>
            </w:r>
            <w:r>
              <w:rPr>
                <w:color w:val="000000"/>
                <w:spacing w:val="0"/>
                <w:w w:val="100"/>
                <w:position w:val="0"/>
                <w:sz w:val="20"/>
                <w:szCs w:val="20"/>
              </w:rPr>
              <w:t>万股（每股面值</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元），发行价格为每股</w:t>
            </w:r>
            <w:r>
              <w:rPr>
                <w:rFonts w:ascii="Times New Roman" w:eastAsia="Times New Roman" w:hAnsi="Times New Roman" w:cs="Times New Roman"/>
                <w:color w:val="000000"/>
                <w:spacing w:val="0"/>
                <w:w w:val="100"/>
                <w:position w:val="0"/>
                <w:sz w:val="20"/>
                <w:szCs w:val="20"/>
              </w:rPr>
              <w:t xml:space="preserve">87.50 </w:t>
            </w:r>
            <w:r>
              <w:rPr>
                <w:color w:val="000000"/>
                <w:spacing w:val="0"/>
                <w:w w:val="100"/>
                <w:position w:val="0"/>
                <w:sz w:val="20"/>
                <w:szCs w:val="20"/>
              </w:rPr>
              <w:t>元，共募集资金人民币</w:t>
            </w:r>
            <w:r>
              <w:rPr>
                <w:rFonts w:ascii="Times New Roman" w:eastAsia="Times New Roman" w:hAnsi="Times New Roman" w:cs="Times New Roman"/>
                <w:color w:val="000000"/>
                <w:spacing w:val="0"/>
                <w:w w:val="100"/>
                <w:position w:val="0"/>
                <w:sz w:val="20"/>
                <w:szCs w:val="20"/>
              </w:rPr>
              <w:t>238,000</w:t>
            </w:r>
            <w:r>
              <w:rPr>
                <w:color w:val="000000"/>
                <w:spacing w:val="0"/>
                <w:w w:val="100"/>
                <w:position w:val="0"/>
                <w:sz w:val="20"/>
                <w:szCs w:val="20"/>
              </w:rPr>
              <w:t>万元。扣除承销和保荐费用</w:t>
            </w:r>
            <w:r>
              <w:rPr>
                <w:rFonts w:ascii="Times New Roman" w:eastAsia="Times New Roman" w:hAnsi="Times New Roman" w:cs="Times New Roman"/>
                <w:color w:val="000000"/>
                <w:spacing w:val="0"/>
                <w:w w:val="100"/>
                <w:position w:val="0"/>
                <w:sz w:val="20"/>
                <w:szCs w:val="20"/>
              </w:rPr>
              <w:t>7,140</w:t>
            </w:r>
            <w:r>
              <w:rPr>
                <w:color w:val="000000"/>
                <w:spacing w:val="0"/>
                <w:w w:val="100"/>
                <w:position w:val="0"/>
                <w:sz w:val="20"/>
                <w:szCs w:val="20"/>
              </w:rPr>
              <w:t>万元后的募集资金人民币</w:t>
            </w:r>
            <w:r>
              <w:rPr>
                <w:rFonts w:ascii="Times New Roman" w:eastAsia="Times New Roman" w:hAnsi="Times New Roman" w:cs="Times New Roman"/>
                <w:color w:val="000000"/>
                <w:spacing w:val="0"/>
                <w:w w:val="100"/>
                <w:position w:val="0"/>
                <w:sz w:val="20"/>
                <w:szCs w:val="20"/>
              </w:rPr>
              <w:t>230,860</w:t>
            </w:r>
            <w:r>
              <w:rPr>
                <w:color w:val="000000"/>
                <w:spacing w:val="0"/>
                <w:w w:val="100"/>
                <w:position w:val="0"/>
                <w:sz w:val="20"/>
                <w:szCs w:val="20"/>
              </w:rPr>
              <w:t>万元，由 主承销商安信证券于</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日汇入本公司账户。另减除律师费、审计费、法定信息披露及路演推介等 其他发行费用</w:t>
            </w:r>
            <w:r>
              <w:rPr>
                <w:rFonts w:ascii="Times New Roman" w:eastAsia="Times New Roman" w:hAnsi="Times New Roman" w:cs="Times New Roman"/>
                <w:color w:val="000000"/>
                <w:spacing w:val="0"/>
                <w:w w:val="100"/>
                <w:position w:val="0"/>
                <w:sz w:val="20"/>
                <w:szCs w:val="20"/>
              </w:rPr>
              <w:t>835.41</w:t>
            </w:r>
            <w:r>
              <w:rPr>
                <w:color w:val="000000"/>
                <w:spacing w:val="0"/>
                <w:w w:val="100"/>
                <w:position w:val="0"/>
                <w:sz w:val="20"/>
                <w:szCs w:val="20"/>
              </w:rPr>
              <w:t>万元，公司本次实际募集资金净额为人民币</w:t>
            </w:r>
            <w:r>
              <w:rPr>
                <w:rFonts w:ascii="Times New Roman" w:eastAsia="Times New Roman" w:hAnsi="Times New Roman" w:cs="Times New Roman"/>
                <w:color w:val="000000"/>
                <w:spacing w:val="0"/>
                <w:w w:val="100"/>
                <w:position w:val="0"/>
                <w:sz w:val="20"/>
                <w:szCs w:val="20"/>
              </w:rPr>
              <w:t>230,024.59</w:t>
            </w:r>
            <w:r>
              <w:rPr>
                <w:color w:val="000000"/>
                <w:spacing w:val="0"/>
                <w:w w:val="100"/>
                <w:position w:val="0"/>
                <w:sz w:val="20"/>
                <w:szCs w:val="20"/>
              </w:rPr>
              <w:t>万元，经利安达会计师事务所有 限责任公司验证，已由其出具利安达验字</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1026</w:t>
            </w:r>
            <w:r>
              <w:rPr>
                <w:color w:val="000000"/>
                <w:spacing w:val="0"/>
                <w:w w:val="100"/>
                <w:position w:val="0"/>
                <w:sz w:val="20"/>
                <w:szCs w:val="20"/>
              </w:rPr>
              <w:t>号《验资报告》。</w:t>
            </w:r>
          </w:p>
          <w:p>
            <w:pPr>
              <w:pStyle w:val="Style2"/>
              <w:keepNext w:val="0"/>
              <w:keepLines w:val="0"/>
              <w:widowControl w:val="0"/>
              <w:shd w:val="clear" w:color="auto" w:fill="auto"/>
              <w:bidi w:val="0"/>
              <w:spacing w:before="0" w:after="0" w:line="470" w:lineRule="exact"/>
              <w:ind w:left="0" w:right="0" w:firstLine="340"/>
              <w:jc w:val="both"/>
              <w:rPr>
                <w:sz w:val="20"/>
                <w:szCs w:val="20"/>
              </w:rPr>
            </w:pPr>
            <w:r>
              <w:rPr>
                <w:color w:val="000000"/>
                <w:spacing w:val="0"/>
                <w:w w:val="100"/>
                <w:position w:val="0"/>
                <w:sz w:val="20"/>
                <w:szCs w:val="20"/>
              </w:rPr>
              <w:t>根据财政部</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日发布的《财政部关于执行企业会计准则的上市公司和非上市企业做好</w:t>
            </w:r>
            <w:r>
              <w:rPr>
                <w:rFonts w:ascii="Times New Roman" w:eastAsia="Times New Roman" w:hAnsi="Times New Roman" w:cs="Times New Roman"/>
                <w:color w:val="000000"/>
                <w:spacing w:val="0"/>
                <w:w w:val="100"/>
                <w:position w:val="0"/>
                <w:sz w:val="20"/>
                <w:szCs w:val="20"/>
              </w:rPr>
              <w:t xml:space="preserve">2010 </w:t>
            </w:r>
            <w:r>
              <w:rPr>
                <w:color w:val="000000"/>
                <w:spacing w:val="0"/>
                <w:w w:val="100"/>
                <w:position w:val="0"/>
                <w:sz w:val="20"/>
                <w:szCs w:val="20"/>
              </w:rPr>
              <w:t>年年报工作的通知》（财会</w:t>
            </w:r>
            <w:r>
              <w:rPr>
                <w:rFonts w:ascii="Times New Roman" w:eastAsia="Times New Roman" w:hAnsi="Times New Roman" w:cs="Times New Roman"/>
                <w:color w:val="000000"/>
                <w:spacing w:val="0"/>
                <w:w w:val="100"/>
                <w:position w:val="0"/>
                <w:sz w:val="20"/>
                <w:szCs w:val="20"/>
              </w:rPr>
              <w:t>［2010］25</w:t>
            </w:r>
            <w:r>
              <w:rPr>
                <w:color w:val="000000"/>
                <w:spacing w:val="0"/>
                <w:w w:val="100"/>
                <w:position w:val="0"/>
                <w:sz w:val="20"/>
                <w:szCs w:val="20"/>
              </w:rPr>
              <w:t>号）第七条要求“发行权益性证券过程中发生的广告费、路演费、上市酒 会费等费用，应当计入当期损益”、第九条要求“涉及第四个问题、第六个问题和第七个问题的，应当自</w:t>
            </w:r>
            <w:r>
              <w:rPr>
                <w:rFonts w:ascii="Times New Roman" w:eastAsia="Times New Roman" w:hAnsi="Times New Roman" w:cs="Times New Roman"/>
                <w:color w:val="000000"/>
                <w:spacing w:val="0"/>
                <w:w w:val="100"/>
                <w:position w:val="0"/>
                <w:sz w:val="20"/>
                <w:szCs w:val="20"/>
              </w:rPr>
              <w:t xml:space="preserve">2010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日起施行”。公司已根据财会</w:t>
            </w:r>
            <w:r>
              <w:rPr>
                <w:rFonts w:ascii="Times New Roman" w:eastAsia="Times New Roman" w:hAnsi="Times New Roman" w:cs="Times New Roman"/>
                <w:color w:val="000000"/>
                <w:spacing w:val="0"/>
                <w:w w:val="100"/>
                <w:position w:val="0"/>
                <w:sz w:val="20"/>
                <w:szCs w:val="20"/>
              </w:rPr>
              <w:t>［2010］25</w:t>
            </w:r>
            <w:r>
              <w:rPr>
                <w:color w:val="000000"/>
                <w:spacing w:val="0"/>
                <w:w w:val="100"/>
                <w:position w:val="0"/>
                <w:sz w:val="20"/>
                <w:szCs w:val="20"/>
              </w:rPr>
              <w:t>号文件的要求进行账务调整，调增资本公积</w:t>
            </w:r>
            <w:r>
              <w:rPr>
                <w:rFonts w:ascii="Times New Roman" w:eastAsia="Times New Roman" w:hAnsi="Times New Roman" w:cs="Times New Roman"/>
                <w:color w:val="000000"/>
                <w:spacing w:val="0"/>
                <w:w w:val="100"/>
                <w:position w:val="0"/>
                <w:sz w:val="20"/>
                <w:szCs w:val="20"/>
              </w:rPr>
              <w:t>3,773,799.80</w:t>
            </w:r>
            <w:r>
              <w:rPr>
                <w:color w:val="000000"/>
                <w:spacing w:val="0"/>
                <w:w w:val="100"/>
                <w:position w:val="0"/>
                <w:sz w:val="20"/>
                <w:szCs w:val="20"/>
              </w:rPr>
              <w:t>元， 调增管理费用</w:t>
            </w:r>
            <w:r>
              <w:rPr>
                <w:rFonts w:ascii="Times New Roman" w:eastAsia="Times New Roman" w:hAnsi="Times New Roman" w:cs="Times New Roman"/>
                <w:color w:val="000000"/>
                <w:spacing w:val="0"/>
                <w:w w:val="100"/>
                <w:position w:val="0"/>
                <w:sz w:val="20"/>
                <w:szCs w:val="20"/>
              </w:rPr>
              <w:t>3,773,799.80</w:t>
            </w:r>
            <w:r>
              <w:rPr>
                <w:color w:val="000000"/>
                <w:spacing w:val="0"/>
                <w:w w:val="100"/>
                <w:position w:val="0"/>
                <w:sz w:val="20"/>
                <w:szCs w:val="20"/>
              </w:rPr>
              <w:t>元。公司已于</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日由流动资金中拨出</w:t>
            </w:r>
            <w:r>
              <w:rPr>
                <w:rFonts w:ascii="Times New Roman" w:eastAsia="Times New Roman" w:hAnsi="Times New Roman" w:cs="Times New Roman"/>
                <w:color w:val="000000"/>
                <w:spacing w:val="0"/>
                <w:w w:val="100"/>
                <w:position w:val="0"/>
                <w:sz w:val="20"/>
                <w:szCs w:val="20"/>
              </w:rPr>
              <w:t>3,773,799.80</w:t>
            </w:r>
            <w:r>
              <w:rPr>
                <w:color w:val="000000"/>
                <w:spacing w:val="0"/>
                <w:w w:val="100"/>
                <w:position w:val="0"/>
                <w:sz w:val="20"/>
                <w:szCs w:val="20"/>
              </w:rPr>
              <w:t>元补入募集资金专 户。</w:t>
            </w:r>
          </w:p>
          <w:p>
            <w:pPr>
              <w:pStyle w:val="Style2"/>
              <w:keepNext w:val="0"/>
              <w:keepLines w:val="0"/>
              <w:widowControl w:val="0"/>
              <w:shd w:val="clear" w:color="auto" w:fill="auto"/>
              <w:tabs>
                <w:tab w:pos="858" w:val="left"/>
              </w:tabs>
              <w:bidi w:val="0"/>
              <w:spacing w:before="0" w:after="0" w:line="468" w:lineRule="exact"/>
              <w:ind w:left="0" w:right="0" w:firstLine="340"/>
              <w:jc w:val="both"/>
              <w:rPr>
                <w:sz w:val="20"/>
                <w:szCs w:val="20"/>
              </w:rPr>
            </w:pPr>
            <w:r>
              <w:rPr>
                <w:color w:val="000000"/>
                <w:spacing w:val="0"/>
                <w:w w:val="100"/>
                <w:position w:val="0"/>
                <w:sz w:val="20"/>
                <w:szCs w:val="20"/>
              </w:rPr>
              <w:t>（二）</w:t>
              <w:tab/>
              <w:t>募资金使用及结余情况</w:t>
            </w:r>
          </w:p>
          <w:p>
            <w:pPr>
              <w:pStyle w:val="Style2"/>
              <w:keepNext w:val="0"/>
              <w:keepLines w:val="0"/>
              <w:widowControl w:val="0"/>
              <w:shd w:val="clear" w:color="auto" w:fill="auto"/>
              <w:tabs>
                <w:tab w:pos="753" w:val="left"/>
              </w:tabs>
              <w:bidi w:val="0"/>
              <w:spacing w:before="0" w:after="0" w:line="468" w:lineRule="exact"/>
              <w:ind w:left="0" w:right="0" w:firstLine="34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使用超募资金投资可信计算技术研究</w:t>
            </w:r>
          </w:p>
          <w:p>
            <w:pPr>
              <w:pStyle w:val="Style2"/>
              <w:keepNext w:val="0"/>
              <w:keepLines w:val="0"/>
              <w:widowControl w:val="0"/>
              <w:shd w:val="clear" w:color="auto" w:fill="auto"/>
              <w:bidi w:val="0"/>
              <w:spacing w:before="0" w:after="0" w:line="466" w:lineRule="exact"/>
              <w:ind w:left="0" w:right="0" w:firstLine="340"/>
              <w:jc w:val="both"/>
              <w:rPr>
                <w:sz w:val="20"/>
                <w:szCs w:val="20"/>
              </w:rPr>
            </w:pPr>
            <w:r>
              <w:rPr>
                <w:color w:val="000000"/>
                <w:spacing w:val="0"/>
                <w:w w:val="100"/>
                <w:position w:val="0"/>
                <w:sz w:val="20"/>
                <w:szCs w:val="20"/>
              </w:rPr>
              <w:t>经公司</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日召开的第一届董事会第二十二次审议通过，公司拟使用超募资金</w:t>
            </w:r>
            <w:r>
              <w:rPr>
                <w:rFonts w:ascii="Times New Roman" w:eastAsia="Times New Roman" w:hAnsi="Times New Roman" w:cs="Times New Roman"/>
                <w:color w:val="000000"/>
                <w:spacing w:val="0"/>
                <w:w w:val="100"/>
                <w:position w:val="0"/>
                <w:sz w:val="20"/>
                <w:szCs w:val="20"/>
              </w:rPr>
              <w:t>3,372.30</w:t>
            </w:r>
            <w:r>
              <w:rPr>
                <w:color w:val="000000"/>
                <w:spacing w:val="0"/>
                <w:w w:val="100"/>
                <w:position w:val="0"/>
                <w:sz w:val="20"/>
                <w:szCs w:val="20"/>
              </w:rPr>
              <w:t>万元投 资可信计算技术研究项目，</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年支付</w:t>
            </w:r>
            <w:r>
              <w:rPr>
                <w:rFonts w:ascii="Times New Roman" w:eastAsia="Times New Roman" w:hAnsi="Times New Roman" w:cs="Times New Roman"/>
                <w:color w:val="000000"/>
                <w:spacing w:val="0"/>
                <w:w w:val="100"/>
                <w:position w:val="0"/>
                <w:sz w:val="20"/>
                <w:szCs w:val="20"/>
              </w:rPr>
              <w:t>325.63</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日已累计投入</w:t>
            </w:r>
            <w:r>
              <w:rPr>
                <w:rFonts w:ascii="Times New Roman" w:eastAsia="Times New Roman" w:hAnsi="Times New Roman" w:cs="Times New Roman"/>
                <w:color w:val="000000"/>
                <w:spacing w:val="0"/>
                <w:w w:val="100"/>
                <w:position w:val="0"/>
                <w:sz w:val="20"/>
                <w:szCs w:val="20"/>
              </w:rPr>
              <w:t>3,402.81</w:t>
            </w:r>
            <w:r>
              <w:rPr>
                <w:color w:val="000000"/>
                <w:spacing w:val="0"/>
                <w:w w:val="100"/>
                <w:position w:val="0"/>
                <w:sz w:val="20"/>
                <w:szCs w:val="20"/>
              </w:rPr>
              <w:t>万元。</w:t>
            </w:r>
          </w:p>
          <w:p>
            <w:pPr>
              <w:pStyle w:val="Style2"/>
              <w:keepNext w:val="0"/>
              <w:keepLines w:val="0"/>
              <w:widowControl w:val="0"/>
              <w:shd w:val="clear" w:color="auto" w:fill="auto"/>
              <w:tabs>
                <w:tab w:pos="758" w:val="left"/>
              </w:tabs>
              <w:bidi w:val="0"/>
              <w:spacing w:before="0" w:after="0" w:line="468" w:lineRule="exact"/>
              <w:ind w:left="0" w:right="0" w:firstLine="34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设立国民投资进行产业投资</w:t>
            </w:r>
          </w:p>
          <w:p>
            <w:pPr>
              <w:pStyle w:val="Style2"/>
              <w:keepNext w:val="0"/>
              <w:keepLines w:val="0"/>
              <w:widowControl w:val="0"/>
              <w:shd w:val="clear" w:color="auto" w:fill="auto"/>
              <w:bidi w:val="0"/>
              <w:spacing w:before="0" w:after="0" w:line="466" w:lineRule="exact"/>
              <w:ind w:left="0" w:right="0" w:firstLine="340"/>
              <w:jc w:val="both"/>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日召开第三届董事会第五次会议，审议通过了《关于公司拟使用部分超募资金投资设 立全资子公司的议案》，同意公司使用超募资金人民币</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亿元，投资设立全资子公司深圳前海国民投资管理有</w:t>
            </w:r>
          </w:p>
        </w:tc>
      </w:tr>
    </w:tbl>
    <w:p>
      <w:pPr>
        <w:pStyle w:val="Style4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7" w:lineRule="exact"/>
        <w:ind w:left="480" w:right="0" w:firstLine="0"/>
        <w:jc w:val="both"/>
        <w:rPr>
          <w:sz w:val="20"/>
          <w:szCs w:val="20"/>
        </w:rPr>
      </w:pPr>
      <w:r>
        <w:rPr>
          <w:color w:val="000000"/>
          <w:spacing w:val="0"/>
          <w:w w:val="100"/>
          <w:position w:val="0"/>
          <w:sz w:val="20"/>
          <w:szCs w:val="20"/>
        </w:rPr>
        <w:t>限公司（以下简称</w:t>
      </w:r>
      <w:r>
        <w:rPr>
          <w:color w:val="000000"/>
          <w:spacing w:val="0"/>
          <w:w w:val="100"/>
          <w:position w:val="0"/>
          <w:sz w:val="20"/>
          <w:szCs w:val="20"/>
        </w:rPr>
        <w:t>"</w:t>
      </w:r>
      <w:r>
        <w:rPr>
          <w:color w:val="000000"/>
          <w:spacing w:val="0"/>
          <w:w w:val="100"/>
          <w:position w:val="0"/>
          <w:sz w:val="20"/>
          <w:szCs w:val="20"/>
        </w:rPr>
        <w:t>国民投资”），作为公司的投资控股平台进行产业布局。经公司</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日召开的 第四届董事会第十三次会议审议通过，同意公司减少对国民投资产业布局的投入金额</w:t>
      </w:r>
      <w:r>
        <w:rPr>
          <w:rFonts w:ascii="Times New Roman" w:eastAsia="Times New Roman" w:hAnsi="Times New Roman" w:cs="Times New Roman"/>
          <w:color w:val="000000"/>
          <w:spacing w:val="0"/>
          <w:w w:val="100"/>
          <w:position w:val="0"/>
          <w:sz w:val="20"/>
          <w:szCs w:val="20"/>
        </w:rPr>
        <w:t>29,594.36</w:t>
      </w:r>
      <w:r>
        <w:rPr>
          <w:color w:val="000000"/>
          <w:spacing w:val="0"/>
          <w:w w:val="100"/>
          <w:position w:val="0"/>
          <w:sz w:val="20"/>
          <w:szCs w:val="20"/>
        </w:rPr>
        <w:t>万元，相应国 民投资减资</w:t>
      </w:r>
      <w:r>
        <w:rPr>
          <w:rFonts w:ascii="Times New Roman" w:eastAsia="Times New Roman" w:hAnsi="Times New Roman" w:cs="Times New Roman"/>
          <w:color w:val="000000"/>
          <w:spacing w:val="0"/>
          <w:w w:val="100"/>
          <w:position w:val="0"/>
          <w:sz w:val="20"/>
          <w:szCs w:val="20"/>
        </w:rPr>
        <w:t>29,594.36</w:t>
      </w:r>
      <w:r>
        <w:rPr>
          <w:color w:val="000000"/>
          <w:spacing w:val="0"/>
          <w:w w:val="100"/>
          <w:position w:val="0"/>
          <w:sz w:val="20"/>
          <w:szCs w:val="20"/>
        </w:rPr>
        <w:t>万元。报告期内，国民投资支付斯诺实业股权收购款</w:t>
      </w:r>
      <w:r>
        <w:rPr>
          <w:rFonts w:ascii="Times New Roman" w:eastAsia="Times New Roman" w:hAnsi="Times New Roman" w:cs="Times New Roman"/>
          <w:color w:val="000000"/>
          <w:spacing w:val="0"/>
          <w:w w:val="100"/>
          <w:position w:val="0"/>
          <w:sz w:val="20"/>
          <w:szCs w:val="20"/>
        </w:rPr>
        <w:t>1,530.00</w:t>
      </w:r>
      <w:r>
        <w:rPr>
          <w:color w:val="000000"/>
          <w:spacing w:val="0"/>
          <w:w w:val="100"/>
          <w:position w:val="0"/>
          <w:sz w:val="20"/>
          <w:szCs w:val="20"/>
        </w:rPr>
        <w:t>万元，截至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日国民投资累计支付斯诺实业股权收购款及增资华夏芯投资款合计</w:t>
      </w:r>
      <w:r>
        <w:rPr>
          <w:rFonts w:ascii="Times New Roman" w:eastAsia="Times New Roman" w:hAnsi="Times New Roman" w:cs="Times New Roman"/>
          <w:color w:val="000000"/>
          <w:spacing w:val="0"/>
          <w:w w:val="100"/>
          <w:position w:val="0"/>
          <w:sz w:val="20"/>
          <w:szCs w:val="20"/>
        </w:rPr>
        <w:t>23,397.70</w:t>
      </w:r>
      <w:r>
        <w:rPr>
          <w:color w:val="000000"/>
          <w:spacing w:val="0"/>
          <w:w w:val="100"/>
          <w:position w:val="0"/>
          <w:sz w:val="20"/>
          <w:szCs w:val="20"/>
        </w:rPr>
        <w:t>万元。</w:t>
      </w:r>
    </w:p>
    <w:p>
      <w:pPr>
        <w:pStyle w:val="Style4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202" w:val="left"/>
        </w:tabs>
        <w:bidi w:val="0"/>
        <w:spacing w:before="0" w:after="0" w:line="472" w:lineRule="exact"/>
        <w:ind w:left="0" w:right="0" w:firstLine="740"/>
        <w:jc w:val="both"/>
        <w:rPr>
          <w:sz w:val="20"/>
          <w:szCs w:val="20"/>
        </w:rPr>
      </w:pPr>
      <w:bookmarkStart w:id="219" w:name="bookmark219"/>
      <w:r>
        <w:rPr>
          <w:color w:val="000000"/>
          <w:spacing w:val="0"/>
          <w:w w:val="100"/>
          <w:position w:val="0"/>
          <w:sz w:val="20"/>
          <w:szCs w:val="20"/>
        </w:rPr>
        <w:t>（</w:t>
      </w:r>
      <w:bookmarkEnd w:id="219"/>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使用超募资金投资研发和办公大楼建设</w:t>
      </w:r>
    </w:p>
    <w:p>
      <w:pPr>
        <w:pStyle w:val="Style4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73" w:lineRule="exact"/>
        <w:ind w:left="480" w:right="0" w:firstLine="320"/>
        <w:jc w:val="both"/>
        <w:rPr>
          <w:sz w:val="20"/>
          <w:szCs w:val="20"/>
        </w:rPr>
      </w:pPr>
      <w:r>
        <w:rPr>
          <w:color w:val="000000"/>
          <w:spacing w:val="0"/>
          <w:w w:val="100"/>
          <w:position w:val="0"/>
          <w:sz w:val="20"/>
          <w:szCs w:val="20"/>
        </w:rPr>
        <w:t>经公司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日第三届董事会第十次会议审议通过，公司使用超募资金</w:t>
      </w:r>
      <w:r>
        <w:rPr>
          <w:rFonts w:ascii="Times New Roman" w:eastAsia="Times New Roman" w:hAnsi="Times New Roman" w:cs="Times New Roman"/>
          <w:color w:val="000000"/>
          <w:spacing w:val="0"/>
          <w:w w:val="100"/>
          <w:position w:val="0"/>
          <w:sz w:val="20"/>
          <w:szCs w:val="20"/>
        </w:rPr>
        <w:t>46,000</w:t>
      </w:r>
      <w:r>
        <w:rPr>
          <w:color w:val="000000"/>
          <w:spacing w:val="0"/>
          <w:w w:val="100"/>
          <w:position w:val="0"/>
          <w:sz w:val="20"/>
          <w:szCs w:val="20"/>
        </w:rPr>
        <w:t>万元投资研发和办 公大楼建设项目，报告期内，支付项目质保金等尾款</w:t>
      </w:r>
      <w:r>
        <w:rPr>
          <w:rFonts w:ascii="Times New Roman" w:eastAsia="Times New Roman" w:hAnsi="Times New Roman" w:cs="Times New Roman"/>
          <w:color w:val="000000"/>
          <w:spacing w:val="0"/>
          <w:w w:val="100"/>
          <w:position w:val="0"/>
          <w:sz w:val="20"/>
          <w:szCs w:val="20"/>
        </w:rPr>
        <w:t>452.62</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日累计已支付</w:t>
      </w:r>
      <w:r>
        <w:rPr>
          <w:rFonts w:ascii="Times New Roman" w:eastAsia="Times New Roman" w:hAnsi="Times New Roman" w:cs="Times New Roman"/>
          <w:color w:val="000000"/>
          <w:spacing w:val="0"/>
          <w:w w:val="100"/>
          <w:position w:val="0"/>
          <w:sz w:val="20"/>
          <w:szCs w:val="20"/>
        </w:rPr>
        <w:t>45,340.57</w:t>
      </w:r>
      <w:r>
        <w:rPr>
          <w:color w:val="000000"/>
          <w:spacing w:val="0"/>
          <w:w w:val="100"/>
          <w:position w:val="0"/>
          <w:sz w:val="20"/>
          <w:szCs w:val="20"/>
        </w:rPr>
        <w:t>万 /元。</w:t>
      </w:r>
    </w:p>
    <w:p>
      <w:pPr>
        <w:pStyle w:val="Style4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202" w:val="left"/>
        </w:tabs>
        <w:bidi w:val="0"/>
        <w:spacing w:before="0" w:after="0" w:line="472" w:lineRule="exact"/>
        <w:ind w:left="0" w:right="0" w:firstLine="740"/>
        <w:jc w:val="both"/>
        <w:rPr>
          <w:sz w:val="20"/>
          <w:szCs w:val="20"/>
        </w:rPr>
      </w:pPr>
      <w:bookmarkStart w:id="220" w:name="bookmark220"/>
      <w:r>
        <w:rPr>
          <w:color w:val="000000"/>
          <w:spacing w:val="0"/>
          <w:w w:val="100"/>
          <w:position w:val="0"/>
          <w:sz w:val="20"/>
          <w:szCs w:val="20"/>
        </w:rPr>
        <w:t>（</w:t>
      </w:r>
      <w:bookmarkEnd w:id="220"/>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使用部分闲置募集资金购买理财产品</w:t>
      </w:r>
    </w:p>
    <w:p>
      <w:pPr>
        <w:pStyle w:val="Style4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72" w:lineRule="exact"/>
        <w:ind w:left="480" w:right="0" w:firstLine="320"/>
        <w:jc w:val="both"/>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 xml:space="preserve">日召开第四届董事会第十次会议审议通过了《关于公司拟利用闲置自有资金和闲置超 募资金进行现金管理的议案》，在不影响公司正常经营和公司超募项目建设的情况下，同意公司使用不超过 </w:t>
      </w:r>
      <w:r>
        <w:rPr>
          <w:rFonts w:ascii="Times New Roman" w:eastAsia="Times New Roman" w:hAnsi="Times New Roman" w:cs="Times New Roman"/>
          <w:color w:val="000000"/>
          <w:spacing w:val="0"/>
          <w:w w:val="100"/>
          <w:position w:val="0"/>
          <w:sz w:val="20"/>
          <w:szCs w:val="20"/>
        </w:rPr>
        <w:t>50,000</w:t>
      </w:r>
      <w:r>
        <w:rPr>
          <w:color w:val="000000"/>
          <w:spacing w:val="0"/>
          <w:w w:val="100"/>
          <w:position w:val="0"/>
          <w:sz w:val="20"/>
          <w:szCs w:val="20"/>
        </w:rPr>
        <w:t>万元的闲置自有资金和不超过</w:t>
      </w:r>
      <w:r>
        <w:rPr>
          <w:rFonts w:ascii="Times New Roman" w:eastAsia="Times New Roman" w:hAnsi="Times New Roman" w:cs="Times New Roman"/>
          <w:color w:val="000000"/>
          <w:spacing w:val="0"/>
          <w:w w:val="100"/>
          <w:position w:val="0"/>
          <w:sz w:val="20"/>
          <w:szCs w:val="20"/>
        </w:rPr>
        <w:t>50,000</w:t>
      </w:r>
      <w:r>
        <w:rPr>
          <w:color w:val="000000"/>
          <w:spacing w:val="0"/>
          <w:w w:val="100"/>
          <w:position w:val="0"/>
          <w:sz w:val="20"/>
          <w:szCs w:val="20"/>
        </w:rPr>
        <w:t>万元的闲置超募资金适时进行现金管理。</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年度，公司在额度 范围内滚动购买保本型理财产品</w:t>
      </w:r>
      <w:r>
        <w:rPr>
          <w:rFonts w:ascii="Times New Roman" w:eastAsia="Times New Roman" w:hAnsi="Times New Roman" w:cs="Times New Roman"/>
          <w:color w:val="000000"/>
          <w:spacing w:val="0"/>
          <w:w w:val="100"/>
          <w:position w:val="0"/>
          <w:sz w:val="20"/>
          <w:szCs w:val="20"/>
        </w:rPr>
        <w:t>700</w:t>
      </w:r>
      <w:r>
        <w:rPr>
          <w:color w:val="000000"/>
          <w:spacing w:val="0"/>
          <w:w w:val="100"/>
          <w:position w:val="0"/>
          <w:sz w:val="20"/>
          <w:szCs w:val="20"/>
        </w:rPr>
        <w:t>万元，取得理财产品投资收益</w:t>
      </w:r>
      <w:r>
        <w:rPr>
          <w:rFonts w:ascii="Times New Roman" w:eastAsia="Times New Roman" w:hAnsi="Times New Roman" w:cs="Times New Roman"/>
          <w:color w:val="000000"/>
          <w:spacing w:val="0"/>
          <w:w w:val="100"/>
          <w:position w:val="0"/>
          <w:sz w:val="20"/>
          <w:szCs w:val="20"/>
        </w:rPr>
        <w:t>1.64</w:t>
      </w:r>
      <w:r>
        <w:rPr>
          <w:color w:val="000000"/>
          <w:spacing w:val="0"/>
          <w:w w:val="100"/>
          <w:position w:val="0"/>
          <w:sz w:val="20"/>
          <w:szCs w:val="20"/>
        </w:rPr>
        <w:t>万元。截至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 理财产品已全部到期赎回。剩余尚未使用的募集资金存储于公司开立的募集资金专户，将用于募投项目后续资 金支付。</w:t>
      </w:r>
    </w:p>
    <w:p>
      <w:pPr>
        <w:pStyle w:val="Style4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202" w:val="left"/>
        </w:tabs>
        <w:bidi w:val="0"/>
        <w:spacing w:before="0" w:after="0" w:line="472" w:lineRule="exact"/>
        <w:ind w:left="0" w:right="0" w:firstLine="740"/>
        <w:jc w:val="both"/>
        <w:rPr>
          <w:sz w:val="20"/>
          <w:szCs w:val="20"/>
        </w:rPr>
      </w:pPr>
      <w:bookmarkStart w:id="221" w:name="bookmark221"/>
      <w:r>
        <w:rPr>
          <w:color w:val="000000"/>
          <w:spacing w:val="0"/>
          <w:w w:val="100"/>
          <w:position w:val="0"/>
          <w:sz w:val="20"/>
          <w:szCs w:val="20"/>
        </w:rPr>
        <w:t>（</w:t>
      </w:r>
      <w:bookmarkEnd w:id="221"/>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使用超募资金补充流动资金</w:t>
      </w:r>
    </w:p>
    <w:p>
      <w:pPr>
        <w:pStyle w:val="Style4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1" w:lineRule="exact"/>
        <w:ind w:left="480" w:right="0" w:firstLine="320"/>
        <w:jc w:val="both"/>
        <w:rPr>
          <w:sz w:val="20"/>
          <w:szCs w:val="20"/>
        </w:rPr>
      </w:pPr>
      <w:r>
        <w:rPr>
          <w:color w:val="000000"/>
          <w:spacing w:val="0"/>
          <w:w w:val="100"/>
          <w:position w:val="0"/>
          <w:sz w:val="20"/>
          <w:szCs w:val="20"/>
        </w:rPr>
        <w:t>经公司</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日召开的第四届董事会第十三次会议审议通过，同意公司减少对国民投资产业布局 的投入金额</w:t>
      </w:r>
      <w:r>
        <w:rPr>
          <w:rFonts w:ascii="Times New Roman" w:eastAsia="Times New Roman" w:hAnsi="Times New Roman" w:cs="Times New Roman"/>
          <w:color w:val="000000"/>
          <w:spacing w:val="0"/>
          <w:w w:val="100"/>
          <w:position w:val="0"/>
          <w:sz w:val="20"/>
          <w:szCs w:val="20"/>
        </w:rPr>
        <w:t>29,594.36</w:t>
      </w:r>
      <w:r>
        <w:rPr>
          <w:color w:val="000000"/>
          <w:spacing w:val="0"/>
          <w:w w:val="100"/>
          <w:position w:val="0"/>
          <w:sz w:val="20"/>
          <w:szCs w:val="20"/>
        </w:rPr>
        <w:t>万元，相应国民投资减资</w:t>
      </w:r>
      <w:r>
        <w:rPr>
          <w:rFonts w:ascii="Times New Roman" w:eastAsia="Times New Roman" w:hAnsi="Times New Roman" w:cs="Times New Roman"/>
          <w:color w:val="000000"/>
          <w:spacing w:val="0"/>
          <w:w w:val="100"/>
          <w:position w:val="0"/>
          <w:sz w:val="20"/>
          <w:szCs w:val="20"/>
        </w:rPr>
        <w:t>29,594.36</w:t>
      </w:r>
      <w:r>
        <w:rPr>
          <w:color w:val="000000"/>
          <w:spacing w:val="0"/>
          <w:w w:val="100"/>
          <w:position w:val="0"/>
          <w:sz w:val="20"/>
          <w:szCs w:val="20"/>
        </w:rPr>
        <w:t>万元，作为公司永久性流动资金的补充。</w:t>
      </w:r>
    </w:p>
    <w:p>
      <w:pPr>
        <w:pStyle w:val="Style4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466" w:lineRule="exact"/>
        <w:ind w:left="480" w:right="0" w:firstLine="320"/>
        <w:jc w:val="both"/>
        <w:rPr>
          <w:sz w:val="20"/>
          <w:szCs w:val="20"/>
        </w:rPr>
      </w:pPr>
      <w:r>
        <w:rPr>
          <w:color w:val="000000"/>
          <w:spacing w:val="0"/>
          <w:w w:val="100"/>
          <w:position w:val="0"/>
          <w:sz w:val="20"/>
          <w:szCs w:val="20"/>
        </w:rPr>
        <w:t>截止至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日，募集资金总额减去累计使用募集资金额加上账户产生的利息，得出尚未使用募 集资金总额</w:t>
      </w:r>
      <w:r>
        <w:rPr>
          <w:rFonts w:ascii="Times New Roman" w:eastAsia="Times New Roman" w:hAnsi="Times New Roman" w:cs="Times New Roman"/>
          <w:color w:val="000000"/>
          <w:spacing w:val="0"/>
          <w:w w:val="100"/>
          <w:position w:val="0"/>
          <w:sz w:val="20"/>
          <w:szCs w:val="20"/>
        </w:rPr>
        <w:t>2,949.69</w:t>
      </w:r>
      <w:r>
        <w:rPr>
          <w:color w:val="000000"/>
          <w:spacing w:val="0"/>
          <w:w w:val="100"/>
          <w:position w:val="0"/>
          <w:sz w:val="20"/>
          <w:szCs w:val="20"/>
        </w:rPr>
        <w:t>万元。</w:t>
      </w:r>
    </w:p>
    <w:p>
      <w:pPr>
        <w:pStyle w:val="Style71"/>
        <w:keepNext/>
        <w:keepLines/>
        <w:widowControl w:val="0"/>
        <w:shd w:val="clear" w:color="auto" w:fill="auto"/>
        <w:bidi w:val="0"/>
        <w:spacing w:before="0" w:after="380" w:line="472" w:lineRule="exact"/>
        <w:ind w:left="0" w:right="0" w:firstLine="740"/>
        <w:jc w:val="both"/>
        <w:rPr>
          <w:sz w:val="20"/>
          <w:szCs w:val="20"/>
        </w:rPr>
      </w:pPr>
      <w:bookmarkStart w:id="222" w:name="bookmark222"/>
      <w:bookmarkStart w:id="223" w:name="bookmark223"/>
      <w:bookmarkStart w:id="224" w:name="bookmark224"/>
      <w:bookmarkStart w:id="225" w:name="bookmark225"/>
      <w:r>
        <w:rPr>
          <w:color w:val="000000"/>
          <w:spacing w:val="0"/>
          <w:w w:val="100"/>
          <w:position w:val="0"/>
          <w:sz w:val="20"/>
          <w:szCs w:val="20"/>
        </w:rPr>
        <w:t>（</w:t>
      </w:r>
      <w:bookmarkEnd w:id="22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）募集资金承诺项目情况</w:t>
      </w:r>
      <w:bookmarkEnd w:id="222"/>
      <w:bookmarkEnd w:id="223"/>
      <w:bookmarkEnd w:id="225"/>
    </w:p>
    <w:p>
      <w:pPr>
        <w:pStyle w:val="Style44"/>
        <w:keepNext w:val="0"/>
        <w:keepLines w:val="0"/>
        <w:widowControl w:val="0"/>
        <w:shd w:val="clear" w:color="auto" w:fill="auto"/>
        <w:bidi w:val="0"/>
        <w:spacing w:before="0" w:after="10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p>
      <w:pPr>
        <w:pStyle w:val="Style38"/>
        <w:keepNext w:val="0"/>
        <w:keepLines w:val="0"/>
        <w:widowControl w:val="0"/>
        <w:shd w:val="clear" w:color="auto" w:fill="auto"/>
        <w:bidi w:val="0"/>
        <w:spacing w:before="0" w:after="0" w:line="240" w:lineRule="auto"/>
        <w:ind w:left="9336" w:right="0" w:firstLine="0"/>
        <w:jc w:val="left"/>
        <w:rPr>
          <w:sz w:val="18"/>
          <w:szCs w:val="18"/>
        </w:rPr>
      </w:pPr>
      <w:r>
        <w:rPr>
          <w:color w:val="000000"/>
          <w:spacing w:val="0"/>
          <w:w w:val="100"/>
          <w:position w:val="0"/>
          <w:sz w:val="18"/>
          <w:szCs w:val="18"/>
        </w:rPr>
        <w:t>单位：万元</w:t>
      </w:r>
    </w:p>
    <w:tbl>
      <w:tblPr>
        <w:tblOverlap w:val="never"/>
        <w:jc w:val="center"/>
        <w:tblLayout w:type="fixed"/>
      </w:tblPr>
      <w:tblGrid>
        <w:gridCol w:w="1699"/>
        <w:gridCol w:w="710"/>
        <w:gridCol w:w="1133"/>
        <w:gridCol w:w="1138"/>
        <w:gridCol w:w="989"/>
        <w:gridCol w:w="1138"/>
        <w:gridCol w:w="850"/>
        <w:gridCol w:w="850"/>
        <w:gridCol w:w="850"/>
        <w:gridCol w:w="710"/>
        <w:gridCol w:w="941"/>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承诺投资项目和 超募资金投向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color w:val="000000"/>
                <w:spacing w:val="0"/>
                <w:w w:val="100"/>
                <w:position w:val="0"/>
                <w:sz w:val="20"/>
                <w:szCs w:val="20"/>
              </w:rPr>
              <w:t>是否已 变更项 目</w:t>
            </w:r>
            <w:r>
              <w:rPr>
                <w:color w:val="000000"/>
                <w:spacing w:val="0"/>
                <w:w w:val="100"/>
                <w:position w:val="0"/>
                <w:sz w:val="20"/>
                <w:szCs w:val="20"/>
              </w:rPr>
              <w:t>（</w:t>
            </w:r>
            <w:r>
              <w:rPr>
                <w:color w:val="000000"/>
                <w:spacing w:val="0"/>
                <w:w w:val="100"/>
                <w:position w:val="0"/>
                <w:sz w:val="20"/>
                <w:szCs w:val="20"/>
              </w:rPr>
              <w:t>含 部分变 更</w:t>
            </w:r>
            <w:r>
              <w:rPr>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募集资金承 诺投资总额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调整后投资</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总额</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rPr>
                <w:sz w:val="20"/>
                <w:szCs w:val="20"/>
              </w:rPr>
            </w:pPr>
            <w:r>
              <w:rPr>
                <w:color w:val="000000"/>
                <w:spacing w:val="0"/>
                <w:w w:val="100"/>
                <w:position w:val="0"/>
                <w:sz w:val="20"/>
                <w:szCs w:val="20"/>
              </w:rPr>
              <w:t>截至期末累 计投入金额 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07" w:lineRule="exact"/>
              <w:ind w:left="0" w:right="0" w:firstLine="0"/>
              <w:jc w:val="both"/>
              <w:rPr>
                <w:sz w:val="20"/>
                <w:szCs w:val="20"/>
              </w:rPr>
            </w:pPr>
            <w:r>
              <w:rPr>
                <w:color w:val="000000"/>
                <w:spacing w:val="0"/>
                <w:w w:val="100"/>
                <w:position w:val="0"/>
                <w:sz w:val="20"/>
                <w:szCs w:val="20"/>
              </w:rPr>
              <w:t>截至期 末投资 进度</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项目可行 性是否发 生重大变 化</w:t>
            </w:r>
          </w:p>
        </w:tc>
      </w:tr>
      <w:tr>
        <w:trPr>
          <w:trHeight w:val="413" w:hRule="exact"/>
        </w:trPr>
        <w:tc>
          <w:tcPr>
            <w:gridSpan w:val="11"/>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承诺投资项目</w:t>
            </w:r>
          </w:p>
        </w:tc>
      </w:tr>
    </w:tbl>
    <w:p>
      <w:pPr>
        <w:widowControl w:val="0"/>
        <w:spacing w:line="1" w:lineRule="exact"/>
      </w:pPr>
      <w:r>
        <w:br w:type="page"/>
      </w:r>
    </w:p>
    <w:tbl>
      <w:tblPr>
        <w:tblOverlap w:val="never"/>
        <w:jc w:val="center"/>
        <w:tblLayout w:type="fixed"/>
      </w:tblPr>
      <w:tblGrid>
        <w:gridCol w:w="1699"/>
        <w:gridCol w:w="710"/>
        <w:gridCol w:w="1133"/>
        <w:gridCol w:w="1138"/>
        <w:gridCol w:w="989"/>
        <w:gridCol w:w="1138"/>
        <w:gridCol w:w="850"/>
        <w:gridCol w:w="850"/>
        <w:gridCol w:w="850"/>
        <w:gridCol w:w="710"/>
        <w:gridCol w:w="941"/>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32</w:t>
            </w:r>
            <w:r>
              <w:rPr>
                <w:color w:val="000000"/>
                <w:spacing w:val="0"/>
                <w:w w:val="100"/>
                <w:position w:val="0"/>
                <w:sz w:val="20"/>
                <w:szCs w:val="20"/>
              </w:rPr>
              <w:t>位高速）</w:t>
            </w:r>
            <w:r>
              <w:rPr>
                <w:rFonts w:ascii="Times New Roman" w:eastAsia="Times New Roman" w:hAnsi="Times New Roman" w:cs="Times New Roman"/>
                <w:color w:val="000000"/>
                <w:spacing w:val="0"/>
                <w:w w:val="100"/>
                <w:position w:val="0"/>
                <w:sz w:val="20"/>
                <w:szCs w:val="20"/>
              </w:rPr>
              <w:t>USB KEY</w:t>
            </w:r>
            <w:r>
              <w:rPr>
                <w:color w:val="000000"/>
                <w:spacing w:val="0"/>
                <w:w w:val="100"/>
                <w:position w:val="0"/>
                <w:sz w:val="20"/>
                <w:szCs w:val="20"/>
              </w:rPr>
              <w:t>安全主控芯 片及解决方案技 术改造项目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8,036.00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8,036.00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8,284.34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年</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3164.73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32</w:t>
            </w:r>
            <w:r>
              <w:rPr>
                <w:color w:val="000000"/>
                <w:spacing w:val="0"/>
                <w:w w:val="100"/>
                <w:position w:val="0"/>
                <w:sz w:val="20"/>
                <w:szCs w:val="20"/>
              </w:rPr>
              <w:t>位高速）安全 存储芯片及解决 方案技术改造项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10,170.00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9,064.60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9,064.60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sz w:val="20"/>
                <w:szCs w:val="20"/>
              </w:rPr>
              <w:t>年</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基于射频技术的 安全移动支付芯 片及解决方案的 研发和产业化项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15,346.00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15,346.00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15,496.77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5</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承诺投资项目小</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33,552.00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32,446.60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32,845.71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3,198.50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超募资金投向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可信计算研究项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3,372.30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3,372.30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3,402.81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并购支出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设立国民投资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20,405.64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1,530.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23,397.70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研发及办公大楼 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452.62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45,340.57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8</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增资国民电商，收</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购斯诺实业股权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增资国民投资，参 股华夏芯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7,277.00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7,277.00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7,277.00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归还银行贷款（如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补充流动资金（如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114,594.36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114,594.36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114,594.36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超募资金投向小</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257,743.66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228,149.30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2,308.25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230,512.44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65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291,295.66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260,595.90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2,308.25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263,358.15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3,198.50</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99"/>
        <w:gridCol w:w="9307"/>
      </w:tblGrid>
      <w:tr>
        <w:trPr>
          <w:trHeight w:val="247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未达到计划进度 或预计收益的情 况和原因（分具体 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22" w:val="left"/>
              </w:tabs>
              <w:bidi w:val="0"/>
              <w:spacing w:before="0" w:after="40" w:line="466"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安全存储项目：安全存储项目在项目实施过程中重点转向和移动支付结合的应用市场，公司移动 支付产品技术及相关产品由于受到金融行业移动支付标准的影响，产品的市场推广受到影响。</w:t>
            </w:r>
          </w:p>
          <w:p>
            <w:pPr>
              <w:pStyle w:val="Style2"/>
              <w:keepNext w:val="0"/>
              <w:keepLines w:val="0"/>
              <w:widowControl w:val="0"/>
              <w:shd w:val="clear" w:color="auto" w:fill="auto"/>
              <w:tabs>
                <w:tab w:pos="307" w:val="left"/>
              </w:tabs>
              <w:bidi w:val="0"/>
              <w:spacing w:before="0" w:after="0" w:line="470"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移动支付项目：随着国家对</w:t>
            </w:r>
            <w:r>
              <w:rPr>
                <w:rFonts w:ascii="Times New Roman" w:eastAsia="Times New Roman" w:hAnsi="Times New Roman" w:cs="Times New Roman"/>
                <w:color w:val="000000"/>
                <w:spacing w:val="0"/>
                <w:w w:val="100"/>
                <w:position w:val="0"/>
                <w:sz w:val="20"/>
                <w:szCs w:val="20"/>
              </w:rPr>
              <w:t>RCC</w:t>
            </w:r>
            <w:r>
              <w:rPr>
                <w:color w:val="000000"/>
                <w:spacing w:val="0"/>
                <w:w w:val="100"/>
                <w:position w:val="0"/>
                <w:sz w:val="20"/>
                <w:szCs w:val="20"/>
              </w:rPr>
              <w:t>技术的认可，</w:t>
            </w:r>
            <w:r>
              <w:rPr>
                <w:rFonts w:ascii="Times New Roman" w:eastAsia="Times New Roman" w:hAnsi="Times New Roman" w:cs="Times New Roman"/>
                <w:color w:val="000000"/>
                <w:spacing w:val="0"/>
                <w:w w:val="100"/>
                <w:position w:val="0"/>
                <w:sz w:val="20"/>
                <w:szCs w:val="20"/>
              </w:rPr>
              <w:t>RCC</w:t>
            </w:r>
            <w:r>
              <w:rPr>
                <w:color w:val="000000"/>
                <w:spacing w:val="0"/>
                <w:w w:val="100"/>
                <w:position w:val="0"/>
                <w:sz w:val="20"/>
                <w:szCs w:val="20"/>
              </w:rPr>
              <w:t>技术商用环境的建设逐步得到有效推动，长期 看对</w:t>
            </w:r>
            <w:r>
              <w:rPr>
                <w:rFonts w:ascii="Times New Roman" w:eastAsia="Times New Roman" w:hAnsi="Times New Roman" w:cs="Times New Roman"/>
                <w:color w:val="000000"/>
                <w:spacing w:val="0"/>
                <w:w w:val="100"/>
                <w:position w:val="0"/>
                <w:sz w:val="20"/>
                <w:szCs w:val="20"/>
              </w:rPr>
              <w:t>RCC</w:t>
            </w:r>
            <w:r>
              <w:rPr>
                <w:color w:val="000000"/>
                <w:spacing w:val="0"/>
                <w:w w:val="100"/>
                <w:position w:val="0"/>
                <w:sz w:val="20"/>
                <w:szCs w:val="20"/>
              </w:rPr>
              <w:t>业务发展有积极作用。但受诸多其他新兴移动支付技术应用的影响，</w:t>
            </w:r>
            <w:r>
              <w:rPr>
                <w:rFonts w:ascii="Times New Roman" w:eastAsia="Times New Roman" w:hAnsi="Times New Roman" w:cs="Times New Roman"/>
                <w:color w:val="000000"/>
                <w:spacing w:val="0"/>
                <w:w w:val="100"/>
                <w:position w:val="0"/>
                <w:sz w:val="20"/>
                <w:szCs w:val="20"/>
              </w:rPr>
              <w:t>RCC</w:t>
            </w:r>
            <w:r>
              <w:rPr>
                <w:color w:val="000000"/>
                <w:spacing w:val="0"/>
                <w:w w:val="100"/>
                <w:position w:val="0"/>
                <w:sz w:val="20"/>
                <w:szCs w:val="20"/>
              </w:rPr>
              <w:t>技术的产业基础 及市场环境建设尚需不断完善，</w:t>
            </w:r>
            <w:r>
              <w:rPr>
                <w:rFonts w:ascii="Times New Roman" w:eastAsia="Times New Roman" w:hAnsi="Times New Roman" w:cs="Times New Roman"/>
                <w:color w:val="000000"/>
                <w:spacing w:val="0"/>
                <w:w w:val="100"/>
                <w:position w:val="0"/>
                <w:sz w:val="20"/>
                <w:szCs w:val="20"/>
              </w:rPr>
              <w:t>RCC</w:t>
            </w:r>
            <w:r>
              <w:rPr>
                <w:color w:val="000000"/>
                <w:spacing w:val="0"/>
                <w:w w:val="100"/>
                <w:position w:val="0"/>
                <w:sz w:val="20"/>
                <w:szCs w:val="20"/>
              </w:rPr>
              <w:t>移动支付技术逐步进入主流市场面临很大挑战。</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项目可行性发生 重大变化的情况 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超募资金的金额、 用途及使用进展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适用</w:t>
            </w:r>
          </w:p>
        </w:tc>
      </w:tr>
      <w:tr>
        <w:trPr>
          <w:trHeight w:val="9739"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470" w:lineRule="exact"/>
              <w:ind w:left="0" w:right="0" w:firstLine="0"/>
              <w:jc w:val="both"/>
              <w:rPr>
                <w:sz w:val="20"/>
                <w:szCs w:val="20"/>
              </w:rPr>
            </w:pPr>
            <w:r>
              <w:rPr>
                <w:color w:val="000000"/>
                <w:spacing w:val="0"/>
                <w:w w:val="100"/>
                <w:position w:val="0"/>
                <w:sz w:val="20"/>
                <w:szCs w:val="20"/>
              </w:rPr>
              <w:t>国民技术本次发行超额募集资金净额</w:t>
            </w:r>
            <w:r>
              <w:rPr>
                <w:rFonts w:ascii="Times New Roman" w:eastAsia="Times New Roman" w:hAnsi="Times New Roman" w:cs="Times New Roman"/>
                <w:color w:val="000000"/>
                <w:spacing w:val="0"/>
                <w:w w:val="100"/>
                <w:position w:val="0"/>
                <w:sz w:val="20"/>
                <w:szCs w:val="20"/>
              </w:rPr>
              <w:t>196,849.97</w:t>
            </w:r>
            <w:r>
              <w:rPr>
                <w:color w:val="000000"/>
                <w:spacing w:val="0"/>
                <w:w w:val="100"/>
                <w:position w:val="0"/>
                <w:sz w:val="20"/>
                <w:szCs w:val="20"/>
              </w:rPr>
              <w:t>万元，超募资金使用情况如下：</w:t>
            </w:r>
          </w:p>
          <w:p>
            <w:pPr>
              <w:pStyle w:val="Style2"/>
              <w:keepNext w:val="0"/>
              <w:keepLines w:val="0"/>
              <w:widowControl w:val="0"/>
              <w:shd w:val="clear" w:color="auto" w:fill="auto"/>
              <w:tabs>
                <w:tab w:pos="302" w:val="left"/>
              </w:tabs>
              <w:bidi w:val="0"/>
              <w:spacing w:before="0" w:after="0" w:line="466"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经公司第一届董事会第十四次会议审议通过，公司于</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日从募集资金专项账户中转 出超募资金</w:t>
            </w:r>
            <w:r>
              <w:rPr>
                <w:rFonts w:ascii="Times New Roman" w:eastAsia="Times New Roman" w:hAnsi="Times New Roman" w:cs="Times New Roman"/>
                <w:color w:val="000000"/>
                <w:spacing w:val="0"/>
                <w:w w:val="100"/>
                <w:position w:val="0"/>
                <w:sz w:val="20"/>
                <w:szCs w:val="20"/>
              </w:rPr>
              <w:t>35,000</w:t>
            </w:r>
            <w:r>
              <w:rPr>
                <w:color w:val="000000"/>
                <w:spacing w:val="0"/>
                <w:w w:val="100"/>
                <w:position w:val="0"/>
                <w:sz w:val="20"/>
                <w:szCs w:val="20"/>
              </w:rPr>
              <w:t>万元，永久补充流动资金；</w:t>
            </w:r>
          </w:p>
          <w:p>
            <w:pPr>
              <w:pStyle w:val="Style2"/>
              <w:keepNext w:val="0"/>
              <w:keepLines w:val="0"/>
              <w:widowControl w:val="0"/>
              <w:shd w:val="clear" w:color="auto" w:fill="auto"/>
              <w:tabs>
                <w:tab w:pos="322" w:val="left"/>
              </w:tabs>
              <w:bidi w:val="0"/>
              <w:spacing w:before="0" w:after="0" w:line="470"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经公司第一届董事会第二十二次审议通过，公司拟使用超募资金</w:t>
            </w:r>
            <w:r>
              <w:rPr>
                <w:rFonts w:ascii="Times New Roman" w:eastAsia="Times New Roman" w:hAnsi="Times New Roman" w:cs="Times New Roman"/>
                <w:color w:val="000000"/>
                <w:spacing w:val="0"/>
                <w:w w:val="100"/>
                <w:position w:val="0"/>
                <w:sz w:val="20"/>
                <w:szCs w:val="20"/>
              </w:rPr>
              <w:t>3,372.30</w:t>
            </w:r>
            <w:r>
              <w:rPr>
                <w:color w:val="000000"/>
                <w:spacing w:val="0"/>
                <w:w w:val="100"/>
                <w:position w:val="0"/>
                <w:sz w:val="20"/>
                <w:szCs w:val="20"/>
              </w:rPr>
              <w:t>万元投资可信计算技术 研究项目；截止至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日，已累计投入</w:t>
            </w:r>
            <w:r>
              <w:rPr>
                <w:rFonts w:ascii="Times New Roman" w:eastAsia="Times New Roman" w:hAnsi="Times New Roman" w:cs="Times New Roman"/>
                <w:color w:val="000000"/>
                <w:spacing w:val="0"/>
                <w:w w:val="100"/>
                <w:position w:val="0"/>
                <w:sz w:val="20"/>
                <w:szCs w:val="20"/>
              </w:rPr>
              <w:t>3,402.81</w:t>
            </w:r>
            <w:r>
              <w:rPr>
                <w:color w:val="000000"/>
                <w:spacing w:val="0"/>
                <w:w w:val="100"/>
                <w:position w:val="0"/>
                <w:sz w:val="20"/>
                <w:szCs w:val="20"/>
              </w:rPr>
              <w:t>万元；</w:t>
            </w:r>
          </w:p>
          <w:p>
            <w:pPr>
              <w:pStyle w:val="Style2"/>
              <w:keepNext w:val="0"/>
              <w:keepLines w:val="0"/>
              <w:widowControl w:val="0"/>
              <w:shd w:val="clear" w:color="auto" w:fill="auto"/>
              <w:tabs>
                <w:tab w:pos="307" w:val="left"/>
              </w:tabs>
              <w:bidi w:val="0"/>
              <w:spacing w:before="0" w:after="0" w:line="480"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经公司第二届董事会第二次（临时）会议通过，公司于</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月使用超募资金</w:t>
            </w:r>
            <w:r>
              <w:rPr>
                <w:rFonts w:ascii="Times New Roman" w:eastAsia="Times New Roman" w:hAnsi="Times New Roman" w:cs="Times New Roman"/>
                <w:color w:val="000000"/>
                <w:spacing w:val="0"/>
                <w:w w:val="100"/>
                <w:position w:val="0"/>
                <w:sz w:val="20"/>
                <w:szCs w:val="20"/>
              </w:rPr>
              <w:t>16,500</w:t>
            </w:r>
            <w:r>
              <w:rPr>
                <w:color w:val="000000"/>
                <w:spacing w:val="0"/>
                <w:w w:val="100"/>
                <w:position w:val="0"/>
                <w:sz w:val="20"/>
                <w:szCs w:val="20"/>
              </w:rPr>
              <w:t>万元，用 于收购深圳市安捷信联科技有限公司</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w:t>
            </w:r>
          </w:p>
          <w:p>
            <w:pPr>
              <w:pStyle w:val="Style2"/>
              <w:keepNext w:val="0"/>
              <w:keepLines w:val="0"/>
              <w:widowControl w:val="0"/>
              <w:shd w:val="clear" w:color="auto" w:fill="auto"/>
              <w:tabs>
                <w:tab w:pos="322" w:val="left"/>
              </w:tabs>
              <w:bidi w:val="0"/>
              <w:spacing w:before="0" w:after="0" w:line="470"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经公司第二届董事会第二十六次会议审议通过，公司于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日和</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i/>
                <w:iCs/>
                <w:color w:val="000000"/>
                <w:spacing w:val="0"/>
                <w:w w:val="100"/>
                <w:position w:val="0"/>
                <w:sz w:val="20"/>
                <w:szCs w:val="20"/>
              </w:rPr>
              <w:t>9</w:t>
            </w:r>
            <w:r>
              <w:rPr>
                <w:color w:val="000000"/>
                <w:spacing w:val="0"/>
                <w:w w:val="100"/>
                <w:position w:val="0"/>
                <w:sz w:val="20"/>
                <w:szCs w:val="20"/>
              </w:rPr>
              <w:t>日从募 集资金专项账户中转出超募资金共计</w:t>
            </w:r>
            <w:r>
              <w:rPr>
                <w:rFonts w:ascii="Times New Roman" w:eastAsia="Times New Roman" w:hAnsi="Times New Roman" w:cs="Times New Roman"/>
                <w:color w:val="000000"/>
                <w:spacing w:val="0"/>
                <w:w w:val="100"/>
                <w:position w:val="0"/>
                <w:sz w:val="20"/>
                <w:szCs w:val="20"/>
              </w:rPr>
              <w:t>50,000.00</w:t>
            </w:r>
            <w:r>
              <w:rPr>
                <w:color w:val="000000"/>
                <w:spacing w:val="0"/>
                <w:w w:val="100"/>
                <w:position w:val="0"/>
                <w:sz w:val="20"/>
                <w:szCs w:val="20"/>
              </w:rPr>
              <w:t>万元，永久补充流动资金；</w:t>
            </w:r>
          </w:p>
          <w:p>
            <w:pPr>
              <w:pStyle w:val="Style2"/>
              <w:keepNext w:val="0"/>
              <w:keepLines w:val="0"/>
              <w:widowControl w:val="0"/>
              <w:shd w:val="clear" w:color="auto" w:fill="auto"/>
              <w:tabs>
                <w:tab w:pos="317" w:val="left"/>
              </w:tabs>
              <w:bidi w:val="0"/>
              <w:spacing w:before="0" w:after="0" w:line="470"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经公司第三届董事会第五次会议审议通过，公司使用超募资金</w:t>
            </w:r>
            <w:r>
              <w:rPr>
                <w:rFonts w:ascii="Times New Roman" w:eastAsia="Times New Roman" w:hAnsi="Times New Roman" w:cs="Times New Roman"/>
                <w:color w:val="000000"/>
                <w:spacing w:val="0"/>
                <w:w w:val="100"/>
                <w:position w:val="0"/>
                <w:sz w:val="20"/>
                <w:szCs w:val="20"/>
              </w:rPr>
              <w:t>50,000</w:t>
            </w:r>
            <w:r>
              <w:rPr>
                <w:color w:val="000000"/>
                <w:spacing w:val="0"/>
                <w:w w:val="100"/>
                <w:position w:val="0"/>
                <w:sz w:val="20"/>
                <w:szCs w:val="20"/>
              </w:rPr>
              <w:t>万元投资设立全资子公司国 民投资，公司已足额认缴</w:t>
            </w:r>
            <w:r>
              <w:rPr>
                <w:rFonts w:ascii="Times New Roman" w:eastAsia="Times New Roman" w:hAnsi="Times New Roman" w:cs="Times New Roman"/>
                <w:color w:val="000000"/>
                <w:spacing w:val="0"/>
                <w:w w:val="100"/>
                <w:position w:val="0"/>
                <w:sz w:val="20"/>
                <w:szCs w:val="20"/>
              </w:rPr>
              <w:t>50,000.00</w:t>
            </w:r>
            <w:r>
              <w:rPr>
                <w:color w:val="000000"/>
                <w:spacing w:val="0"/>
                <w:w w:val="100"/>
                <w:position w:val="0"/>
                <w:sz w:val="20"/>
                <w:szCs w:val="20"/>
              </w:rPr>
              <w:t>万元注册资本，存放于募集资金专项账户；</w:t>
            </w:r>
          </w:p>
          <w:p>
            <w:pPr>
              <w:pStyle w:val="Style2"/>
              <w:keepNext w:val="0"/>
              <w:keepLines w:val="0"/>
              <w:widowControl w:val="0"/>
              <w:shd w:val="clear" w:color="auto" w:fill="auto"/>
              <w:tabs>
                <w:tab w:pos="317" w:val="left"/>
              </w:tabs>
              <w:bidi w:val="0"/>
              <w:spacing w:before="0" w:after="0" w:line="475"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tab/>
              <w:t>经公司第三届董事会第十次会议审议通过，公司使用超募资金</w:t>
            </w:r>
            <w:r>
              <w:rPr>
                <w:rFonts w:ascii="Times New Roman" w:eastAsia="Times New Roman" w:hAnsi="Times New Roman" w:cs="Times New Roman"/>
                <w:color w:val="000000"/>
                <w:spacing w:val="0"/>
                <w:w w:val="100"/>
                <w:position w:val="0"/>
                <w:sz w:val="20"/>
                <w:szCs w:val="20"/>
              </w:rPr>
              <w:t>46,000</w:t>
            </w:r>
            <w:r>
              <w:rPr>
                <w:color w:val="000000"/>
                <w:spacing w:val="0"/>
                <w:w w:val="100"/>
                <w:position w:val="0"/>
                <w:sz w:val="20"/>
                <w:szCs w:val="20"/>
              </w:rPr>
              <w:t>万元投资国民技术研发和办 公大楼建设项目，截止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日已支付</w:t>
            </w:r>
            <w:r>
              <w:rPr>
                <w:rFonts w:ascii="Times New Roman" w:eastAsia="Times New Roman" w:hAnsi="Times New Roman" w:cs="Times New Roman"/>
                <w:color w:val="000000"/>
                <w:spacing w:val="0"/>
                <w:w w:val="100"/>
                <w:position w:val="0"/>
                <w:sz w:val="20"/>
                <w:szCs w:val="20"/>
              </w:rPr>
              <w:t>45,340.57</w:t>
            </w:r>
            <w:r>
              <w:rPr>
                <w:color w:val="000000"/>
                <w:spacing w:val="0"/>
                <w:w w:val="100"/>
                <w:position w:val="0"/>
                <w:sz w:val="20"/>
                <w:szCs w:val="20"/>
              </w:rPr>
              <w:t>万元；</w:t>
            </w:r>
          </w:p>
          <w:p>
            <w:pPr>
              <w:pStyle w:val="Style2"/>
              <w:keepNext w:val="0"/>
              <w:keepLines w:val="0"/>
              <w:widowControl w:val="0"/>
              <w:shd w:val="clear" w:color="auto" w:fill="auto"/>
              <w:tabs>
                <w:tab w:pos="322" w:val="left"/>
              </w:tabs>
              <w:bidi w:val="0"/>
              <w:spacing w:before="0" w:after="0" w:line="470"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tab/>
              <w:t>经公司第三届董事会第二十三次会议审议通过，同意全资子公司深圳前海国民投资管理有限公司 使用超募资金</w:t>
            </w:r>
            <w:r>
              <w:rPr>
                <w:rFonts w:ascii="Times New Roman" w:eastAsia="Times New Roman" w:hAnsi="Times New Roman" w:cs="Times New Roman"/>
                <w:color w:val="000000"/>
                <w:spacing w:val="0"/>
                <w:w w:val="100"/>
                <w:position w:val="0"/>
                <w:sz w:val="20"/>
                <w:szCs w:val="20"/>
              </w:rPr>
              <w:t>35,000.00</w:t>
            </w:r>
            <w:r>
              <w:rPr>
                <w:color w:val="000000"/>
                <w:spacing w:val="0"/>
                <w:w w:val="100"/>
                <w:position w:val="0"/>
                <w:sz w:val="20"/>
                <w:szCs w:val="20"/>
              </w:rPr>
              <w:t>万元设立合资公司，占股比例为</w:t>
            </w: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，公司从账户中转出</w:t>
            </w:r>
            <w:r>
              <w:rPr>
                <w:rFonts w:ascii="Times New Roman" w:eastAsia="Times New Roman" w:hAnsi="Times New Roman" w:cs="Times New Roman"/>
                <w:color w:val="000000"/>
                <w:spacing w:val="0"/>
                <w:w w:val="100"/>
                <w:position w:val="0"/>
                <w:sz w:val="20"/>
                <w:szCs w:val="20"/>
              </w:rPr>
              <w:t>12,000.00</w:t>
            </w:r>
            <w:r>
              <w:rPr>
                <w:color w:val="000000"/>
                <w:spacing w:val="0"/>
                <w:w w:val="100"/>
                <w:position w:val="0"/>
                <w:sz w:val="20"/>
                <w:szCs w:val="20"/>
              </w:rPr>
              <w:t>万元，用 于支付首期部分投资款。经公司第三届董事会第二十八次会议审议通过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，同意国民投资对成都国民天 成半导体产业发展有限公司的出资额减少至</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万元（股权比例</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）；经公司第四届董事会第七 次会议审议通过，同意国民投资撤销对成都国民天成半导体产业发展有限公司投资。</w:t>
            </w:r>
          </w:p>
          <w:p>
            <w:pPr>
              <w:pStyle w:val="Style2"/>
              <w:keepNext w:val="0"/>
              <w:keepLines w:val="0"/>
              <w:widowControl w:val="0"/>
              <w:shd w:val="clear" w:color="auto" w:fill="auto"/>
              <w:tabs>
                <w:tab w:pos="322" w:val="left"/>
              </w:tabs>
              <w:bidi w:val="0"/>
              <w:spacing w:before="0" w:after="0" w:line="466"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tab/>
              <w:t>经公司第三届董事会第二十七次会议审议通过，同意全资子公司深圳前海国民投资管理有限公司 参与收购深圳市斯诺实业发展股份有限公司合计</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的股权，股权收购款为合计人民币</w:t>
            </w:r>
            <w:r>
              <w:rPr>
                <w:rFonts w:ascii="Times New Roman" w:eastAsia="Times New Roman" w:hAnsi="Times New Roman" w:cs="Times New Roman"/>
                <w:color w:val="000000"/>
                <w:spacing w:val="0"/>
                <w:w w:val="100"/>
                <w:position w:val="0"/>
                <w:sz w:val="20"/>
                <w:szCs w:val="20"/>
              </w:rPr>
              <w:t>41,692.3077</w:t>
            </w:r>
          </w:p>
        </w:tc>
      </w:tr>
    </w:tbl>
    <w:p>
      <w:pPr>
        <w:widowControl w:val="0"/>
        <w:spacing w:line="1" w:lineRule="exact"/>
      </w:pPr>
      <w:r>
        <w:br w:type="page"/>
      </w:r>
    </w:p>
    <w:tbl>
      <w:tblPr>
        <w:tblOverlap w:val="never"/>
        <w:jc w:val="center"/>
        <w:tblLayout w:type="fixed"/>
      </w:tblPr>
      <w:tblGrid>
        <w:gridCol w:w="1699"/>
        <w:gridCol w:w="9307"/>
      </w:tblGrid>
      <w:tr>
        <w:trPr>
          <w:trHeight w:val="6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61" w:lineRule="exact"/>
              <w:ind w:left="0" w:right="0" w:firstLine="0"/>
              <w:jc w:val="both"/>
              <w:rPr>
                <w:sz w:val="20"/>
                <w:szCs w:val="20"/>
              </w:rPr>
            </w:pPr>
            <w:r>
              <w:rPr>
                <w:color w:val="000000"/>
                <w:spacing w:val="0"/>
                <w:w w:val="100"/>
                <w:position w:val="0"/>
                <w:sz w:val="20"/>
                <w:szCs w:val="20"/>
              </w:rPr>
              <w:t>万元。经公司第四届董事会第十三次会议及</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年第一次股东大会审议通过，同意调整股权收购价 款为</w:t>
            </w:r>
            <w:r>
              <w:rPr>
                <w:rFonts w:ascii="Times New Roman" w:eastAsia="Times New Roman" w:hAnsi="Times New Roman" w:cs="Times New Roman"/>
                <w:color w:val="000000"/>
                <w:spacing w:val="0"/>
                <w:w w:val="100"/>
                <w:position w:val="0"/>
                <w:sz w:val="20"/>
                <w:szCs w:val="20"/>
              </w:rPr>
              <w:t>19,259.3983</w:t>
            </w:r>
            <w:r>
              <w:rPr>
                <w:color w:val="000000"/>
                <w:spacing w:val="0"/>
                <w:w w:val="100"/>
                <w:position w:val="0"/>
                <w:sz w:val="20"/>
                <w:szCs w:val="20"/>
              </w:rPr>
              <w:t>万元。截止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日累计已支付</w:t>
            </w:r>
            <w:r>
              <w:rPr>
                <w:rFonts w:ascii="Times New Roman" w:eastAsia="Times New Roman" w:hAnsi="Times New Roman" w:cs="Times New Roman"/>
                <w:color w:val="000000"/>
                <w:spacing w:val="0"/>
                <w:w w:val="100"/>
                <w:position w:val="0"/>
                <w:sz w:val="20"/>
                <w:szCs w:val="20"/>
              </w:rPr>
              <w:t>17,474.70</w:t>
            </w:r>
            <w:r>
              <w:rPr>
                <w:color w:val="000000"/>
                <w:spacing w:val="0"/>
                <w:w w:val="100"/>
                <w:position w:val="0"/>
                <w:sz w:val="20"/>
                <w:szCs w:val="20"/>
              </w:rPr>
              <w:t>万元。</w:t>
            </w:r>
          </w:p>
          <w:p>
            <w:pPr>
              <w:pStyle w:val="Style2"/>
              <w:keepNext w:val="0"/>
              <w:keepLines w:val="0"/>
              <w:widowControl w:val="0"/>
              <w:shd w:val="clear" w:color="auto" w:fill="auto"/>
              <w:tabs>
                <w:tab w:pos="322" w:val="left"/>
              </w:tabs>
              <w:bidi w:val="0"/>
              <w:spacing w:before="0" w:after="0" w:line="47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tab/>
              <w:t>经公司第三届董事会第二十七次会议审议通过，同意公司使用超额募集资金中的</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亿元向全资子 公司深圳市国民电子商务有限公司增资，用于收购深圳市斯诺实业发展有限公司的部分股权。报告期 内，国民电商（</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日更名为国民科技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深圳</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有限公司）已支付斯诺实业股权收购款</w:t>
            </w:r>
            <w:r>
              <w:rPr>
                <w:rFonts w:ascii="Times New Roman" w:eastAsia="Times New Roman" w:hAnsi="Times New Roman" w:cs="Times New Roman"/>
                <w:color w:val="000000"/>
                <w:spacing w:val="0"/>
                <w:w w:val="100"/>
                <w:position w:val="0"/>
                <w:sz w:val="20"/>
                <w:szCs w:val="20"/>
              </w:rPr>
              <w:t xml:space="preserve">20,000 </w:t>
            </w:r>
            <w:r>
              <w:rPr>
                <w:color w:val="000000"/>
                <w:spacing w:val="0"/>
                <w:w w:val="100"/>
                <w:position w:val="0"/>
                <w:sz w:val="20"/>
                <w:szCs w:val="20"/>
              </w:rPr>
              <w:t>万元。</w:t>
            </w:r>
          </w:p>
          <w:p>
            <w:pPr>
              <w:pStyle w:val="Style2"/>
              <w:keepNext w:val="0"/>
              <w:keepLines w:val="0"/>
              <w:widowControl w:val="0"/>
              <w:shd w:val="clear" w:color="auto" w:fill="auto"/>
              <w:tabs>
                <w:tab w:pos="418" w:val="left"/>
              </w:tabs>
              <w:bidi w:val="0"/>
              <w:spacing w:before="0" w:after="0" w:line="47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tab/>
              <w:t>经公司第四届董事会第二次会议审议通过，同意公司使用剩余未设定用途的超募资金约</w:t>
            </w:r>
            <w:r>
              <w:rPr>
                <w:rFonts w:ascii="Times New Roman" w:eastAsia="Times New Roman" w:hAnsi="Times New Roman" w:cs="Times New Roman"/>
                <w:color w:val="000000"/>
                <w:spacing w:val="0"/>
                <w:w w:val="100"/>
                <w:position w:val="0"/>
                <w:sz w:val="20"/>
                <w:szCs w:val="20"/>
              </w:rPr>
              <w:t>7,277</w:t>
            </w:r>
            <w:r>
              <w:rPr>
                <w:color w:val="000000"/>
                <w:spacing w:val="0"/>
                <w:w w:val="100"/>
                <w:position w:val="0"/>
                <w:sz w:val="20"/>
                <w:szCs w:val="20"/>
              </w:rPr>
              <w:t>万 元增资全资子公司深圳前海国民投资管理有限公司，国民投资使用合计</w:t>
            </w:r>
            <w:r>
              <w:rPr>
                <w:rFonts w:ascii="Times New Roman" w:eastAsia="Times New Roman" w:hAnsi="Times New Roman" w:cs="Times New Roman"/>
                <w:color w:val="000000"/>
                <w:spacing w:val="0"/>
                <w:w w:val="100"/>
                <w:position w:val="0"/>
                <w:sz w:val="20"/>
                <w:szCs w:val="20"/>
              </w:rPr>
              <w:t>14,000</w:t>
            </w:r>
            <w:r>
              <w:rPr>
                <w:color w:val="000000"/>
                <w:spacing w:val="0"/>
                <w:w w:val="100"/>
                <w:position w:val="0"/>
                <w:sz w:val="20"/>
                <w:szCs w:val="20"/>
              </w:rPr>
              <w:t>万元资金增资参股华夏 芯（北京）通用处理器技术有限公司，占华夏芯增资后的股权比例</w:t>
            </w:r>
            <w:r>
              <w:rPr>
                <w:rFonts w:ascii="Times New Roman" w:eastAsia="Times New Roman" w:hAnsi="Times New Roman" w:cs="Times New Roman"/>
                <w:color w:val="000000"/>
                <w:spacing w:val="0"/>
                <w:w w:val="100"/>
                <w:position w:val="0"/>
                <w:sz w:val="20"/>
                <w:szCs w:val="20"/>
              </w:rPr>
              <w:t>21.37%</w:t>
            </w:r>
            <w:r>
              <w:rPr>
                <w:color w:val="000000"/>
                <w:spacing w:val="0"/>
                <w:w w:val="100"/>
                <w:position w:val="0"/>
                <w:sz w:val="20"/>
                <w:szCs w:val="20"/>
              </w:rPr>
              <w:t>。国民投资已支全部股权投 资款。</w:t>
            </w:r>
          </w:p>
          <w:p>
            <w:pPr>
              <w:pStyle w:val="Style2"/>
              <w:keepNext w:val="0"/>
              <w:keepLines w:val="0"/>
              <w:widowControl w:val="0"/>
              <w:shd w:val="clear" w:color="auto" w:fill="auto"/>
              <w:tabs>
                <w:tab w:pos="446" w:val="left"/>
              </w:tabs>
              <w:bidi w:val="0"/>
              <w:spacing w:before="0" w:after="0" w:line="456"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w:t>
              <w:tab/>
              <w:t xml:space="preserve">经公司第四届董事会第十三次会议审议通过，同意公司减少对国民投资产业布局的投入金额 </w:t>
            </w:r>
            <w:r>
              <w:rPr>
                <w:rFonts w:ascii="Times New Roman" w:eastAsia="Times New Roman" w:hAnsi="Times New Roman" w:cs="Times New Roman"/>
                <w:color w:val="000000"/>
                <w:spacing w:val="0"/>
                <w:w w:val="100"/>
                <w:position w:val="0"/>
                <w:sz w:val="20"/>
                <w:szCs w:val="20"/>
              </w:rPr>
              <w:t>29,594.36</w:t>
            </w:r>
            <w:r>
              <w:rPr>
                <w:color w:val="000000"/>
                <w:spacing w:val="0"/>
                <w:w w:val="100"/>
                <w:position w:val="0"/>
                <w:sz w:val="20"/>
                <w:szCs w:val="20"/>
              </w:rPr>
              <w:t>万元，相应国民投资减资</w:t>
            </w:r>
            <w:r>
              <w:rPr>
                <w:rFonts w:ascii="Times New Roman" w:eastAsia="Times New Roman" w:hAnsi="Times New Roman" w:cs="Times New Roman"/>
                <w:color w:val="000000"/>
                <w:spacing w:val="0"/>
                <w:w w:val="100"/>
                <w:position w:val="0"/>
                <w:sz w:val="20"/>
                <w:szCs w:val="20"/>
              </w:rPr>
              <w:t>29,594.36</w:t>
            </w:r>
            <w:r>
              <w:rPr>
                <w:color w:val="000000"/>
                <w:spacing w:val="0"/>
                <w:w w:val="100"/>
                <w:position w:val="0"/>
                <w:sz w:val="20"/>
                <w:szCs w:val="20"/>
              </w:rPr>
              <w:t>万元，作为公司永久性流动资金的补充。</w:t>
            </w:r>
          </w:p>
          <w:p>
            <w:pPr>
              <w:pStyle w:val="Style2"/>
              <w:keepNext w:val="0"/>
              <w:keepLines w:val="0"/>
              <w:widowControl w:val="0"/>
              <w:shd w:val="clear" w:color="auto" w:fill="auto"/>
              <w:tabs>
                <w:tab w:pos="408" w:val="left"/>
              </w:tabs>
              <w:bidi w:val="0"/>
              <w:spacing w:before="0" w:after="0" w:line="47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w:t>
              <w:tab/>
              <w:t>剩余超募资金存放在公司募集资金专项账户。</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募集资金投资项 目实施地点变更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募集资金投资项 目实施方式调整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适用</w:t>
            </w:r>
          </w:p>
        </w:tc>
      </w:tr>
      <w:tr>
        <w:trPr>
          <w:trHeight w:val="528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17" w:val="left"/>
              </w:tabs>
              <w:bidi w:val="0"/>
              <w:spacing w:before="0" w:after="0" w:line="469"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经公司第三届董事会第十六次会议和</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年年度股东大会审议通过《关于部分募集资金投资项目 变更实施方式、调整投资总额并将剩余募集资金用于公司研发平台运行项目的议案》，公司募集资金 投资项目“（</w:t>
            </w:r>
            <w:r>
              <w:rPr>
                <w:rFonts w:ascii="Times New Roman" w:eastAsia="Times New Roman" w:hAnsi="Times New Roman" w:cs="Times New Roman"/>
                <w:color w:val="000000"/>
                <w:spacing w:val="0"/>
                <w:w w:val="100"/>
                <w:position w:val="0"/>
                <w:sz w:val="20"/>
                <w:szCs w:val="20"/>
              </w:rPr>
              <w:t>32</w:t>
            </w:r>
            <w:r>
              <w:rPr>
                <w:color w:val="000000"/>
                <w:spacing w:val="0"/>
                <w:w w:val="100"/>
                <w:position w:val="0"/>
                <w:sz w:val="20"/>
                <w:szCs w:val="20"/>
              </w:rPr>
              <w:t>位高速）安全存储芯片及解决方案技术改造项目”中，原规划在深圳市高新技术产业 园区内或者其他</w:t>
            </w:r>
            <w:r>
              <w:rPr>
                <w:rFonts w:ascii="Times New Roman" w:eastAsia="Times New Roman" w:hAnsi="Times New Roman" w:cs="Times New Roman"/>
                <w:color w:val="000000"/>
                <w:spacing w:val="0"/>
                <w:w w:val="100"/>
                <w:position w:val="0"/>
                <w:sz w:val="20"/>
                <w:szCs w:val="20"/>
              </w:rPr>
              <w:t>IT</w:t>
            </w:r>
            <w:r>
              <w:rPr>
                <w:color w:val="000000"/>
                <w:spacing w:val="0"/>
                <w:w w:val="100"/>
                <w:position w:val="0"/>
                <w:sz w:val="20"/>
                <w:szCs w:val="20"/>
              </w:rPr>
              <w:t>企业较为集中的地段购置办公场所实施根据项目实施进展情况并结合公司实际发 展情况，同意将办公场地房屋购置方式变更为房屋租赁方式，在上述实施方式变更的基础上，根据公 司实际发展现状以及本项目实施的实际情况，将投资总额由原来的</w:t>
            </w:r>
            <w:r>
              <w:rPr>
                <w:rFonts w:ascii="Times New Roman" w:eastAsia="Times New Roman" w:hAnsi="Times New Roman" w:cs="Times New Roman"/>
                <w:color w:val="000000"/>
                <w:spacing w:val="0"/>
                <w:w w:val="100"/>
                <w:position w:val="0"/>
                <w:sz w:val="20"/>
                <w:szCs w:val="20"/>
              </w:rPr>
              <w:t>10,170.00</w:t>
            </w:r>
            <w:r>
              <w:rPr>
                <w:color w:val="000000"/>
                <w:spacing w:val="0"/>
                <w:w w:val="100"/>
                <w:position w:val="0"/>
                <w:sz w:val="20"/>
                <w:szCs w:val="20"/>
              </w:rPr>
              <w:t>万元调整为</w:t>
            </w:r>
            <w:r>
              <w:rPr>
                <w:rFonts w:ascii="Times New Roman" w:eastAsia="Times New Roman" w:hAnsi="Times New Roman" w:cs="Times New Roman"/>
                <w:color w:val="000000"/>
                <w:spacing w:val="0"/>
                <w:w w:val="100"/>
                <w:position w:val="0"/>
                <w:sz w:val="20"/>
                <w:szCs w:val="20"/>
              </w:rPr>
              <w:t>9,064.60</w:t>
            </w:r>
            <w:r>
              <w:rPr>
                <w:color w:val="000000"/>
                <w:spacing w:val="0"/>
                <w:w w:val="100"/>
                <w:position w:val="0"/>
                <w:sz w:val="20"/>
                <w:szCs w:val="20"/>
              </w:rPr>
              <w:t>万 元。同时根据募投项目账户的实际剩余情况，将剩余募集资金约</w:t>
            </w:r>
            <w:r>
              <w:rPr>
                <w:rFonts w:ascii="Times New Roman" w:eastAsia="Times New Roman" w:hAnsi="Times New Roman" w:cs="Times New Roman"/>
                <w:color w:val="000000"/>
                <w:spacing w:val="0"/>
                <w:w w:val="100"/>
                <w:position w:val="0"/>
                <w:sz w:val="20"/>
                <w:szCs w:val="20"/>
              </w:rPr>
              <w:t>1,648.73</w:t>
            </w:r>
            <w:r>
              <w:rPr>
                <w:color w:val="000000"/>
                <w:spacing w:val="0"/>
                <w:w w:val="100"/>
                <w:position w:val="0"/>
                <w:sz w:val="20"/>
                <w:szCs w:val="20"/>
              </w:rPr>
              <w:t>万元（含利息收入，以最终 银行结算金额为准）用于公司研发平台运行项目。</w:t>
            </w:r>
          </w:p>
          <w:p>
            <w:pPr>
              <w:pStyle w:val="Style2"/>
              <w:keepNext w:val="0"/>
              <w:keepLines w:val="0"/>
              <w:widowControl w:val="0"/>
              <w:shd w:val="clear" w:color="auto" w:fill="auto"/>
              <w:bidi w:val="0"/>
              <w:spacing w:before="0" w:after="0" w:line="46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经公司第四届董事会第十三次会议及</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年第一次股东大会审议通过，同意调整国民投资收购斯 诺股权对价款，调整后国民投资未设定用途的超募资金</w:t>
            </w:r>
            <w:r>
              <w:rPr>
                <w:rFonts w:ascii="Times New Roman" w:eastAsia="Times New Roman" w:hAnsi="Times New Roman" w:cs="Times New Roman"/>
                <w:color w:val="000000"/>
                <w:spacing w:val="0"/>
                <w:w w:val="100"/>
                <w:position w:val="0"/>
                <w:sz w:val="20"/>
                <w:szCs w:val="20"/>
              </w:rPr>
              <w:t>29,594.36</w:t>
            </w:r>
            <w:r>
              <w:rPr>
                <w:color w:val="000000"/>
                <w:spacing w:val="0"/>
                <w:w w:val="100"/>
                <w:position w:val="0"/>
                <w:sz w:val="20"/>
                <w:szCs w:val="20"/>
              </w:rPr>
              <w:t>万元，减少对国民投资产业布局的 投入金额</w:t>
            </w:r>
            <w:r>
              <w:rPr>
                <w:rFonts w:ascii="Times New Roman" w:eastAsia="Times New Roman" w:hAnsi="Times New Roman" w:cs="Times New Roman"/>
                <w:color w:val="000000"/>
                <w:spacing w:val="0"/>
                <w:w w:val="100"/>
                <w:position w:val="0"/>
                <w:sz w:val="20"/>
                <w:szCs w:val="20"/>
              </w:rPr>
              <w:t>29,594.36</w:t>
            </w:r>
            <w:r>
              <w:rPr>
                <w:color w:val="000000"/>
                <w:spacing w:val="0"/>
                <w:w w:val="100"/>
                <w:position w:val="0"/>
                <w:sz w:val="20"/>
                <w:szCs w:val="20"/>
              </w:rPr>
              <w:t>万元，相应国民投资减资</w:t>
            </w:r>
            <w:r>
              <w:rPr>
                <w:rFonts w:ascii="Times New Roman" w:eastAsia="Times New Roman" w:hAnsi="Times New Roman" w:cs="Times New Roman"/>
                <w:color w:val="000000"/>
                <w:spacing w:val="0"/>
                <w:w w:val="100"/>
                <w:position w:val="0"/>
                <w:sz w:val="20"/>
                <w:szCs w:val="20"/>
              </w:rPr>
              <w:t>29,594.36</w:t>
            </w:r>
            <w:r>
              <w:rPr>
                <w:color w:val="000000"/>
                <w:spacing w:val="0"/>
                <w:w w:val="100"/>
                <w:position w:val="0"/>
                <w:sz w:val="20"/>
                <w:szCs w:val="20"/>
              </w:rPr>
              <w:t>万元，退回超募资金将永久补充公司流动资金。</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募集资金投资项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适用</w:t>
            </w:r>
          </w:p>
        </w:tc>
      </w:tr>
    </w:tbl>
    <w:p>
      <w:pPr>
        <w:widowControl w:val="0"/>
        <w:spacing w:line="1" w:lineRule="exact"/>
      </w:pPr>
      <w:r>
        <w:br w:type="page"/>
      </w:r>
    </w:p>
    <w:tbl>
      <w:tblPr>
        <w:tblOverlap w:val="never"/>
        <w:jc w:val="center"/>
        <w:tblLayout w:type="fixed"/>
      </w:tblPr>
      <w:tblGrid>
        <w:gridCol w:w="1699"/>
        <w:gridCol w:w="9307"/>
      </w:tblGrid>
      <w:tr>
        <w:trPr>
          <w:trHeight w:val="387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目先期投入及置 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12" w:val="left"/>
              </w:tabs>
              <w:bidi w:val="0"/>
              <w:spacing w:before="0" w:after="0" w:line="470"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截至</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日募集资金到账前，公司以自筹资金预先投入募集资金投资项目</w:t>
            </w:r>
            <w:r>
              <w:rPr>
                <w:rFonts w:ascii="Times New Roman" w:eastAsia="Times New Roman" w:hAnsi="Times New Roman" w:cs="Times New Roman"/>
                <w:color w:val="000000"/>
                <w:spacing w:val="0"/>
                <w:w w:val="100"/>
                <w:position w:val="0"/>
                <w:sz w:val="20"/>
                <w:szCs w:val="20"/>
              </w:rPr>
              <w:t>3,833.11</w:t>
            </w:r>
            <w:r>
              <w:rPr>
                <w:color w:val="000000"/>
                <w:spacing w:val="0"/>
                <w:w w:val="100"/>
                <w:position w:val="0"/>
                <w:sz w:val="20"/>
                <w:szCs w:val="20"/>
              </w:rPr>
              <w:t>万 元，业经利安达会计师事务所有限责任公司出具《关于国民技术股份有限公司以自筹资金预先投入募 投项目的专项审核报告》(利安达专字</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1453</w:t>
            </w:r>
            <w:r>
              <w:rPr>
                <w:color w:val="000000"/>
                <w:spacing w:val="0"/>
                <w:w w:val="100"/>
                <w:position w:val="0"/>
                <w:sz w:val="20"/>
                <w:szCs w:val="20"/>
              </w:rPr>
              <w:t>号)确认，置换资金已从募集资金专户转出。</w:t>
            </w:r>
          </w:p>
          <w:p>
            <w:pPr>
              <w:pStyle w:val="Style2"/>
              <w:keepNext w:val="0"/>
              <w:keepLines w:val="0"/>
              <w:widowControl w:val="0"/>
              <w:shd w:val="clear" w:color="auto" w:fill="auto"/>
              <w:tabs>
                <w:tab w:pos="322" w:val="left"/>
              </w:tabs>
              <w:bidi w:val="0"/>
              <w:spacing w:before="0" w:after="0" w:line="473"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截止</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 xml:space="preserve">日，公司以自筹资金预先投入研发及办公大楼建设项目的实际投资金额为 </w:t>
            </w:r>
            <w:r>
              <w:rPr>
                <w:rFonts w:ascii="Times New Roman" w:eastAsia="Times New Roman" w:hAnsi="Times New Roman" w:cs="Times New Roman"/>
                <w:color w:val="000000"/>
                <w:spacing w:val="0"/>
                <w:w w:val="100"/>
                <w:position w:val="0"/>
                <w:sz w:val="20"/>
                <w:szCs w:val="20"/>
              </w:rPr>
              <w:t>9,288.56</w:t>
            </w:r>
            <w:r>
              <w:rPr>
                <w:color w:val="000000"/>
                <w:spacing w:val="0"/>
                <w:w w:val="100"/>
                <w:position w:val="0"/>
                <w:sz w:val="20"/>
                <w:szCs w:val="20"/>
              </w:rPr>
              <w:t>万元。大信会计师事务所(特殊普通合伙)出具了《关于国民技术股份有限公司以自筹资金 预先投入超募资金投资项目的情况的审核报告》(大信专审字</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22-00015</w:t>
            </w:r>
            <w:r>
              <w:rPr>
                <w:color w:val="000000"/>
                <w:spacing w:val="0"/>
                <w:w w:val="100"/>
                <w:position w:val="0"/>
                <w:sz w:val="20"/>
                <w:szCs w:val="20"/>
              </w:rPr>
              <w:t>号)。经第三届董事 会第十一次会议审议通过并经安信证券审核同意，公司使用超募资金</w:t>
            </w:r>
            <w:r>
              <w:rPr>
                <w:rFonts w:ascii="Times New Roman" w:eastAsia="Times New Roman" w:hAnsi="Times New Roman" w:cs="Times New Roman"/>
                <w:color w:val="000000"/>
                <w:spacing w:val="0"/>
                <w:w w:val="100"/>
                <w:position w:val="0"/>
                <w:sz w:val="20"/>
                <w:szCs w:val="20"/>
              </w:rPr>
              <w:t>9,288.56</w:t>
            </w:r>
            <w:r>
              <w:rPr>
                <w:color w:val="000000"/>
                <w:spacing w:val="0"/>
                <w:w w:val="100"/>
                <w:position w:val="0"/>
                <w:sz w:val="20"/>
                <w:szCs w:val="20"/>
              </w:rPr>
              <w:t>万元置换上述先期投入 的自筹资金。置换资金已从募集资金专户转出。</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用闲置募集资金 暂时补充流动资 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项目实施出现募 集资金结余的金 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尚未使用的募集 资金用途及去向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日，本公司募集资金账户余额为</w:t>
            </w:r>
            <w:r>
              <w:rPr>
                <w:rFonts w:ascii="Times New Roman" w:eastAsia="Times New Roman" w:hAnsi="Times New Roman" w:cs="Times New Roman"/>
                <w:color w:val="000000"/>
                <w:spacing w:val="0"/>
                <w:w w:val="100"/>
                <w:position w:val="0"/>
                <w:sz w:val="20"/>
                <w:szCs w:val="20"/>
              </w:rPr>
              <w:t>2,949.69</w:t>
            </w:r>
            <w:r>
              <w:rPr>
                <w:color w:val="000000"/>
                <w:spacing w:val="0"/>
                <w:w w:val="100"/>
                <w:position w:val="0"/>
                <w:sz w:val="20"/>
                <w:szCs w:val="20"/>
              </w:rPr>
              <w:t>万元。</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募集资金使用及 披露中存在的问 题或其他情况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bl>
    <w:p>
      <w:pPr>
        <w:pStyle w:val="Style38"/>
        <w:keepNext w:val="0"/>
        <w:keepLines w:val="0"/>
        <w:widowControl w:val="0"/>
        <w:shd w:val="clear" w:color="auto" w:fill="auto"/>
        <w:bidi w:val="0"/>
        <w:spacing w:before="0" w:after="0" w:line="240" w:lineRule="auto"/>
        <w:ind w:left="845" w:right="0" w:firstLine="0"/>
        <w:jc w:val="left"/>
        <w:rPr>
          <w:sz w:val="20"/>
          <w:szCs w:val="20"/>
        </w:rPr>
      </w:pPr>
      <w:bookmarkStart w:id="226" w:name="bookmark226"/>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)募集资金变更项目情况</w:t>
      </w:r>
      <w:bookmarkEnd w:id="226"/>
    </w:p>
    <w:p>
      <w:pPr>
        <w:widowControl w:val="0"/>
        <w:spacing w:after="359" w:line="1" w:lineRule="exact"/>
      </w:pPr>
    </w:p>
    <w:p>
      <w:pPr>
        <w:pStyle w:val="Style44"/>
        <w:keepNext w:val="0"/>
        <w:keepLines w:val="0"/>
        <w:widowControl w:val="0"/>
        <w:shd w:val="clear" w:color="auto" w:fill="auto"/>
        <w:bidi w:val="0"/>
        <w:spacing w:before="0" w:after="12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p>
      <w:pPr>
        <w:pStyle w:val="Style38"/>
        <w:keepNext w:val="0"/>
        <w:keepLines w:val="0"/>
        <w:widowControl w:val="0"/>
        <w:shd w:val="clear" w:color="auto" w:fill="auto"/>
        <w:bidi w:val="0"/>
        <w:spacing w:before="0" w:after="0" w:line="240" w:lineRule="auto"/>
        <w:ind w:left="9619" w:right="0" w:firstLine="0"/>
        <w:jc w:val="left"/>
        <w:rPr>
          <w:sz w:val="18"/>
          <w:szCs w:val="18"/>
        </w:rPr>
      </w:pPr>
      <w:r>
        <w:rPr>
          <w:color w:val="000000"/>
          <w:spacing w:val="0"/>
          <w:w w:val="100"/>
          <w:position w:val="0"/>
          <w:sz w:val="18"/>
          <w:szCs w:val="18"/>
        </w:rPr>
        <w:t>单位：万元</w:t>
      </w:r>
    </w:p>
    <w:tbl>
      <w:tblPr>
        <w:tblOverlap w:val="never"/>
        <w:jc w:val="center"/>
        <w:tblLayout w:type="fixed"/>
      </w:tblPr>
      <w:tblGrid>
        <w:gridCol w:w="1142"/>
        <w:gridCol w:w="1699"/>
        <w:gridCol w:w="994"/>
        <w:gridCol w:w="850"/>
        <w:gridCol w:w="994"/>
        <w:gridCol w:w="994"/>
        <w:gridCol w:w="1133"/>
        <w:gridCol w:w="710"/>
        <w:gridCol w:w="850"/>
        <w:gridCol w:w="1426"/>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both"/>
              <w:rPr>
                <w:sz w:val="20"/>
                <w:szCs w:val="20"/>
              </w:rPr>
            </w:pPr>
            <w:r>
              <w:rPr>
                <w:color w:val="000000"/>
                <w:spacing w:val="0"/>
                <w:w w:val="100"/>
                <w:position w:val="0"/>
                <w:sz w:val="20"/>
                <w:szCs w:val="20"/>
              </w:rPr>
              <w:t>变更后 的项目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对应的原承诺项</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变更后项 目拟投入 募集资金 总额</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本报告 期实际 投入金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截至期末 实际累计 投入金额 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 xml:space="preserve">截至期末 投资进度 </w:t>
            </w:r>
            <w:r>
              <w:rPr>
                <w:rFonts w:ascii="Times New Roman" w:eastAsia="Times New Roman" w:hAnsi="Times New Roman" w:cs="Times New Roman"/>
                <w:color w:val="000000"/>
                <w:spacing w:val="0"/>
                <w:w w:val="100"/>
                <w:position w:val="0"/>
                <w:sz w:val="20"/>
                <w:szCs w:val="20"/>
              </w:rPr>
              <w:t>(3)=(2)/(1)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项目达到预 定可使用状 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变更后的项目 可行性是否发 生重大变化</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center"/>
              <w:rPr>
                <w:sz w:val="20"/>
                <w:szCs w:val="20"/>
              </w:rPr>
            </w:pPr>
            <w:r>
              <w:rPr>
                <w:color w:val="000000"/>
                <w:spacing w:val="0"/>
                <w:w w:val="100"/>
                <w:position w:val="0"/>
                <w:sz w:val="20"/>
                <w:szCs w:val="20"/>
              </w:rPr>
              <w:t>研发平台 运行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317" w:lineRule="exact"/>
              <w:ind w:left="0" w:right="0" w:firstLine="0"/>
              <w:jc w:val="center"/>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32</w:t>
            </w:r>
            <w:r>
              <w:rPr>
                <w:color w:val="000000"/>
                <w:spacing w:val="0"/>
                <w:w w:val="100"/>
                <w:position w:val="0"/>
                <w:sz w:val="20"/>
                <w:szCs w:val="20"/>
              </w:rPr>
              <w:t>位高速)安全 存储芯片及解决 方案技术改造项</w:t>
            </w:r>
          </w:p>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1,648.73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1,648.73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国民投资减 资资金永久 补充国民技 术流动资金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投资设立国民投 资作为公司的投 资控股平台进行</w:t>
            </w:r>
          </w:p>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产业布局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29,594.36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29,594.36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31,243.09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31,243.09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line="1" w:lineRule="exact"/>
      </w:pPr>
      <w:r>
        <w:br w:type="page"/>
      </w:r>
    </w:p>
    <w:tbl>
      <w:tblPr>
        <w:tblOverlap w:val="never"/>
        <w:jc w:val="center"/>
        <w:tblLayout w:type="fixed"/>
      </w:tblPr>
      <w:tblGrid>
        <w:gridCol w:w="3835"/>
        <w:gridCol w:w="6955"/>
      </w:tblGrid>
      <w:tr>
        <w:trPr>
          <w:trHeight w:val="668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 xml:space="preserve">变更原因、决策程序及信息披露情况说明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分具体项目</w:t>
            </w: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8" w:val="left"/>
              </w:tabs>
              <w:bidi w:val="0"/>
              <w:spacing w:before="0" w:after="0" w:line="470"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经公司第三届董事会第十六次会议和</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年年度股东大会审议通过《关 于部分募集资金投资项目变更实施方式、调整投资总额并将剩余募集资金用 于公司研发平台运行项目的议案》，公司募集资金投资项目“（</w:t>
            </w:r>
            <w:r>
              <w:rPr>
                <w:rFonts w:ascii="Times New Roman" w:eastAsia="Times New Roman" w:hAnsi="Times New Roman" w:cs="Times New Roman"/>
                <w:color w:val="000000"/>
                <w:spacing w:val="0"/>
                <w:w w:val="100"/>
                <w:position w:val="0"/>
                <w:sz w:val="20"/>
                <w:szCs w:val="20"/>
              </w:rPr>
              <w:t>32</w:t>
            </w:r>
            <w:r>
              <w:rPr>
                <w:color w:val="000000"/>
                <w:spacing w:val="0"/>
                <w:w w:val="100"/>
                <w:position w:val="0"/>
                <w:sz w:val="20"/>
                <w:szCs w:val="20"/>
              </w:rPr>
              <w:t>位高速） 安全存储芯片及解决方案技术改造项目”中，原规划在深圳市高新技术产业 园区内或者其他</w:t>
            </w:r>
            <w:r>
              <w:rPr>
                <w:rFonts w:ascii="Times New Roman" w:eastAsia="Times New Roman" w:hAnsi="Times New Roman" w:cs="Times New Roman"/>
                <w:color w:val="000000"/>
                <w:spacing w:val="0"/>
                <w:w w:val="100"/>
                <w:position w:val="0"/>
                <w:sz w:val="20"/>
                <w:szCs w:val="20"/>
              </w:rPr>
              <w:t>IT</w:t>
            </w:r>
            <w:r>
              <w:rPr>
                <w:color w:val="000000"/>
                <w:spacing w:val="0"/>
                <w:w w:val="100"/>
                <w:position w:val="0"/>
                <w:sz w:val="20"/>
                <w:szCs w:val="20"/>
              </w:rPr>
              <w:t>企业较为集中的地段购置办公场所实施根据项目实施进 展情况并结合公司实际发展情况，同意将办公场地房屋购置方式变更为房屋 租赁方式，在上述实施方式变更的基础上，根据公司实际发展现状以及本项</w:t>
            </w:r>
          </w:p>
          <w:p>
            <w:pPr>
              <w:pStyle w:val="Style2"/>
              <w:keepNext w:val="0"/>
              <w:keepLines w:val="0"/>
              <w:widowControl w:val="0"/>
              <w:shd w:val="clear" w:color="auto" w:fill="auto"/>
              <w:bidi w:val="0"/>
              <w:spacing w:before="0" w:after="0" w:line="470" w:lineRule="exact"/>
              <w:ind w:left="0" w:right="0" w:firstLine="0"/>
              <w:jc w:val="both"/>
              <w:rPr>
                <w:sz w:val="20"/>
                <w:szCs w:val="20"/>
              </w:rPr>
            </w:pPr>
            <w:r>
              <w:rPr>
                <w:color w:val="000000"/>
                <w:spacing w:val="0"/>
                <w:w w:val="100"/>
                <w:position w:val="0"/>
                <w:sz w:val="20"/>
                <w:szCs w:val="20"/>
              </w:rPr>
              <w:t>目实施的实际情况，将投资总额由原来的</w:t>
            </w:r>
            <w:r>
              <w:rPr>
                <w:rFonts w:ascii="Times New Roman" w:eastAsia="Times New Roman" w:hAnsi="Times New Roman" w:cs="Times New Roman"/>
                <w:color w:val="000000"/>
                <w:spacing w:val="0"/>
                <w:w w:val="100"/>
                <w:position w:val="0"/>
                <w:sz w:val="20"/>
                <w:szCs w:val="20"/>
              </w:rPr>
              <w:t>10,170.00</w:t>
            </w:r>
            <w:r>
              <w:rPr>
                <w:color w:val="000000"/>
                <w:spacing w:val="0"/>
                <w:w w:val="100"/>
                <w:position w:val="0"/>
                <w:sz w:val="20"/>
                <w:szCs w:val="20"/>
              </w:rPr>
              <w:t>万元调整为</w:t>
            </w:r>
            <w:r>
              <w:rPr>
                <w:rFonts w:ascii="Times New Roman" w:eastAsia="Times New Roman" w:hAnsi="Times New Roman" w:cs="Times New Roman"/>
                <w:color w:val="000000"/>
                <w:spacing w:val="0"/>
                <w:w w:val="100"/>
                <w:position w:val="0"/>
                <w:sz w:val="20"/>
                <w:szCs w:val="20"/>
              </w:rPr>
              <w:t>9,064.60</w:t>
            </w:r>
            <w:r>
              <w:rPr>
                <w:color w:val="000000"/>
                <w:spacing w:val="0"/>
                <w:w w:val="100"/>
                <w:position w:val="0"/>
                <w:sz w:val="20"/>
                <w:szCs w:val="20"/>
              </w:rPr>
              <w:t>万 元。同时根据募投项目账户的实际剩余情况，将剩余募集资金约</w:t>
            </w:r>
            <w:r>
              <w:rPr>
                <w:rFonts w:ascii="Times New Roman" w:eastAsia="Times New Roman" w:hAnsi="Times New Roman" w:cs="Times New Roman"/>
                <w:color w:val="000000"/>
                <w:spacing w:val="0"/>
                <w:w w:val="100"/>
                <w:position w:val="0"/>
                <w:sz w:val="20"/>
                <w:szCs w:val="20"/>
              </w:rPr>
              <w:t>1,648.73</w:t>
            </w:r>
            <w:r>
              <w:rPr>
                <w:color w:val="000000"/>
                <w:spacing w:val="0"/>
                <w:w w:val="100"/>
                <w:position w:val="0"/>
                <w:sz w:val="20"/>
                <w:szCs w:val="20"/>
              </w:rPr>
              <w:t>万 元（含利息收入，以最终银行结算金额为准）用于公司研发平台运行项目。</w:t>
            </w:r>
          </w:p>
          <w:p>
            <w:pPr>
              <w:pStyle w:val="Style2"/>
              <w:keepNext w:val="0"/>
              <w:keepLines w:val="0"/>
              <w:widowControl w:val="0"/>
              <w:shd w:val="clear" w:color="auto" w:fill="auto"/>
              <w:tabs>
                <w:tab w:pos="322" w:val="left"/>
              </w:tabs>
              <w:bidi w:val="0"/>
              <w:spacing w:before="0" w:after="0" w:line="469"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经公司第四届董事会第十三次会议及</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年第一次股东大会审议通过， 同意调整国民投资收购斯诺股权对价款，调整后国民投资未设定用途的超募 资金</w:t>
            </w:r>
            <w:r>
              <w:rPr>
                <w:rFonts w:ascii="Times New Roman" w:eastAsia="Times New Roman" w:hAnsi="Times New Roman" w:cs="Times New Roman"/>
                <w:color w:val="000000"/>
                <w:spacing w:val="0"/>
                <w:w w:val="100"/>
                <w:position w:val="0"/>
                <w:sz w:val="20"/>
                <w:szCs w:val="20"/>
              </w:rPr>
              <w:t>29,594.36</w:t>
            </w:r>
            <w:r>
              <w:rPr>
                <w:color w:val="000000"/>
                <w:spacing w:val="0"/>
                <w:w w:val="100"/>
                <w:position w:val="0"/>
                <w:sz w:val="20"/>
                <w:szCs w:val="20"/>
              </w:rPr>
              <w:t>万元，减少对国民投资产业布局的投入金额</w:t>
            </w:r>
            <w:r>
              <w:rPr>
                <w:rFonts w:ascii="Times New Roman" w:eastAsia="Times New Roman" w:hAnsi="Times New Roman" w:cs="Times New Roman"/>
                <w:color w:val="000000"/>
                <w:spacing w:val="0"/>
                <w:w w:val="100"/>
                <w:position w:val="0"/>
                <w:sz w:val="20"/>
                <w:szCs w:val="20"/>
              </w:rPr>
              <w:t>29,594.36</w:t>
            </w:r>
            <w:r>
              <w:rPr>
                <w:color w:val="000000"/>
                <w:spacing w:val="0"/>
                <w:w w:val="100"/>
                <w:position w:val="0"/>
                <w:sz w:val="20"/>
                <w:szCs w:val="20"/>
              </w:rPr>
              <w:t>万元， 相应国民投资减资</w:t>
            </w:r>
            <w:r>
              <w:rPr>
                <w:rFonts w:ascii="Times New Roman" w:eastAsia="Times New Roman" w:hAnsi="Times New Roman" w:cs="Times New Roman"/>
                <w:color w:val="000000"/>
                <w:spacing w:val="0"/>
                <w:w w:val="100"/>
                <w:position w:val="0"/>
                <w:sz w:val="20"/>
                <w:szCs w:val="20"/>
              </w:rPr>
              <w:t>29,594.36</w:t>
            </w:r>
            <w:r>
              <w:rPr>
                <w:color w:val="000000"/>
                <w:spacing w:val="0"/>
                <w:w w:val="100"/>
                <w:position w:val="0"/>
                <w:sz w:val="20"/>
                <w:szCs w:val="20"/>
              </w:rPr>
              <w:t>万元，退回超募资金将永久补充公司流动资金。</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未达到计划进度或预计收益的情况和原 因</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分具体项目</w:t>
            </w: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变更后的项目可行性发生重大变化的情 况说明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bl>
    <w:p>
      <w:pPr>
        <w:pStyle w:val="Style44"/>
        <w:keepNext w:val="0"/>
        <w:keepLines w:val="0"/>
        <w:widowControl w:val="0"/>
        <w:shd w:val="clear" w:color="auto" w:fill="auto"/>
        <w:bidi w:val="0"/>
        <w:spacing w:before="0" w:after="440" w:line="469" w:lineRule="exact"/>
        <w:ind w:left="700" w:right="0" w:firstLine="420"/>
        <w:jc w:val="both"/>
        <w:rPr>
          <w:sz w:val="20"/>
          <w:szCs w:val="20"/>
        </w:rPr>
      </w:pPr>
      <w:r>
        <w:rPr>
          <w:color w:val="000000"/>
          <w:spacing w:val="0"/>
          <w:w w:val="100"/>
          <w:position w:val="0"/>
          <w:sz w:val="20"/>
          <w:szCs w:val="20"/>
        </w:rPr>
        <w:t>公司首次公开发行募集资金投资项目</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32</w:t>
      </w:r>
      <w:r>
        <w:rPr>
          <w:color w:val="000000"/>
          <w:spacing w:val="0"/>
          <w:w w:val="100"/>
          <w:position w:val="0"/>
          <w:sz w:val="20"/>
          <w:szCs w:val="20"/>
        </w:rPr>
        <w:t>位高速）</w:t>
      </w:r>
      <w:r>
        <w:rPr>
          <w:rFonts w:ascii="Times New Roman" w:eastAsia="Times New Roman" w:hAnsi="Times New Roman" w:cs="Times New Roman"/>
          <w:color w:val="000000"/>
          <w:spacing w:val="0"/>
          <w:w w:val="100"/>
          <w:position w:val="0"/>
          <w:sz w:val="20"/>
          <w:szCs w:val="20"/>
        </w:rPr>
        <w:t>USB KEY</w:t>
      </w:r>
      <w:r>
        <w:rPr>
          <w:color w:val="000000"/>
          <w:spacing w:val="0"/>
          <w:w w:val="100"/>
          <w:position w:val="0"/>
          <w:sz w:val="20"/>
          <w:szCs w:val="20"/>
        </w:rPr>
        <w:t>安全主控芯片及解决方案技术改造 项目”、“（</w:t>
      </w:r>
      <w:r>
        <w:rPr>
          <w:rFonts w:ascii="Times New Roman" w:eastAsia="Times New Roman" w:hAnsi="Times New Roman" w:cs="Times New Roman"/>
          <w:color w:val="000000"/>
          <w:spacing w:val="0"/>
          <w:w w:val="100"/>
          <w:position w:val="0"/>
          <w:sz w:val="20"/>
          <w:szCs w:val="20"/>
        </w:rPr>
        <w:t>32</w:t>
      </w:r>
      <w:r>
        <w:rPr>
          <w:color w:val="000000"/>
          <w:spacing w:val="0"/>
          <w:w w:val="100"/>
          <w:position w:val="0"/>
          <w:sz w:val="20"/>
          <w:szCs w:val="20"/>
        </w:rPr>
        <w:t>位高速）安全存储芯片及解决方案技术改造项目”、“基于射频技术的安全移动支付芯 片及解决方案的研发和产业化项目”及由“（</w:t>
      </w:r>
      <w:r>
        <w:rPr>
          <w:rFonts w:ascii="Times New Roman" w:eastAsia="Times New Roman" w:hAnsi="Times New Roman" w:cs="Times New Roman"/>
          <w:color w:val="000000"/>
          <w:spacing w:val="0"/>
          <w:w w:val="100"/>
          <w:position w:val="0"/>
          <w:sz w:val="20"/>
          <w:szCs w:val="20"/>
        </w:rPr>
        <w:t>32</w:t>
      </w:r>
      <w:r>
        <w:rPr>
          <w:color w:val="000000"/>
          <w:spacing w:val="0"/>
          <w:w w:val="100"/>
          <w:position w:val="0"/>
          <w:sz w:val="20"/>
          <w:szCs w:val="20"/>
        </w:rPr>
        <w:t>位高速）安全存储芯片及解决方案技术改造项目”部分 变更的“研发平台运行”项目，共计</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个项目均已投入完毕，达到预定可使用状态，项目结项。</w:t>
      </w:r>
    </w:p>
    <w:p>
      <w:pPr>
        <w:pStyle w:val="Style42"/>
        <w:keepNext/>
        <w:keepLines/>
        <w:widowControl w:val="0"/>
        <w:shd w:val="clear" w:color="auto" w:fill="auto"/>
        <w:bidi w:val="0"/>
        <w:spacing w:before="0" w:after="340" w:line="240" w:lineRule="auto"/>
        <w:ind w:left="0" w:right="0" w:firstLine="700"/>
        <w:jc w:val="left"/>
      </w:pPr>
      <w:bookmarkStart w:id="227" w:name="bookmark227"/>
      <w:bookmarkStart w:id="228" w:name="bookmark228"/>
      <w:bookmarkStart w:id="229" w:name="bookmark229"/>
      <w:bookmarkStart w:id="230" w:name="bookmark230"/>
      <w:r>
        <w:rPr>
          <w:color w:val="000000"/>
          <w:spacing w:val="0"/>
          <w:w w:val="100"/>
          <w:position w:val="0"/>
        </w:rPr>
        <w:t>六</w:t>
      </w:r>
      <w:bookmarkEnd w:id="229"/>
      <w:r>
        <w:rPr>
          <w:color w:val="000000"/>
          <w:spacing w:val="0"/>
          <w:w w:val="100"/>
          <w:position w:val="0"/>
        </w:rPr>
        <w:t>、重大资产和股权出售</w:t>
      </w:r>
      <w:bookmarkEnd w:id="227"/>
      <w:bookmarkEnd w:id="228"/>
      <w:bookmarkEnd w:id="230"/>
    </w:p>
    <w:p>
      <w:pPr>
        <w:pStyle w:val="Style52"/>
        <w:keepNext/>
        <w:keepLines/>
        <w:widowControl w:val="0"/>
        <w:shd w:val="clear" w:color="auto" w:fill="auto"/>
        <w:tabs>
          <w:tab w:pos="1087" w:val="left"/>
        </w:tabs>
        <w:bidi w:val="0"/>
        <w:spacing w:before="0" w:after="340" w:line="240" w:lineRule="auto"/>
        <w:ind w:left="0" w:right="0" w:firstLine="700"/>
        <w:jc w:val="left"/>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sz w:val="24"/>
          <w:szCs w:val="24"/>
        </w:rPr>
        <w:t>1</w:t>
      </w:r>
      <w:bookmarkEnd w:id="233"/>
      <w:r>
        <w:rPr>
          <w:color w:val="000000"/>
          <w:spacing w:val="0"/>
          <w:w w:val="100"/>
          <w:position w:val="0"/>
        </w:rPr>
        <w:t>、</w:t>
        <w:tab/>
        <w:t>出售重大资产情况</w:t>
      </w:r>
      <w:bookmarkEnd w:id="231"/>
      <w:bookmarkEnd w:id="232"/>
      <w:bookmarkEnd w:id="234"/>
    </w:p>
    <w:p>
      <w:pPr>
        <w:pStyle w:val="Style44"/>
        <w:keepNext w:val="0"/>
        <w:keepLines w:val="0"/>
        <w:widowControl w:val="0"/>
        <w:shd w:val="clear" w:color="auto" w:fill="auto"/>
        <w:bidi w:val="0"/>
        <w:spacing w:before="0" w:after="100" w:line="446" w:lineRule="auto"/>
        <w:ind w:left="0" w:right="0" w:firstLine="7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2"/>
        <w:keepNext/>
        <w:keepLines/>
        <w:widowControl w:val="0"/>
        <w:shd w:val="clear" w:color="auto" w:fill="auto"/>
        <w:tabs>
          <w:tab w:pos="1102" w:val="left"/>
        </w:tabs>
        <w:bidi w:val="0"/>
        <w:spacing w:before="0" w:after="340" w:line="240" w:lineRule="auto"/>
        <w:ind w:left="0" w:right="0" w:firstLine="700"/>
        <w:jc w:val="left"/>
      </w:pPr>
      <w:bookmarkStart w:id="235" w:name="bookmark235"/>
      <w:bookmarkStart w:id="236" w:name="bookmark236"/>
      <w:bookmarkStart w:id="237" w:name="bookmark237"/>
      <w:bookmarkStart w:id="238" w:name="bookmark238"/>
      <w:r>
        <w:rPr>
          <w:rFonts w:ascii="Times New Roman" w:eastAsia="Times New Roman" w:hAnsi="Times New Roman" w:cs="Times New Roman"/>
          <w:color w:val="000000"/>
          <w:spacing w:val="0"/>
          <w:w w:val="100"/>
          <w:position w:val="0"/>
          <w:sz w:val="24"/>
          <w:szCs w:val="24"/>
        </w:rPr>
        <w:t>2</w:t>
      </w:r>
      <w:bookmarkEnd w:id="237"/>
      <w:r>
        <w:rPr>
          <w:color w:val="000000"/>
          <w:spacing w:val="0"/>
          <w:w w:val="100"/>
          <w:position w:val="0"/>
        </w:rPr>
        <w:t>、</w:t>
        <w:tab/>
        <w:t>出售重大股权情况</w:t>
      </w:r>
      <w:bookmarkEnd w:id="235"/>
      <w:bookmarkEnd w:id="236"/>
      <w:bookmarkEnd w:id="238"/>
    </w:p>
    <w:p>
      <w:pPr>
        <w:pStyle w:val="Style38"/>
        <w:keepNext w:val="0"/>
        <w:keepLines w:val="0"/>
        <w:widowControl w:val="0"/>
        <w:shd w:val="clear" w:color="auto" w:fill="auto"/>
        <w:bidi w:val="0"/>
        <w:spacing w:before="0" w:after="0" w:line="469" w:lineRule="exact"/>
        <w:ind w:left="6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8"/>
        <w:gridCol w:w="960"/>
        <w:gridCol w:w="605"/>
        <w:gridCol w:w="989"/>
        <w:gridCol w:w="854"/>
        <w:gridCol w:w="1416"/>
        <w:gridCol w:w="850"/>
        <w:gridCol w:w="1277"/>
        <w:gridCol w:w="422"/>
        <w:gridCol w:w="427"/>
        <w:gridCol w:w="566"/>
        <w:gridCol w:w="845"/>
        <w:gridCol w:w="850"/>
        <w:gridCol w:w="576"/>
      </w:tblGrid>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交</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被出售股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出售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交易价格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出售对公司的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股权出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股权出售定价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所涉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是否按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披露日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披露</w:t>
            </w:r>
          </w:p>
        </w:tc>
      </w:tr>
      <w:tr>
        <w:trPr>
          <w:trHeight w:val="360"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易</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权</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日</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（万元）</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起至出</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影响</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售为上</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原则</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交</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及的</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计划如</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w:t>
            </w:r>
          </w:p>
        </w:tc>
        <w:tc>
          <w:tcPr>
            <w:tcBorders>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索引</w:t>
            </w:r>
          </w:p>
        </w:tc>
      </w:tr>
    </w:tbl>
    <w:p>
      <w:pPr>
        <w:widowControl w:val="0"/>
        <w:spacing w:line="1" w:lineRule="exact"/>
        <w:sectPr>
          <w:footnotePr>
            <w:pos w:val="pageBottom"/>
            <w:numFmt w:val="decimal"/>
            <w:numRestart w:val="continuous"/>
          </w:footnotePr>
          <w:pgSz w:w="11900" w:h="16840"/>
          <w:pgMar w:top="1092" w:right="355" w:bottom="1462" w:left="481" w:header="0" w:footer="3" w:gutter="0"/>
          <w:cols w:space="720"/>
          <w:noEndnote/>
          <w:rtlGutter w:val="0"/>
          <w:docGrid w:linePitch="360"/>
        </w:sectPr>
      </w:pPr>
    </w:p>
    <w:tbl>
      <w:tblPr>
        <w:tblOverlap w:val="never"/>
        <w:jc w:val="left"/>
        <w:tblLayout w:type="fixed"/>
      </w:tblPr>
      <w:tblGrid>
        <w:gridCol w:w="288"/>
        <w:gridCol w:w="960"/>
        <w:gridCol w:w="605"/>
        <w:gridCol w:w="989"/>
        <w:gridCol w:w="854"/>
        <w:gridCol w:w="1416"/>
        <w:gridCol w:w="850"/>
        <w:gridCol w:w="1277"/>
        <w:gridCol w:w="422"/>
        <w:gridCol w:w="427"/>
        <w:gridCol w:w="566"/>
        <w:gridCol w:w="845"/>
        <w:gridCol w:w="850"/>
        <w:gridCol w:w="576"/>
      </w:tblGrid>
      <w:tr>
        <w:trPr>
          <w:trHeight w:val="2861" w:hRule="exact"/>
        </w:trPr>
        <w:tc>
          <w:tcPr>
            <w:tcBorders>
              <w:top w:val="single" w:sz="4"/>
              <w:left w:val="single" w:sz="4"/>
            </w:tcBorders>
            <w:shd w:val="clear" w:color="auto" w:fill="D3D3D3"/>
            <w:vAlign w:val="top"/>
          </w:tcPr>
          <w:p>
            <w:pPr>
              <w:pStyle w:val="Style2"/>
              <w:keepNext w:val="0"/>
              <w:keepLines w:val="0"/>
              <w:framePr w:w="10925" w:h="6120" w:vSpace="370" w:wrap="notBeside" w:vAnchor="text" w:hAnchor="text" w:x="70" w:y="371"/>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对 方</w:t>
            </w:r>
          </w:p>
        </w:tc>
        <w:tc>
          <w:tcPr>
            <w:tcBorders>
              <w:top w:val="single" w:sz="4"/>
              <w:left w:val="single" w:sz="4"/>
            </w:tcBorders>
            <w:shd w:val="clear" w:color="auto" w:fill="D3D3D3"/>
            <w:vAlign w:val="top"/>
          </w:tcPr>
          <w:p>
            <w:pPr>
              <w:framePr w:w="10925" w:h="6120" w:vSpace="370" w:wrap="notBeside" w:vAnchor="text" w:hAnchor="text" w:x="70" w:y="371"/>
              <w:widowControl w:val="0"/>
              <w:rPr>
                <w:sz w:val="10"/>
                <w:szCs w:val="10"/>
              </w:rPr>
            </w:pPr>
          </w:p>
        </w:tc>
        <w:tc>
          <w:tcPr>
            <w:tcBorders>
              <w:top w:val="single" w:sz="4"/>
              <w:left w:val="single" w:sz="4"/>
            </w:tcBorders>
            <w:shd w:val="clear" w:color="auto" w:fill="D3D3D3"/>
            <w:vAlign w:val="top"/>
          </w:tcPr>
          <w:p>
            <w:pPr>
              <w:framePr w:w="10925" w:h="6120" w:vSpace="370" w:wrap="notBeside" w:vAnchor="text" w:hAnchor="text" w:x="70" w:y="371"/>
              <w:widowControl w:val="0"/>
              <w:rPr>
                <w:sz w:val="10"/>
                <w:szCs w:val="10"/>
              </w:rPr>
            </w:pPr>
          </w:p>
        </w:tc>
        <w:tc>
          <w:tcPr>
            <w:tcBorders>
              <w:top w:val="single" w:sz="4"/>
              <w:left w:val="single" w:sz="4"/>
            </w:tcBorders>
            <w:shd w:val="clear" w:color="auto" w:fill="D3D3D3"/>
            <w:vAlign w:val="top"/>
          </w:tcPr>
          <w:p>
            <w:pPr>
              <w:framePr w:w="10925" w:h="6120" w:vSpace="370" w:wrap="notBeside" w:vAnchor="text" w:hAnchor="text" w:x="70" w:y="371"/>
              <w:widowControl w:val="0"/>
              <w:rPr>
                <w:sz w:val="10"/>
                <w:szCs w:val="10"/>
              </w:rPr>
            </w:pPr>
          </w:p>
        </w:tc>
        <w:tc>
          <w:tcPr>
            <w:tcBorders>
              <w:top w:val="single" w:sz="4"/>
              <w:left w:val="single" w:sz="4"/>
            </w:tcBorders>
            <w:shd w:val="clear" w:color="auto" w:fill="D3D3D3"/>
            <w:vAlign w:val="top"/>
          </w:tcPr>
          <w:p>
            <w:pPr>
              <w:pStyle w:val="Style2"/>
              <w:keepNext w:val="0"/>
              <w:keepLines w:val="0"/>
              <w:framePr w:w="10925" w:h="6120" w:vSpace="370" w:wrap="notBeside" w:vAnchor="text" w:hAnchor="text" w:x="70" w:y="371"/>
              <w:widowControl w:val="0"/>
              <w:shd w:val="clear" w:color="auto" w:fill="auto"/>
              <w:bidi w:val="0"/>
              <w:spacing w:before="0" w:after="0" w:line="313" w:lineRule="exact"/>
              <w:ind w:left="0" w:right="0" w:firstLine="0"/>
              <w:jc w:val="center"/>
              <w:rPr>
                <w:sz w:val="19"/>
                <w:szCs w:val="19"/>
              </w:rPr>
            </w:pPr>
            <w:r>
              <w:rPr>
                <w:color w:val="000000"/>
                <w:spacing w:val="0"/>
                <w:w w:val="100"/>
                <w:position w:val="0"/>
                <w:sz w:val="19"/>
                <w:szCs w:val="19"/>
              </w:rPr>
              <w:t>售日该 股权为 上市公 司贡献 的净利 润（万 元）</w:t>
            </w:r>
          </w:p>
        </w:tc>
        <w:tc>
          <w:tcPr>
            <w:tcBorders>
              <w:top w:val="single" w:sz="4"/>
              <w:left w:val="single" w:sz="4"/>
            </w:tcBorders>
            <w:shd w:val="clear" w:color="auto" w:fill="D3D3D3"/>
            <w:vAlign w:val="top"/>
          </w:tcPr>
          <w:p>
            <w:pPr>
              <w:framePr w:w="10925" w:h="6120" w:vSpace="370" w:wrap="notBeside" w:vAnchor="text" w:hAnchor="text" w:x="70" w:y="371"/>
              <w:widowControl w:val="0"/>
              <w:rPr>
                <w:sz w:val="10"/>
                <w:szCs w:val="10"/>
              </w:rPr>
            </w:pPr>
          </w:p>
        </w:tc>
        <w:tc>
          <w:tcPr>
            <w:tcBorders>
              <w:top w:val="single" w:sz="4"/>
              <w:left w:val="single" w:sz="4"/>
            </w:tcBorders>
            <w:shd w:val="clear" w:color="auto" w:fill="D3D3D3"/>
            <w:vAlign w:val="top"/>
          </w:tcPr>
          <w:p>
            <w:pPr>
              <w:pStyle w:val="Style2"/>
              <w:keepNext w:val="0"/>
              <w:keepLines w:val="0"/>
              <w:framePr w:w="10925" w:h="6120" w:vSpace="370" w:wrap="notBeside" w:vAnchor="text" w:hAnchor="text" w:x="70" w:y="371"/>
              <w:widowControl w:val="0"/>
              <w:shd w:val="clear" w:color="auto" w:fill="auto"/>
              <w:bidi w:val="0"/>
              <w:spacing w:before="0" w:after="0" w:line="311" w:lineRule="exact"/>
              <w:ind w:left="0" w:right="0" w:firstLine="0"/>
              <w:jc w:val="center"/>
              <w:rPr>
                <w:sz w:val="19"/>
                <w:szCs w:val="19"/>
              </w:rPr>
            </w:pPr>
            <w:r>
              <w:rPr>
                <w:color w:val="000000"/>
                <w:spacing w:val="0"/>
                <w:w w:val="100"/>
                <w:position w:val="0"/>
                <w:sz w:val="19"/>
                <w:szCs w:val="19"/>
              </w:rPr>
              <w:t>市公司 贡献的 净利润 占净利 润总额 的比例</w:t>
            </w:r>
          </w:p>
        </w:tc>
        <w:tc>
          <w:tcPr>
            <w:tcBorders>
              <w:top w:val="single" w:sz="4"/>
              <w:left w:val="single" w:sz="4"/>
            </w:tcBorders>
            <w:shd w:val="clear" w:color="auto" w:fill="D3D3D3"/>
            <w:vAlign w:val="top"/>
          </w:tcPr>
          <w:p>
            <w:pPr>
              <w:framePr w:w="10925" w:h="6120" w:vSpace="370" w:wrap="notBeside" w:vAnchor="text" w:hAnchor="text" w:x="70" w:y="371"/>
              <w:widowControl w:val="0"/>
              <w:rPr>
                <w:sz w:val="10"/>
                <w:szCs w:val="10"/>
              </w:rPr>
            </w:pPr>
          </w:p>
        </w:tc>
        <w:tc>
          <w:tcPr>
            <w:tcBorders>
              <w:top w:val="single" w:sz="4"/>
              <w:left w:val="single" w:sz="4"/>
            </w:tcBorders>
            <w:shd w:val="clear" w:color="auto" w:fill="D3D3D3"/>
            <w:vAlign w:val="top"/>
          </w:tcPr>
          <w:p>
            <w:pPr>
              <w:pStyle w:val="Style2"/>
              <w:keepNext w:val="0"/>
              <w:keepLines w:val="0"/>
              <w:framePr w:w="10925" w:h="6120" w:vSpace="370" w:wrap="notBeside" w:vAnchor="text" w:hAnchor="text" w:x="70" w:y="371"/>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为 关 联 交 易</w:t>
            </w:r>
          </w:p>
        </w:tc>
        <w:tc>
          <w:tcPr>
            <w:tcBorders>
              <w:top w:val="single" w:sz="4"/>
              <w:left w:val="single" w:sz="4"/>
            </w:tcBorders>
            <w:shd w:val="clear" w:color="auto" w:fill="D3D3D3"/>
            <w:vAlign w:val="top"/>
          </w:tcPr>
          <w:p>
            <w:pPr>
              <w:pStyle w:val="Style2"/>
              <w:keepNext w:val="0"/>
              <w:keepLines w:val="0"/>
              <w:framePr w:w="10925" w:h="6120" w:vSpace="370" w:wrap="notBeside" w:vAnchor="text" w:hAnchor="text" w:x="70" w:y="371"/>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易 对 方 的 关 联 关 系</w:t>
            </w:r>
          </w:p>
        </w:tc>
        <w:tc>
          <w:tcPr>
            <w:tcBorders>
              <w:top w:val="single" w:sz="4"/>
              <w:left w:val="single" w:sz="4"/>
            </w:tcBorders>
            <w:shd w:val="clear" w:color="auto" w:fill="D3D3D3"/>
            <w:vAlign w:val="top"/>
          </w:tcPr>
          <w:p>
            <w:pPr>
              <w:pStyle w:val="Style2"/>
              <w:keepNext w:val="0"/>
              <w:keepLines w:val="0"/>
              <w:framePr w:w="10925" w:h="6120" w:vSpace="370" w:wrap="notBeside" w:vAnchor="text" w:hAnchor="text" w:x="70" w:y="371"/>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股权 是否 已全 部过 户</w:t>
            </w:r>
          </w:p>
        </w:tc>
        <w:tc>
          <w:tcPr>
            <w:tcBorders>
              <w:top w:val="single" w:sz="4"/>
              <w:left w:val="single" w:sz="4"/>
            </w:tcBorders>
            <w:shd w:val="clear" w:color="auto" w:fill="D3D3D3"/>
            <w:vAlign w:val="center"/>
          </w:tcPr>
          <w:p>
            <w:pPr>
              <w:pStyle w:val="Style2"/>
              <w:keepNext w:val="0"/>
              <w:keepLines w:val="0"/>
              <w:framePr w:w="10925" w:h="6120" w:vSpace="370" w:wrap="notBeside" w:vAnchor="text" w:hAnchor="text" w:x="70" w:y="371"/>
              <w:widowControl w:val="0"/>
              <w:shd w:val="clear" w:color="auto" w:fill="auto"/>
              <w:bidi w:val="0"/>
              <w:spacing w:before="0" w:after="0" w:line="311" w:lineRule="exact"/>
              <w:ind w:left="0" w:right="0" w:firstLine="0"/>
              <w:jc w:val="center"/>
              <w:rPr>
                <w:sz w:val="19"/>
                <w:szCs w:val="19"/>
              </w:rPr>
            </w:pPr>
            <w:r>
              <w:rPr>
                <w:color w:val="000000"/>
                <w:spacing w:val="0"/>
                <w:w w:val="100"/>
                <w:position w:val="0"/>
                <w:sz w:val="19"/>
                <w:szCs w:val="19"/>
              </w:rPr>
              <w:t>期实施， 如未按 计划实</w:t>
            </w:r>
          </w:p>
          <w:p>
            <w:pPr>
              <w:pStyle w:val="Style2"/>
              <w:keepNext w:val="0"/>
              <w:keepLines w:val="0"/>
              <w:framePr w:w="10925" w:h="6120" w:vSpace="370" w:wrap="notBeside" w:vAnchor="text" w:hAnchor="text" w:x="70" w:y="371"/>
              <w:widowControl w:val="0"/>
              <w:shd w:val="clear" w:color="auto" w:fill="auto"/>
              <w:bidi w:val="0"/>
              <w:spacing w:before="0" w:after="0" w:line="311" w:lineRule="exact"/>
              <w:ind w:left="0" w:right="0" w:firstLine="0"/>
              <w:jc w:val="center"/>
              <w:rPr>
                <w:sz w:val="19"/>
                <w:szCs w:val="19"/>
              </w:rPr>
            </w:pPr>
            <w:r>
              <w:rPr>
                <w:color w:val="000000"/>
                <w:spacing w:val="0"/>
                <w:w w:val="100"/>
                <w:position w:val="0"/>
                <w:sz w:val="19"/>
                <w:szCs w:val="19"/>
              </w:rPr>
              <w:t>施，应当</w:t>
            </w:r>
          </w:p>
          <w:p>
            <w:pPr>
              <w:pStyle w:val="Style2"/>
              <w:keepNext w:val="0"/>
              <w:keepLines w:val="0"/>
              <w:framePr w:w="10925" w:h="6120" w:vSpace="370" w:wrap="notBeside" w:vAnchor="text" w:hAnchor="text" w:x="70" w:y="371"/>
              <w:widowControl w:val="0"/>
              <w:shd w:val="clear" w:color="auto" w:fill="auto"/>
              <w:bidi w:val="0"/>
              <w:spacing w:before="0" w:after="0" w:line="311" w:lineRule="exact"/>
              <w:ind w:left="0" w:right="0" w:firstLine="0"/>
              <w:jc w:val="center"/>
              <w:rPr>
                <w:sz w:val="19"/>
                <w:szCs w:val="19"/>
              </w:rPr>
            </w:pPr>
            <w:r>
              <w:rPr>
                <w:color w:val="000000"/>
                <w:spacing w:val="0"/>
                <w:w w:val="100"/>
                <w:position w:val="0"/>
                <w:sz w:val="19"/>
                <w:szCs w:val="19"/>
              </w:rPr>
              <w:t>说明原 因及公 司已采 取的措 施</w:t>
            </w:r>
          </w:p>
        </w:tc>
        <w:tc>
          <w:tcPr>
            <w:tcBorders>
              <w:top w:val="single" w:sz="4"/>
              <w:left w:val="single" w:sz="4"/>
            </w:tcBorders>
            <w:shd w:val="clear" w:color="auto" w:fill="D3D3D3"/>
            <w:vAlign w:val="top"/>
          </w:tcPr>
          <w:p>
            <w:pPr>
              <w:framePr w:w="10925" w:h="6120" w:vSpace="370" w:wrap="notBeside" w:vAnchor="text" w:hAnchor="text" w:x="70" w:y="371"/>
              <w:widowControl w:val="0"/>
              <w:rPr>
                <w:sz w:val="10"/>
                <w:szCs w:val="10"/>
              </w:rPr>
            </w:pPr>
          </w:p>
        </w:tc>
        <w:tc>
          <w:tcPr>
            <w:tcBorders>
              <w:top w:val="single" w:sz="4"/>
              <w:left w:val="single" w:sz="4"/>
              <w:right w:val="single" w:sz="4"/>
            </w:tcBorders>
            <w:shd w:val="clear" w:color="auto" w:fill="D3D3D3"/>
            <w:vAlign w:val="top"/>
          </w:tcPr>
          <w:p>
            <w:pPr>
              <w:framePr w:w="10925" w:h="6120" w:vSpace="370" w:wrap="notBeside" w:vAnchor="text" w:hAnchor="text" w:x="70" w:y="371"/>
              <w:widowControl w:val="0"/>
              <w:rPr>
                <w:sz w:val="10"/>
                <w:szCs w:val="10"/>
              </w:rPr>
            </w:pPr>
          </w:p>
        </w:tc>
      </w:tr>
      <w:tr>
        <w:trPr>
          <w:trHeight w:val="3259" w:hRule="exact"/>
        </w:trPr>
        <w:tc>
          <w:tcPr>
            <w:tcBorders>
              <w:top w:val="single" w:sz="4"/>
              <w:left w:val="single" w:sz="4"/>
              <w:bottom w:val="single" w:sz="4"/>
            </w:tcBorders>
            <w:shd w:val="clear" w:color="auto" w:fill="FFFFFF"/>
            <w:vAlign w:val="center"/>
          </w:tcPr>
          <w:p>
            <w:pPr>
              <w:pStyle w:val="Style2"/>
              <w:keepNext w:val="0"/>
              <w:keepLines w:val="0"/>
              <w:framePr w:w="10925" w:h="6120" w:vSpace="370" w:wrap="notBeside" w:vAnchor="text" w:hAnchor="text" w:x="70" w:y="371"/>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李 科 奕</w:t>
            </w:r>
          </w:p>
        </w:tc>
        <w:tc>
          <w:tcPr>
            <w:tcBorders>
              <w:top w:val="single" w:sz="4"/>
              <w:left w:val="single" w:sz="4"/>
              <w:bottom w:val="single" w:sz="4"/>
            </w:tcBorders>
            <w:shd w:val="clear" w:color="auto" w:fill="FFFFFF"/>
            <w:vAlign w:val="center"/>
          </w:tcPr>
          <w:p>
            <w:pPr>
              <w:pStyle w:val="Style2"/>
              <w:keepNext w:val="0"/>
              <w:keepLines w:val="0"/>
              <w:framePr w:w="10925" w:h="6120" w:vSpace="370" w:wrap="notBeside" w:vAnchor="text" w:hAnchor="text" w:x="70" w:y="371"/>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华夏芯（北 京）通用处 理器技术 有限公司</w:t>
            </w:r>
          </w:p>
          <w:p>
            <w:pPr>
              <w:pStyle w:val="Style2"/>
              <w:keepNext w:val="0"/>
              <w:keepLines w:val="0"/>
              <w:framePr w:w="10925" w:h="6120" w:vSpace="370" w:wrap="notBeside" w:vAnchor="text" w:hAnchor="text" w:x="70" w:y="371"/>
              <w:widowControl w:val="0"/>
              <w:shd w:val="clear" w:color="auto" w:fill="auto"/>
              <w:bidi w:val="0"/>
              <w:spacing w:before="0" w:after="0" w:line="317"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 xml:space="preserve">21.374% </w:t>
            </w:r>
            <w:r>
              <w:rPr>
                <w:color w:val="000000"/>
                <w:spacing w:val="0"/>
                <w:w w:val="100"/>
                <w:position w:val="0"/>
                <w:sz w:val="19"/>
                <w:szCs w:val="19"/>
              </w:rPr>
              <w:t>股权</w:t>
            </w:r>
          </w:p>
        </w:tc>
        <w:tc>
          <w:tcPr>
            <w:tcBorders>
              <w:top w:val="single" w:sz="4"/>
              <w:left w:val="single" w:sz="4"/>
              <w:bottom w:val="single" w:sz="4"/>
            </w:tcBorders>
            <w:shd w:val="clear" w:color="auto" w:fill="FFFFFF"/>
            <w:vAlign w:val="center"/>
          </w:tcPr>
          <w:p>
            <w:pPr>
              <w:pStyle w:val="Style2"/>
              <w:keepNext w:val="0"/>
              <w:keepLines w:val="0"/>
              <w:framePr w:w="10925" w:h="6120" w:vSpace="370" w:wrap="notBeside" w:vAnchor="text" w:hAnchor="text" w:x="70" w:y="371"/>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softHyphen/>
            </w:r>
          </w:p>
          <w:p>
            <w:pPr>
              <w:pStyle w:val="Style2"/>
              <w:keepNext w:val="0"/>
              <w:keepLines w:val="0"/>
              <w:framePr w:w="10925" w:h="6120" w:vSpace="370" w:wrap="notBeside" w:vAnchor="text" w:hAnchor="text" w:x="70" w:y="37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08-28</w:t>
            </w:r>
          </w:p>
        </w:tc>
        <w:tc>
          <w:tcPr>
            <w:tcBorders>
              <w:top w:val="single" w:sz="4"/>
              <w:left w:val="single" w:sz="4"/>
              <w:bottom w:val="single" w:sz="4"/>
            </w:tcBorders>
            <w:shd w:val="clear" w:color="auto" w:fill="FFFFFF"/>
            <w:vAlign w:val="center"/>
          </w:tcPr>
          <w:p>
            <w:pPr>
              <w:pStyle w:val="Style2"/>
              <w:keepNext w:val="0"/>
              <w:keepLines w:val="0"/>
              <w:framePr w:w="10925" w:h="6120" w:vSpace="370" w:wrap="notBeside" w:vAnchor="text" w:hAnchor="text" w:x="70" w:y="371"/>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16,921.37</w:t>
            </w:r>
          </w:p>
        </w:tc>
        <w:tc>
          <w:tcPr>
            <w:tcBorders>
              <w:top w:val="single" w:sz="4"/>
              <w:left w:val="single" w:sz="4"/>
              <w:bottom w:val="single" w:sz="4"/>
            </w:tcBorders>
            <w:shd w:val="clear" w:color="auto" w:fill="FFFFFF"/>
            <w:vAlign w:val="center"/>
          </w:tcPr>
          <w:p>
            <w:pPr>
              <w:pStyle w:val="Style2"/>
              <w:keepNext w:val="0"/>
              <w:keepLines w:val="0"/>
              <w:framePr w:w="10925" w:h="6120" w:vSpace="370" w:wrap="notBeside" w:vAnchor="text" w:hAnchor="text" w:x="70" w:y="371"/>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-999.42</w:t>
            </w:r>
          </w:p>
        </w:tc>
        <w:tc>
          <w:tcPr>
            <w:tcBorders>
              <w:top w:val="single" w:sz="4"/>
              <w:left w:val="single" w:sz="4"/>
              <w:bottom w:val="single" w:sz="4"/>
            </w:tcBorders>
            <w:shd w:val="clear" w:color="auto" w:fill="FFFFFF"/>
            <w:vAlign w:val="center"/>
          </w:tcPr>
          <w:p>
            <w:pPr>
              <w:pStyle w:val="Style2"/>
              <w:keepNext w:val="0"/>
              <w:keepLines w:val="0"/>
              <w:framePr w:w="10925" w:h="6120" w:vSpace="370" w:wrap="notBeside" w:vAnchor="text" w:hAnchor="text" w:x="70" w:y="371"/>
              <w:widowControl w:val="0"/>
              <w:shd w:val="clear" w:color="auto" w:fill="auto"/>
              <w:bidi w:val="0"/>
              <w:spacing w:before="0" w:after="0" w:line="317" w:lineRule="exact"/>
              <w:ind w:left="0" w:right="0" w:firstLine="0"/>
              <w:jc w:val="both"/>
              <w:rPr>
                <w:sz w:val="19"/>
                <w:szCs w:val="19"/>
              </w:rPr>
            </w:pPr>
            <w:r>
              <w:rPr>
                <w:color w:val="000000"/>
                <w:spacing w:val="0"/>
                <w:w w:val="100"/>
                <w:position w:val="0"/>
                <w:sz w:val="19"/>
                <w:szCs w:val="19"/>
              </w:rPr>
              <w:t>有利于业绩承 诺方切实偿付 业绩补偿款、减 少公司因华夏 芯持续投入期 出现阶段性亏 损对公司业 绩的影响，也有 利于公司收回 现金</w:t>
            </w:r>
          </w:p>
        </w:tc>
        <w:tc>
          <w:tcPr>
            <w:tcBorders>
              <w:top w:val="single" w:sz="4"/>
              <w:left w:val="single" w:sz="4"/>
              <w:bottom w:val="single" w:sz="4"/>
            </w:tcBorders>
            <w:shd w:val="clear" w:color="auto" w:fill="FFFFFF"/>
            <w:vAlign w:val="center"/>
          </w:tcPr>
          <w:p>
            <w:pPr>
              <w:pStyle w:val="Style2"/>
              <w:keepNext w:val="0"/>
              <w:keepLines w:val="0"/>
              <w:framePr w:w="10925" w:h="6120" w:vSpace="370" w:wrap="notBeside" w:vAnchor="text" w:hAnchor="text" w:x="70" w:y="37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framePr w:w="10925" w:h="6120" w:vSpace="370" w:wrap="notBeside" w:vAnchor="text" w:hAnchor="text" w:x="70" w:y="371"/>
              <w:widowControl w:val="0"/>
              <w:shd w:val="clear" w:color="auto" w:fill="auto"/>
              <w:bidi w:val="0"/>
              <w:spacing w:before="0" w:after="0" w:line="313" w:lineRule="exact"/>
              <w:ind w:left="0" w:right="0" w:firstLine="0"/>
              <w:jc w:val="both"/>
              <w:rPr>
                <w:sz w:val="19"/>
                <w:szCs w:val="19"/>
              </w:rPr>
            </w:pPr>
            <w:r>
              <w:rPr>
                <w:color w:val="000000"/>
                <w:spacing w:val="0"/>
                <w:w w:val="100"/>
                <w:position w:val="0"/>
                <w:sz w:val="19"/>
                <w:szCs w:val="19"/>
              </w:rPr>
              <w:t>公司</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19"/>
                <w:szCs w:val="19"/>
              </w:rPr>
              <w:t>年 与交易对方签 署的《关于华 夏芯（北京） 通用处理器技 术有限公司之 增资协议》中 关于股权回购 的约定</w:t>
            </w:r>
          </w:p>
        </w:tc>
        <w:tc>
          <w:tcPr>
            <w:tcBorders>
              <w:top w:val="single" w:sz="4"/>
              <w:left w:val="single" w:sz="4"/>
              <w:bottom w:val="single" w:sz="4"/>
            </w:tcBorders>
            <w:shd w:val="clear" w:color="auto" w:fill="FFFFFF"/>
            <w:vAlign w:val="center"/>
          </w:tcPr>
          <w:p>
            <w:pPr>
              <w:pStyle w:val="Style2"/>
              <w:keepNext w:val="0"/>
              <w:keepLines w:val="0"/>
              <w:framePr w:w="10925" w:h="6120" w:vSpace="370" w:wrap="notBeside" w:vAnchor="text" w:hAnchor="text" w:x="70" w:y="37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w:t>
            </w:r>
          </w:p>
        </w:tc>
        <w:tc>
          <w:tcPr>
            <w:tcBorders>
              <w:top w:val="single" w:sz="4"/>
              <w:left w:val="single" w:sz="4"/>
              <w:bottom w:val="single" w:sz="4"/>
            </w:tcBorders>
            <w:shd w:val="clear" w:color="auto" w:fill="FFFFFF"/>
            <w:vAlign w:val="center"/>
          </w:tcPr>
          <w:p>
            <w:pPr>
              <w:pStyle w:val="Style2"/>
              <w:keepNext w:val="0"/>
              <w:keepLines w:val="0"/>
              <w:framePr w:w="10925" w:h="6120" w:vSpace="370" w:wrap="notBeside" w:vAnchor="text" w:hAnchor="text" w:x="70" w:y="37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w:t>
            </w:r>
          </w:p>
        </w:tc>
        <w:tc>
          <w:tcPr>
            <w:tcBorders>
              <w:top w:val="single" w:sz="4"/>
              <w:left w:val="single" w:sz="4"/>
              <w:bottom w:val="single" w:sz="4"/>
            </w:tcBorders>
            <w:shd w:val="clear" w:color="auto" w:fill="FFFFFF"/>
            <w:vAlign w:val="center"/>
          </w:tcPr>
          <w:p>
            <w:pPr>
              <w:pStyle w:val="Style2"/>
              <w:keepNext w:val="0"/>
              <w:keepLines w:val="0"/>
              <w:framePr w:w="10925" w:h="6120" w:vSpace="370" w:wrap="notBeside" w:vAnchor="text" w:hAnchor="text" w:x="70" w:y="371"/>
              <w:widowControl w:val="0"/>
              <w:shd w:val="clear" w:color="auto" w:fill="auto"/>
              <w:bidi w:val="0"/>
              <w:spacing w:before="0" w:after="0" w:line="240" w:lineRule="auto"/>
              <w:ind w:left="0" w:right="0" w:firstLine="0"/>
              <w:jc w:val="both"/>
              <w:rPr>
                <w:sz w:val="10"/>
                <w:szCs w:val="10"/>
              </w:rPr>
            </w:pPr>
            <w:r>
              <w:rPr>
                <w:color w:val="000000"/>
                <w:spacing w:val="0"/>
                <w:w w:val="100"/>
                <w:position w:val="0"/>
                <w:sz w:val="19"/>
                <w:szCs w:val="19"/>
              </w:rPr>
              <w:t>否</w:t>
            </w:r>
            <w:r>
              <w:rPr>
                <w:color w:val="000000"/>
                <w:spacing w:val="0"/>
                <w:w w:val="100"/>
                <w:position w:val="0"/>
                <w:sz w:val="10"/>
                <w:szCs w:val="10"/>
              </w:rPr>
              <w:t>注</w:t>
            </w:r>
          </w:p>
        </w:tc>
        <w:tc>
          <w:tcPr>
            <w:tcBorders>
              <w:top w:val="single" w:sz="4"/>
              <w:left w:val="single" w:sz="4"/>
              <w:bottom w:val="single" w:sz="4"/>
            </w:tcBorders>
            <w:shd w:val="clear" w:color="auto" w:fill="FFFFFF"/>
            <w:vAlign w:val="center"/>
          </w:tcPr>
          <w:p>
            <w:pPr>
              <w:pStyle w:val="Style2"/>
              <w:keepNext w:val="0"/>
              <w:keepLines w:val="0"/>
              <w:framePr w:w="10925" w:h="6120" w:vSpace="370" w:wrap="notBeside" w:vAnchor="text" w:hAnchor="text" w:x="70" w:y="37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是</w:t>
            </w:r>
          </w:p>
        </w:tc>
        <w:tc>
          <w:tcPr>
            <w:tcBorders>
              <w:top w:val="single" w:sz="4"/>
              <w:left w:val="single" w:sz="4"/>
              <w:bottom w:val="single" w:sz="4"/>
            </w:tcBorders>
            <w:shd w:val="clear" w:color="auto" w:fill="FFFFFF"/>
            <w:vAlign w:val="center"/>
          </w:tcPr>
          <w:p>
            <w:pPr>
              <w:pStyle w:val="Style2"/>
              <w:keepNext w:val="0"/>
              <w:keepLines w:val="0"/>
              <w:framePr w:w="10925" w:h="6120" w:vSpace="370" w:wrap="notBeside" w:vAnchor="text" w:hAnchor="text" w:x="70" w:y="371"/>
              <w:widowControl w:val="0"/>
              <w:shd w:val="clear" w:color="auto" w:fill="auto"/>
              <w:bidi w:val="0"/>
              <w:spacing w:before="0" w:after="10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2020-08-</w:t>
            </w:r>
          </w:p>
          <w:p>
            <w:pPr>
              <w:pStyle w:val="Style2"/>
              <w:keepNext w:val="0"/>
              <w:keepLines w:val="0"/>
              <w:framePr w:w="10925" w:h="6120" w:vSpace="370" w:wrap="notBeside" w:vAnchor="text" w:hAnchor="text" w:x="70" w:y="371"/>
              <w:widowControl w:val="0"/>
              <w:shd w:val="clear" w:color="auto" w:fill="auto"/>
              <w:bidi w:val="0"/>
              <w:spacing w:before="0" w:after="10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19"/>
                <w:szCs w:val="19"/>
              </w:rPr>
              <w:t>、</w:t>
            </w:r>
          </w:p>
          <w:p>
            <w:pPr>
              <w:pStyle w:val="Style2"/>
              <w:keepNext w:val="0"/>
              <w:keepLines w:val="0"/>
              <w:framePr w:w="10925" w:h="6120" w:vSpace="370" w:wrap="notBeside" w:vAnchor="text" w:hAnchor="text" w:x="70" w:y="371"/>
              <w:widowControl w:val="0"/>
              <w:shd w:val="clear" w:color="auto" w:fill="auto"/>
              <w:bidi w:val="0"/>
              <w:spacing w:before="0" w:after="10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2020-09-</w:t>
            </w:r>
          </w:p>
          <w:p>
            <w:pPr>
              <w:pStyle w:val="Style2"/>
              <w:keepNext w:val="0"/>
              <w:keepLines w:val="0"/>
              <w:framePr w:w="10925" w:h="6120" w:vSpace="370" w:wrap="notBeside" w:vAnchor="text" w:hAnchor="text" w:x="70" w:y="371"/>
              <w:widowControl w:val="0"/>
              <w:shd w:val="clear" w:color="auto" w:fill="auto"/>
              <w:bidi w:val="0"/>
              <w:spacing w:before="0" w:after="10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19"/>
                <w:szCs w:val="19"/>
              </w:rPr>
              <w:t>、</w:t>
            </w:r>
          </w:p>
          <w:p>
            <w:pPr>
              <w:pStyle w:val="Style2"/>
              <w:keepNext w:val="0"/>
              <w:keepLines w:val="0"/>
              <w:framePr w:w="10925" w:h="6120" w:vSpace="370" w:wrap="notBeside" w:vAnchor="text" w:hAnchor="text" w:x="70" w:y="371"/>
              <w:widowControl w:val="0"/>
              <w:numPr>
                <w:ilvl w:val="0"/>
                <w:numId w:val="1"/>
              </w:numPr>
              <w:shd w:val="clear" w:color="auto" w:fill="auto"/>
              <w:tabs>
                <w:tab w:pos="490" w:val="left"/>
              </w:tabs>
              <w:bidi w:val="0"/>
              <w:spacing w:before="0" w:after="10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w:t>
            </w:r>
          </w:p>
          <w:p>
            <w:pPr>
              <w:pStyle w:val="Style2"/>
              <w:keepNext w:val="0"/>
              <w:keepLines w:val="0"/>
              <w:framePr w:w="10925" w:h="6120" w:vSpace="370" w:wrap="notBeside" w:vAnchor="text" w:hAnchor="text" w:x="70" w:y="371"/>
              <w:widowControl w:val="0"/>
              <w:shd w:val="clear" w:color="auto" w:fill="auto"/>
              <w:bidi w:val="0"/>
              <w:spacing w:before="0" w:after="10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19"/>
                <w:szCs w:val="19"/>
              </w:rPr>
              <w:t>、</w:t>
            </w:r>
          </w:p>
          <w:p>
            <w:pPr>
              <w:pStyle w:val="Style2"/>
              <w:keepNext w:val="0"/>
              <w:keepLines w:val="0"/>
              <w:framePr w:w="10925" w:h="6120" w:vSpace="370" w:wrap="notBeside" w:vAnchor="text" w:hAnchor="text" w:x="70" w:y="371"/>
              <w:widowControl w:val="0"/>
              <w:numPr>
                <w:ilvl w:val="0"/>
                <w:numId w:val="1"/>
              </w:numPr>
              <w:shd w:val="clear" w:color="auto" w:fill="auto"/>
              <w:tabs>
                <w:tab w:pos="470" w:val="left"/>
              </w:tabs>
              <w:bidi w:val="0"/>
              <w:spacing w:before="0" w:after="10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01</w:t>
              <w:softHyphen/>
            </w:r>
          </w:p>
          <w:p>
            <w:pPr>
              <w:pStyle w:val="Style2"/>
              <w:keepNext w:val="0"/>
              <w:keepLines w:val="0"/>
              <w:framePr w:w="10925" w:h="6120" w:vSpace="370" w:wrap="notBeside" w:vAnchor="text" w:hAnchor="text" w:x="70" w:y="371"/>
              <w:widowControl w:val="0"/>
              <w:shd w:val="clear" w:color="auto" w:fill="auto"/>
              <w:bidi w:val="0"/>
              <w:spacing w:before="0" w:after="10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04</w:t>
            </w:r>
          </w:p>
        </w:tc>
        <w:tc>
          <w:tcPr>
            <w:tcBorders>
              <w:top w:val="single" w:sz="4"/>
              <w:left w:val="single" w:sz="4"/>
              <w:bottom w:val="single" w:sz="4"/>
              <w:right w:val="single" w:sz="4"/>
            </w:tcBorders>
            <w:shd w:val="clear" w:color="auto" w:fill="FFFFFF"/>
            <w:vAlign w:val="center"/>
          </w:tcPr>
          <w:p>
            <w:pPr>
              <w:pStyle w:val="Style2"/>
              <w:keepNext w:val="0"/>
              <w:keepLines w:val="0"/>
              <w:framePr w:w="10925" w:h="6120" w:vSpace="370" w:wrap="notBeside" w:vAnchor="text" w:hAnchor="text" w:x="70" w:y="371"/>
              <w:widowControl w:val="0"/>
              <w:shd w:val="clear" w:color="auto" w:fill="auto"/>
              <w:bidi w:val="0"/>
              <w:spacing w:before="0" w:after="10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p>
          <w:p>
            <w:pPr>
              <w:pStyle w:val="Style2"/>
              <w:keepNext w:val="0"/>
              <w:keepLines w:val="0"/>
              <w:framePr w:w="10925" w:h="6120" w:vSpace="370" w:wrap="notBeside" w:vAnchor="text" w:hAnchor="text" w:x="70" w:y="371"/>
              <w:widowControl w:val="0"/>
              <w:shd w:val="clear" w:color="auto" w:fill="auto"/>
              <w:bidi w:val="0"/>
              <w:spacing w:before="0" w:after="10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061</w:t>
            </w:r>
            <w:r>
              <w:rPr>
                <w:color w:val="000000"/>
                <w:spacing w:val="0"/>
                <w:w w:val="100"/>
                <w:position w:val="0"/>
                <w:sz w:val="19"/>
                <w:szCs w:val="19"/>
              </w:rPr>
              <w:t>、</w:t>
            </w:r>
          </w:p>
          <w:p>
            <w:pPr>
              <w:pStyle w:val="Style2"/>
              <w:keepNext w:val="0"/>
              <w:keepLines w:val="0"/>
              <w:framePr w:w="10925" w:h="6120" w:vSpace="370" w:wrap="notBeside" w:vAnchor="text" w:hAnchor="text" w:x="70" w:y="371"/>
              <w:widowControl w:val="0"/>
              <w:shd w:val="clear" w:color="auto" w:fill="auto"/>
              <w:bidi w:val="0"/>
              <w:spacing w:before="0" w:after="10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p>
          <w:p>
            <w:pPr>
              <w:pStyle w:val="Style2"/>
              <w:keepNext w:val="0"/>
              <w:keepLines w:val="0"/>
              <w:framePr w:w="10925" w:h="6120" w:vSpace="370" w:wrap="notBeside" w:vAnchor="text" w:hAnchor="text" w:x="70" w:y="371"/>
              <w:widowControl w:val="0"/>
              <w:shd w:val="clear" w:color="auto" w:fill="auto"/>
              <w:bidi w:val="0"/>
              <w:spacing w:before="0" w:after="10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067</w:t>
            </w:r>
            <w:r>
              <w:rPr>
                <w:color w:val="000000"/>
                <w:spacing w:val="0"/>
                <w:w w:val="100"/>
                <w:position w:val="0"/>
                <w:sz w:val="19"/>
                <w:szCs w:val="19"/>
              </w:rPr>
              <w:t>、</w:t>
            </w:r>
          </w:p>
          <w:p>
            <w:pPr>
              <w:pStyle w:val="Style2"/>
              <w:keepNext w:val="0"/>
              <w:keepLines w:val="0"/>
              <w:framePr w:w="10925" w:h="6120" w:vSpace="370" w:wrap="notBeside" w:vAnchor="text" w:hAnchor="text" w:x="70" w:y="371"/>
              <w:widowControl w:val="0"/>
              <w:shd w:val="clear" w:color="auto" w:fill="auto"/>
              <w:bidi w:val="0"/>
              <w:spacing w:before="0" w:after="10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p>
          <w:p>
            <w:pPr>
              <w:pStyle w:val="Style2"/>
              <w:keepNext w:val="0"/>
              <w:keepLines w:val="0"/>
              <w:framePr w:w="10925" w:h="6120" w:vSpace="370" w:wrap="notBeside" w:vAnchor="text" w:hAnchor="text" w:x="70" w:y="371"/>
              <w:widowControl w:val="0"/>
              <w:shd w:val="clear" w:color="auto" w:fill="auto"/>
              <w:bidi w:val="0"/>
              <w:spacing w:before="0" w:after="10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075</w:t>
            </w:r>
            <w:r>
              <w:rPr>
                <w:color w:val="000000"/>
                <w:spacing w:val="0"/>
                <w:w w:val="100"/>
                <w:position w:val="0"/>
                <w:sz w:val="19"/>
                <w:szCs w:val="19"/>
              </w:rPr>
              <w:t>、</w:t>
            </w:r>
          </w:p>
          <w:p>
            <w:pPr>
              <w:pStyle w:val="Style2"/>
              <w:keepNext w:val="0"/>
              <w:keepLines w:val="0"/>
              <w:framePr w:w="10925" w:h="6120" w:vSpace="370" w:wrap="notBeside" w:vAnchor="text" w:hAnchor="text" w:x="70" w:y="371"/>
              <w:widowControl w:val="0"/>
              <w:shd w:val="clear" w:color="auto" w:fill="auto"/>
              <w:bidi w:val="0"/>
              <w:spacing w:before="0" w:after="10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softHyphen/>
            </w:r>
          </w:p>
          <w:p>
            <w:pPr>
              <w:pStyle w:val="Style2"/>
              <w:keepNext w:val="0"/>
              <w:keepLines w:val="0"/>
              <w:framePr w:w="10925" w:h="6120" w:vSpace="370" w:wrap="notBeside" w:vAnchor="text" w:hAnchor="text" w:x="70" w:y="371"/>
              <w:widowControl w:val="0"/>
              <w:shd w:val="clear" w:color="auto" w:fill="auto"/>
              <w:bidi w:val="0"/>
              <w:spacing w:before="0" w:after="10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001</w:t>
            </w:r>
          </w:p>
        </w:tc>
      </w:tr>
    </w:tbl>
    <w:p>
      <w:pPr>
        <w:pStyle w:val="Style38"/>
        <w:keepNext w:val="0"/>
        <w:keepLines w:val="0"/>
        <w:framePr w:w="3538" w:h="240" w:hSpace="69" w:wrap="notBeside" w:vAnchor="text" w:hAnchor="text" w:x="676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国民技术股份有限公司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年年度报告全文</w:t>
      </w:r>
    </w:p>
    <w:p>
      <w:pPr>
        <w:widowControl w:val="0"/>
        <w:spacing w:line="1" w:lineRule="exact"/>
      </w:pPr>
    </w:p>
    <w:p>
      <w:pPr>
        <w:pStyle w:val="Style44"/>
        <w:keepNext w:val="0"/>
        <w:keepLines w:val="0"/>
        <w:widowControl w:val="0"/>
        <w:shd w:val="clear" w:color="auto" w:fill="auto"/>
        <w:bidi w:val="0"/>
        <w:spacing w:before="0" w:after="360" w:line="240" w:lineRule="auto"/>
        <w:ind w:left="0" w:right="0" w:firstLine="780"/>
        <w:jc w:val="left"/>
      </w:pPr>
      <w:r>
        <mc:AlternateContent>
          <mc:Choice Requires="wps">
            <w:drawing>
              <wp:anchor distT="0" distB="0" distL="0" distR="0" simplePos="0" relativeHeight="125829378" behindDoc="0" locked="0" layoutInCell="1" allowOverlap="1">
                <wp:simplePos x="0" y="0"/>
                <wp:positionH relativeFrom="page">
                  <wp:posOffset>768350</wp:posOffset>
                </wp:positionH>
                <wp:positionV relativeFrom="margin">
                  <wp:posOffset>-536575</wp:posOffset>
                </wp:positionV>
                <wp:extent cx="1295400" cy="768350"/>
                <wp:wrapSquare wrapText="bothSides"/>
                <wp:docPr id="66" name="Shape 66"/>
                <a:graphic xmlns:a="http://schemas.openxmlformats.org/drawingml/2006/main">
                  <a:graphicData uri="http://schemas.microsoft.com/office/word/2010/wordprocessingShape">
                    <wps:wsp>
                      <wps:cNvSpPr txBox="1"/>
                      <wps:spPr>
                        <a:xfrm>
                          <a:ext cx="1295400" cy="7683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240"/>
                                <w:szCs w:val="240"/>
                              </w:rPr>
                            </w:pPr>
                            <w:r>
                              <w:rPr>
                                <w:spacing w:val="0"/>
                                <w:w w:val="100"/>
                                <w:position w:val="0"/>
                                <w:sz w:val="42"/>
                                <w:szCs w:val="42"/>
                              </w:rPr>
                              <w:t>Nation</w:t>
                            </w:r>
                            <w:r>
                              <w:rPr>
                                <w:rFonts w:ascii="SimSun" w:eastAsia="SimSun" w:hAnsi="SimSun" w:cs="SimSun"/>
                                <w:b w:val="0"/>
                                <w:bCs w:val="0"/>
                                <w:spacing w:val="0"/>
                                <w:w w:val="100"/>
                                <w:position w:val="0"/>
                                <w:sz w:val="240"/>
                                <w:szCs w:val="240"/>
                              </w:rPr>
                              <w:t>。</w:t>
                            </w:r>
                          </w:p>
                          <w:p>
                            <w:pPr>
                              <w:pStyle w:val="Style65"/>
                              <w:keepNext w:val="0"/>
                              <w:keepLines w:val="0"/>
                              <w:widowControl w:val="0"/>
                              <w:pBdr>
                                <w:bottom w:val="single" w:sz="4" w:space="0" w:color="auto"/>
                              </w:pBdr>
                              <w:shd w:val="clear" w:color="auto" w:fill="auto"/>
                              <w:bidi w:val="0"/>
                              <w:spacing w:before="0" w:after="0" w:line="240" w:lineRule="auto"/>
                              <w:ind w:left="0" w:right="0" w:firstLine="560"/>
                              <w:jc w:val="left"/>
                            </w:pPr>
                            <w:r>
                              <w:rPr>
                                <w:color w:val="000000"/>
                                <w:spacing w:val="0"/>
                                <w:w w:val="100"/>
                                <w:position w:val="0"/>
                              </w:rPr>
                              <w:t>国民技木</w:t>
                            </w:r>
                            <w:r>
                              <w:rPr>
                                <w:color w:val="01408A"/>
                                <w:spacing w:val="0"/>
                                <w:w w:val="100"/>
                                <w:position w:val="0"/>
                              </w:rPr>
                              <w:t>▼</w:t>
                            </w:r>
                          </w:p>
                        </w:txbxContent>
                      </wps:txbx>
                      <wps:bodyPr lIns="0" tIns="0" rIns="0" bIns="0">
                        <a:noAutoFit/>
                      </wps:bodyPr>
                    </wps:wsp>
                  </a:graphicData>
                </a:graphic>
              </wp:anchor>
            </w:drawing>
          </mc:Choice>
          <mc:Fallback>
            <w:pict>
              <v:shape id="_x0000_s1092" type="#_x0000_t202" style="position:absolute;margin-left:60.5pt;margin-top:-42.25pt;width:102.pt;height:60.5pt;z-index:-125829375;mso-wrap-distance-left:0;mso-wrap-distance-right:0;mso-position-horizontal-relative:page;mso-position-vertical-relative:margin" filled="f" stroked="f">
                <v:textbox inset="0,0,0,0">
                  <w:txbxContent>
                    <w:p>
                      <w:pPr>
                        <w:pStyle w:val="Style62"/>
                        <w:keepNext w:val="0"/>
                        <w:keepLines w:val="0"/>
                        <w:widowControl w:val="0"/>
                        <w:shd w:val="clear" w:color="auto" w:fill="auto"/>
                        <w:bidi w:val="0"/>
                        <w:spacing w:before="0" w:after="0" w:line="240" w:lineRule="auto"/>
                        <w:ind w:left="0" w:right="0" w:firstLine="0"/>
                        <w:jc w:val="left"/>
                        <w:rPr>
                          <w:sz w:val="240"/>
                          <w:szCs w:val="240"/>
                        </w:rPr>
                      </w:pPr>
                      <w:r>
                        <w:rPr>
                          <w:spacing w:val="0"/>
                          <w:w w:val="100"/>
                          <w:position w:val="0"/>
                          <w:sz w:val="42"/>
                          <w:szCs w:val="42"/>
                        </w:rPr>
                        <w:t>Nation</w:t>
                      </w:r>
                      <w:r>
                        <w:rPr>
                          <w:rFonts w:ascii="SimSun" w:eastAsia="SimSun" w:hAnsi="SimSun" w:cs="SimSun"/>
                          <w:b w:val="0"/>
                          <w:bCs w:val="0"/>
                          <w:spacing w:val="0"/>
                          <w:w w:val="100"/>
                          <w:position w:val="0"/>
                          <w:sz w:val="240"/>
                          <w:szCs w:val="240"/>
                        </w:rPr>
                        <w:t>。</w:t>
                      </w:r>
                    </w:p>
                    <w:p>
                      <w:pPr>
                        <w:pStyle w:val="Style65"/>
                        <w:keepNext w:val="0"/>
                        <w:keepLines w:val="0"/>
                        <w:widowControl w:val="0"/>
                        <w:pBdr>
                          <w:bottom w:val="single" w:sz="4" w:space="0" w:color="auto"/>
                        </w:pBdr>
                        <w:shd w:val="clear" w:color="auto" w:fill="auto"/>
                        <w:bidi w:val="0"/>
                        <w:spacing w:before="0" w:after="0" w:line="240" w:lineRule="auto"/>
                        <w:ind w:left="0" w:right="0" w:firstLine="560"/>
                        <w:jc w:val="left"/>
                      </w:pPr>
                      <w:r>
                        <w:rPr>
                          <w:color w:val="000000"/>
                          <w:spacing w:val="0"/>
                          <w:w w:val="100"/>
                          <w:position w:val="0"/>
                        </w:rPr>
                        <w:t>国民技木</w:t>
                      </w:r>
                      <w:r>
                        <w:rPr>
                          <w:color w:val="01408A"/>
                          <w:spacing w:val="0"/>
                          <w:w w:val="100"/>
                          <w:position w:val="0"/>
                        </w:rPr>
                        <w:t>▼</w:t>
                      </w:r>
                    </w:p>
                  </w:txbxContent>
                </v:textbox>
                <w10:wrap type="square" anchorx="page" anchory="margin"/>
              </v:shape>
            </w:pict>
          </mc:Fallback>
        </mc:AlternateContent>
      </w:r>
      <w:r>
        <w:rPr>
          <w:color w:val="000000"/>
          <w:spacing w:val="0"/>
          <w:w w:val="100"/>
          <w:position w:val="0"/>
        </w:rPr>
        <w:t>注：基于谨慎性原则，待股权完成过户后确认相关转让收益。</w:t>
      </w:r>
    </w:p>
    <w:p>
      <w:pPr>
        <w:pStyle w:val="Style42"/>
        <w:keepNext/>
        <w:keepLines/>
        <w:widowControl w:val="0"/>
        <w:shd w:val="clear" w:color="auto" w:fill="auto"/>
        <w:bidi w:val="0"/>
        <w:spacing w:before="0" w:after="360" w:line="240" w:lineRule="auto"/>
        <w:ind w:left="0" w:right="0" w:firstLine="780"/>
        <w:jc w:val="left"/>
      </w:pPr>
      <w:bookmarkStart w:id="239" w:name="bookmark239"/>
      <w:bookmarkStart w:id="240" w:name="bookmark240"/>
      <w:bookmarkStart w:id="241" w:name="bookmark241"/>
      <w:bookmarkStart w:id="242" w:name="bookmark242"/>
      <w:r>
        <w:rPr>
          <w:color w:val="000000"/>
          <w:spacing w:val="0"/>
          <w:w w:val="100"/>
          <w:position w:val="0"/>
        </w:rPr>
        <w:t>七</w:t>
      </w:r>
      <w:bookmarkEnd w:id="241"/>
      <w:r>
        <w:rPr>
          <w:color w:val="000000"/>
          <w:spacing w:val="0"/>
          <w:w w:val="100"/>
          <w:position w:val="0"/>
        </w:rPr>
        <w:t>、主要控股参股公司分析</w:t>
      </w:r>
      <w:bookmarkEnd w:id="239"/>
      <w:bookmarkEnd w:id="240"/>
      <w:bookmarkEnd w:id="242"/>
    </w:p>
    <w:p>
      <w:pPr>
        <w:pStyle w:val="Style44"/>
        <w:keepNext w:val="0"/>
        <w:keepLines w:val="0"/>
        <w:widowControl w:val="0"/>
        <w:shd w:val="clear" w:color="auto" w:fill="auto"/>
        <w:bidi w:val="0"/>
        <w:spacing w:before="0" w:after="200" w:line="240" w:lineRule="auto"/>
        <w:ind w:left="0" w:right="0" w:firstLine="7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val="0"/>
        <w:keepLines w:val="0"/>
        <w:widowControl w:val="0"/>
        <w:shd w:val="clear" w:color="auto" w:fill="auto"/>
        <w:bidi w:val="0"/>
        <w:spacing w:before="0" w:after="80" w:line="240" w:lineRule="auto"/>
        <w:ind w:left="0" w:right="0" w:firstLine="78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560"/>
        <w:gridCol w:w="710"/>
        <w:gridCol w:w="566"/>
        <w:gridCol w:w="989"/>
        <w:gridCol w:w="1421"/>
        <w:gridCol w:w="1555"/>
        <w:gridCol w:w="1421"/>
        <w:gridCol w:w="1416"/>
        <w:gridCol w:w="1426"/>
      </w:tblGrid>
      <w:tr>
        <w:trPr>
          <w:trHeight w:val="9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40"/>
              <w:jc w:val="left"/>
              <w:rPr>
                <w:sz w:val="20"/>
                <w:szCs w:val="20"/>
              </w:rPr>
            </w:pPr>
            <w:r>
              <w:rPr>
                <w:color w:val="000000"/>
                <w:spacing w:val="0"/>
                <w:w w:val="100"/>
                <w:position w:val="0"/>
                <w:sz w:val="20"/>
                <w:szCs w:val="20"/>
              </w:rPr>
              <w:t>公司</w:t>
            </w:r>
          </w:p>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主要</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r>
      <w:tr>
        <w:trPr>
          <w:trHeight w:val="86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深圳市斯诺实业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5333.3333</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542,968,541.80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-381,127,635.73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138,125,699.56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-31,926,407.28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-38,163,225.66</w:t>
            </w:r>
          </w:p>
        </w:tc>
      </w:tr>
      <w:tr>
        <w:trPr>
          <w:trHeight w:val="86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国民科技（深圳）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22,200 </w:t>
            </w:r>
            <w:r>
              <w:rPr>
                <w:color w:val="000000"/>
                <w:spacing w:val="0"/>
                <w:w w:val="100"/>
                <w:position w:val="0"/>
                <w:sz w:val="20"/>
                <w:szCs w:val="20"/>
              </w:rPr>
              <w:t>万</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304,016,250.84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-359,141,660.04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21,772,690.21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6,724,927.63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6,724,927.63</w:t>
            </w:r>
          </w:p>
        </w:tc>
      </w:tr>
      <w:tr>
        <w:trPr>
          <w:trHeight w:val="86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深圳前海国民投 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27,682.64</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339,495,466.11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-295,212,322.34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-2,081,256.76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77,965,874.96</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9"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Nations</w:t>
            </w:r>
          </w:p>
          <w:p>
            <w:pPr>
              <w:pStyle w:val="Style2"/>
              <w:keepNext w:val="0"/>
              <w:keepLines w:val="0"/>
              <w:widowControl w:val="0"/>
              <w:shd w:val="clear" w:color="auto" w:fill="auto"/>
              <w:bidi w:val="0"/>
              <w:spacing w:before="0" w:after="0" w:line="329"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Innovation Technologies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350</w:t>
            </w:r>
            <w:r>
              <w:rPr>
                <w:color w:val="000000"/>
                <w:spacing w:val="0"/>
                <w:w w:val="100"/>
                <w:position w:val="0"/>
                <w:sz w:val="20"/>
                <w:szCs w:val="20"/>
              </w:rPr>
              <w:t>万美</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6,642,251.97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2,818,043.65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-11,637,363.61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-11,637,363.61</w:t>
            </w:r>
          </w:p>
        </w:tc>
      </w:tr>
      <w:tr>
        <w:trPr>
          <w:trHeight w:val="49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国民技术（香港）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850</w:t>
            </w:r>
            <w:r>
              <w:rPr>
                <w:color w:val="000000"/>
                <w:spacing w:val="0"/>
                <w:w w:val="100"/>
                <w:position w:val="0"/>
                <w:sz w:val="20"/>
                <w:szCs w:val="20"/>
              </w:rPr>
              <w:t>万美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46,856,697.06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46,679,753.32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18,752,557.99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18,752,557.99</w:t>
            </w:r>
          </w:p>
        </w:tc>
      </w:tr>
    </w:tbl>
    <w:p>
      <w:pPr>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1092" w:right="355" w:bottom="1462" w:left="481" w:header="664" w:footer="3" w:gutter="0"/>
          <w:cols w:space="720"/>
          <w:noEndnote/>
          <w:rtlGutter w:val="0"/>
          <w:docGrid w:linePitch="360"/>
        </w:sectPr>
      </w:pPr>
    </w:p>
    <w:tbl>
      <w:tblPr>
        <w:tblOverlap w:val="never"/>
        <w:jc w:val="center"/>
        <w:tblLayout w:type="fixed"/>
      </w:tblPr>
      <w:tblGrid>
        <w:gridCol w:w="1560"/>
        <w:gridCol w:w="710"/>
        <w:gridCol w:w="566"/>
        <w:gridCol w:w="989"/>
        <w:gridCol w:w="1421"/>
        <w:gridCol w:w="1555"/>
        <w:gridCol w:w="1421"/>
        <w:gridCol w:w="1416"/>
        <w:gridCol w:w="1426"/>
      </w:tblGrid>
      <w:tr>
        <w:trPr>
          <w:trHeight w:val="45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763"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:锂离子电池负极材料的研发、生产和销售，以及石墨化加工服务。</w:t>
      </w:r>
    </w:p>
    <w:p>
      <w:pPr>
        <w:pStyle w:val="Style38"/>
        <w:keepNext w:val="0"/>
        <w:keepLines w:val="0"/>
        <w:widowControl w:val="0"/>
        <w:shd w:val="clear" w:color="auto" w:fill="auto"/>
        <w:bidi w:val="0"/>
        <w:spacing w:before="0" w:after="0" w:line="403" w:lineRule="exact"/>
        <w:ind w:left="763"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：致力于“安全物联网”产品领域的发展。主营业务包括，国民安全云、安全智能门锁、门禁、智 能门锁安全模组和主板、安全智能锁行业应用管理系统等。</w:t>
      </w:r>
    </w:p>
    <w:p>
      <w:pPr>
        <w:pStyle w:val="Style38"/>
        <w:keepNext w:val="0"/>
        <w:keepLines w:val="0"/>
        <w:widowControl w:val="0"/>
        <w:shd w:val="clear" w:color="auto" w:fill="auto"/>
        <w:bidi w:val="0"/>
        <w:spacing w:before="0" w:after="180" w:line="394" w:lineRule="exact"/>
        <w:ind w:left="763"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：投资兴办实业（具体项目另行申报）；股权投资；创业投资；受托资产管理；投资管理、投资咨询、 投资顾问；企业管理咨询。</w:t>
      </w:r>
    </w:p>
    <w:p>
      <w:pPr>
        <w:pStyle w:val="Style38"/>
        <w:keepNext w:val="0"/>
        <w:keepLines w:val="0"/>
        <w:widowControl w:val="0"/>
        <w:shd w:val="clear" w:color="auto" w:fill="auto"/>
        <w:bidi w:val="0"/>
        <w:spacing w:before="0" w:after="180" w:line="240" w:lineRule="auto"/>
        <w:ind w:left="763"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：以物联网为目标的芯片研发，是公司研发体系的组成部分。</w:t>
      </w:r>
    </w:p>
    <w:p>
      <w:pPr>
        <w:pStyle w:val="Style38"/>
        <w:keepNext w:val="0"/>
        <w:keepLines w:val="0"/>
        <w:widowControl w:val="0"/>
        <w:shd w:val="clear" w:color="auto" w:fill="auto"/>
        <w:bidi w:val="0"/>
        <w:spacing w:before="0" w:after="100" w:line="240" w:lineRule="auto"/>
        <w:ind w:left="763"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：公司海外投资控股平台。</w:t>
      </w:r>
    </w:p>
    <w:p>
      <w:pPr>
        <w:widowControl w:val="0"/>
        <w:spacing w:after="159" w:line="1" w:lineRule="exact"/>
      </w:pPr>
    </w:p>
    <w:p>
      <w:pPr>
        <w:pStyle w:val="Style44"/>
        <w:keepNext w:val="0"/>
        <w:keepLines w:val="0"/>
        <w:widowControl w:val="0"/>
        <w:shd w:val="clear" w:color="auto" w:fill="auto"/>
        <w:bidi w:val="0"/>
        <w:spacing w:before="0" w:after="0" w:line="468" w:lineRule="exact"/>
        <w:ind w:left="0" w:right="0" w:firstLine="780"/>
        <w:jc w:val="both"/>
      </w:pPr>
      <w:r>
        <w:rPr>
          <w:color w:val="000000"/>
          <w:spacing w:val="0"/>
          <w:w w:val="100"/>
          <w:position w:val="0"/>
        </w:rPr>
        <w:t>报告期内取得和处置子公司的情况</w:t>
      </w:r>
    </w:p>
    <w:p>
      <w:pPr>
        <w:pStyle w:val="Style44"/>
        <w:keepNext w:val="0"/>
        <w:keepLines w:val="0"/>
        <w:widowControl w:val="0"/>
        <w:shd w:val="clear" w:color="auto" w:fill="auto"/>
        <w:bidi w:val="0"/>
        <w:spacing w:before="0" w:after="320" w:line="468" w:lineRule="exact"/>
        <w:ind w:left="0" w:right="0" w:firstLine="7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2"/>
        <w:keepNext/>
        <w:keepLines/>
        <w:widowControl w:val="0"/>
        <w:shd w:val="clear" w:color="auto" w:fill="auto"/>
        <w:tabs>
          <w:tab w:pos="1302" w:val="left"/>
        </w:tabs>
        <w:bidi w:val="0"/>
        <w:spacing w:before="0" w:after="160" w:line="240" w:lineRule="auto"/>
        <w:ind w:left="0" w:right="0" w:firstLine="780"/>
        <w:jc w:val="both"/>
      </w:pPr>
      <w:bookmarkStart w:id="243" w:name="bookmark243"/>
      <w:bookmarkStart w:id="244" w:name="bookmark244"/>
      <w:bookmarkStart w:id="245" w:name="bookmark245"/>
      <w:bookmarkStart w:id="246" w:name="bookmark246"/>
      <w:r>
        <w:rPr>
          <w:color w:val="000000"/>
          <w:spacing w:val="0"/>
          <w:w w:val="100"/>
          <w:position w:val="0"/>
        </w:rPr>
        <w:t>八</w:t>
      </w:r>
      <w:bookmarkEnd w:id="245"/>
      <w:r>
        <w:rPr>
          <w:color w:val="000000"/>
          <w:spacing w:val="0"/>
          <w:w w:val="100"/>
          <w:position w:val="0"/>
        </w:rPr>
        <w:t>、</w:t>
        <w:tab/>
        <w:t>公司控制的结构化主体情况</w:t>
      </w:r>
      <w:bookmarkEnd w:id="243"/>
      <w:bookmarkEnd w:id="244"/>
      <w:bookmarkEnd w:id="246"/>
    </w:p>
    <w:p>
      <w:pPr>
        <w:pStyle w:val="Style44"/>
        <w:keepNext w:val="0"/>
        <w:keepLines w:val="0"/>
        <w:widowControl w:val="0"/>
        <w:shd w:val="clear" w:color="auto" w:fill="auto"/>
        <w:bidi w:val="0"/>
        <w:spacing w:before="0" w:after="320" w:line="468" w:lineRule="exact"/>
        <w:ind w:left="0" w:right="0" w:firstLine="7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2"/>
        <w:keepNext/>
        <w:keepLines/>
        <w:widowControl w:val="0"/>
        <w:shd w:val="clear" w:color="auto" w:fill="auto"/>
        <w:tabs>
          <w:tab w:pos="1302" w:val="left"/>
        </w:tabs>
        <w:bidi w:val="0"/>
        <w:spacing w:before="0" w:after="240" w:line="240" w:lineRule="auto"/>
        <w:ind w:left="0" w:right="0" w:firstLine="780"/>
        <w:jc w:val="both"/>
      </w:pPr>
      <w:bookmarkStart w:id="247" w:name="bookmark247"/>
      <w:bookmarkStart w:id="248" w:name="bookmark248"/>
      <w:bookmarkStart w:id="249" w:name="bookmark249"/>
      <w:bookmarkStart w:id="250" w:name="bookmark250"/>
      <w:r>
        <w:rPr>
          <w:color w:val="000000"/>
          <w:spacing w:val="0"/>
          <w:w w:val="100"/>
          <w:position w:val="0"/>
        </w:rPr>
        <w:t>九</w:t>
      </w:r>
      <w:bookmarkEnd w:id="249"/>
      <w:r>
        <w:rPr>
          <w:color w:val="000000"/>
          <w:spacing w:val="0"/>
          <w:w w:val="100"/>
          <w:position w:val="0"/>
        </w:rPr>
        <w:t>、</w:t>
        <w:tab/>
        <w:t>公司未来发展的展望</w:t>
      </w:r>
      <w:bookmarkEnd w:id="247"/>
      <w:bookmarkEnd w:id="248"/>
      <w:bookmarkEnd w:id="250"/>
    </w:p>
    <w:p>
      <w:pPr>
        <w:pStyle w:val="Style52"/>
        <w:keepNext/>
        <w:keepLines/>
        <w:widowControl w:val="0"/>
        <w:shd w:val="clear" w:color="auto" w:fill="auto"/>
        <w:bidi w:val="0"/>
        <w:spacing w:before="0" w:after="0" w:line="468" w:lineRule="exact"/>
        <w:ind w:left="0" w:right="0" w:firstLine="780"/>
        <w:jc w:val="both"/>
      </w:pPr>
      <w:bookmarkStart w:id="251" w:name="bookmark251"/>
      <w:bookmarkStart w:id="252" w:name="bookmark252"/>
      <w:bookmarkStart w:id="253" w:name="bookmark253"/>
      <w:bookmarkStart w:id="254" w:name="bookmark254"/>
      <w:r>
        <w:rPr>
          <w:rFonts w:ascii="Times New Roman" w:eastAsia="Times New Roman" w:hAnsi="Times New Roman" w:cs="Times New Roman"/>
          <w:color w:val="000000"/>
          <w:spacing w:val="0"/>
          <w:w w:val="100"/>
          <w:position w:val="0"/>
        </w:rPr>
        <w:t>1</w:t>
      </w:r>
      <w:bookmarkEnd w:id="253"/>
      <w:r>
        <w:rPr>
          <w:color w:val="000000"/>
          <w:spacing w:val="0"/>
          <w:w w:val="100"/>
          <w:position w:val="0"/>
        </w:rPr>
        <w:t>、行业格局和趋势</w:t>
      </w:r>
      <w:bookmarkEnd w:id="251"/>
      <w:bookmarkEnd w:id="252"/>
      <w:bookmarkEnd w:id="254"/>
    </w:p>
    <w:p>
      <w:pPr>
        <w:pStyle w:val="Style52"/>
        <w:keepNext/>
        <w:keepLines/>
        <w:widowControl w:val="0"/>
        <w:shd w:val="clear" w:color="auto" w:fill="auto"/>
        <w:bidi w:val="0"/>
        <w:spacing w:before="0" w:after="0" w:line="468" w:lineRule="exact"/>
        <w:ind w:left="1240" w:right="0" w:firstLine="0"/>
        <w:jc w:val="both"/>
      </w:pPr>
      <w:bookmarkStart w:id="251" w:name="bookmark251"/>
      <w:bookmarkStart w:id="252" w:name="bookmark252"/>
      <w:bookmarkStart w:id="255" w:name="bookmark255"/>
      <w:r>
        <w:rPr>
          <w:color w:val="000000"/>
          <w:spacing w:val="0"/>
          <w:w w:val="100"/>
          <w:position w:val="0"/>
        </w:rPr>
        <w:t>（</w:t>
      </w:r>
      <w:bookmarkEnd w:id="255"/>
      <w:r>
        <w:rPr>
          <w:rFonts w:ascii="Times New Roman" w:eastAsia="Times New Roman" w:hAnsi="Times New Roman" w:cs="Times New Roman"/>
          <w:color w:val="000000"/>
          <w:spacing w:val="0"/>
          <w:w w:val="100"/>
          <w:position w:val="0"/>
        </w:rPr>
        <w:t>1</w:t>
      </w:r>
      <w:r>
        <w:rPr>
          <w:color w:val="000000"/>
          <w:spacing w:val="0"/>
          <w:w w:val="100"/>
          <w:position w:val="0"/>
        </w:rPr>
        <w:t>）集成电路设计领域</w:t>
      </w:r>
      <w:bookmarkEnd w:id="251"/>
      <w:bookmarkEnd w:id="252"/>
    </w:p>
    <w:p>
      <w:pPr>
        <w:pStyle w:val="Style44"/>
        <w:keepNext w:val="0"/>
        <w:keepLines w:val="0"/>
        <w:widowControl w:val="0"/>
        <w:shd w:val="clear" w:color="auto" w:fill="auto"/>
        <w:bidi w:val="0"/>
        <w:spacing w:before="0" w:after="0" w:line="468" w:lineRule="exact"/>
        <w:ind w:left="780" w:right="0" w:firstLine="460"/>
        <w:jc w:val="both"/>
      </w:pPr>
      <w:r>
        <w:rPr>
          <w:color w:val="000000"/>
          <w:spacing w:val="0"/>
          <w:w w:val="100"/>
          <w:position w:val="0"/>
        </w:rPr>
        <w:t>公司所处集成电路行业、信息安全行业是支撑经济社会发展和保障国家安全的战略性、基 础性和先导性的两个重要行业，也是培育战略性新兴产业、发展信息经济和数字经济的重要支 撑，关乎国家核心竞争力和国家安全，在各个行业与应用领域的核心地位极其重要，近年来的 世界格局发生了深刻的变化，集成电路和信息安全行业更加面临挑战与机遇的考验。</w:t>
      </w:r>
    </w:p>
    <w:p>
      <w:pPr>
        <w:pStyle w:val="Style44"/>
        <w:keepNext w:val="0"/>
        <w:keepLines w:val="0"/>
        <w:widowControl w:val="0"/>
        <w:shd w:val="clear" w:color="auto" w:fill="auto"/>
        <w:bidi w:val="0"/>
        <w:spacing w:before="0" w:after="0" w:line="468" w:lineRule="exact"/>
        <w:ind w:left="780" w:right="0" w:firstLine="460"/>
        <w:jc w:val="both"/>
      </w:pPr>
      <w:r>
        <w:rPr>
          <w:color w:val="000000"/>
          <w:spacing w:val="0"/>
          <w:w w:val="100"/>
          <w:position w:val="0"/>
        </w:rPr>
        <w:t>伴随全球集成电路产业布局的迁移与调整，中国集成电路在进入欣欣向荣的发展阶段的同 时，更加面临者独立产业链、创新技术发展能力和高质量全面支撑工业化各个领域的压力。虽 然国家对集成电路行业支持力度持续加大，以及行业人才的持续培养、新兴技术的不断涌现， 中国集成电路产业链条完整性成为面临挑战和压力的基础。行业整体实力虽然显著提升，但核 心技术短板明显；集成电路设计、制造能力与国际先进水平差距不断缩小，但是依赖全球供应 链的风险也显著呈现；封装测试技术逐步接近国际先进水平，但产能需求与扩展速度不能匹配。 由于我国集成电路产业起步较晚，产业发展水平与先进国家（地区）相比依然存在较大差距， 集成电路产品仍然大量依赖进口，这恰恰给中国集成电路企业前所未有的巨大的发展空间。</w:t>
      </w:r>
    </w:p>
    <w:p>
      <w:pPr>
        <w:pStyle w:val="Style44"/>
        <w:keepNext w:val="0"/>
        <w:keepLines w:val="0"/>
        <w:widowControl w:val="0"/>
        <w:shd w:val="clear" w:color="auto" w:fill="auto"/>
        <w:bidi w:val="0"/>
        <w:spacing w:before="0" w:after="160" w:line="468" w:lineRule="exact"/>
        <w:ind w:left="740" w:right="760" w:firstLine="0"/>
        <w:jc w:val="right"/>
      </w:pPr>
      <w:r>
        <w:rPr>
          <w:color w:val="000000"/>
          <w:spacing w:val="0"/>
          <w:w w:val="100"/>
          <w:position w:val="0"/>
        </w:rPr>
        <w:t>新形势下，我国集成电路产业发展既面临巨大的挑战，也迎来难得的历史机遇。一方面， 全球市场格局加快调整，中国投资规模攀升，中国市场份额向优势企业集中。另一方面，移动</w:t>
      </w:r>
    </w:p>
    <w:p>
      <w:pPr>
        <w:pStyle w:val="Style28"/>
        <w:keepNext w:val="0"/>
        <w:keepLines w:val="0"/>
        <w:widowControl w:val="0"/>
        <w:shd w:val="clear" w:color="auto" w:fill="auto"/>
        <w:bidi w:val="0"/>
        <w:spacing w:before="0" w:after="160" w:line="240" w:lineRule="auto"/>
        <w:ind w:left="0" w:right="0" w:firstLine="0"/>
        <w:jc w:val="center"/>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1268" w:right="347" w:bottom="1268" w:left="489" w:header="0" w:footer="840" w:gutter="0"/>
          <w:pgNumType w:start="48"/>
          <w:cols w:space="720"/>
          <w:noEndnote/>
          <w:rtlGutter w:val="0"/>
          <w:docGrid w:linePitch="360"/>
        </w:sectPr>
      </w:pPr>
      <w:r>
        <w:rPr>
          <w:color w:val="000000"/>
          <w:spacing w:val="0"/>
          <w:w w:val="100"/>
          <w:position w:val="0"/>
        </w:rPr>
        <w:t>47</w:t>
      </w:r>
    </w:p>
    <w:p>
      <w:pPr>
        <w:pStyle w:val="Style44"/>
        <w:keepNext w:val="0"/>
        <w:keepLines w:val="0"/>
        <w:widowControl w:val="0"/>
        <w:shd w:val="clear" w:color="auto" w:fill="auto"/>
        <w:bidi w:val="0"/>
        <w:spacing w:before="0" w:after="0" w:line="470" w:lineRule="exact"/>
        <w:ind w:left="780" w:right="720" w:firstLine="0"/>
        <w:jc w:val="both"/>
      </w:pPr>
      <w:r>
        <w:rPr>
          <w:color w:val="000000"/>
          <w:spacing w:val="0"/>
          <w:w w:val="100"/>
          <w:position w:val="0"/>
        </w:rPr>
        <w:t>智能终端及其应用的芯片呈爆发式增长，在</w:t>
      </w:r>
      <w:r>
        <w:rPr>
          <w:rFonts w:ascii="Times New Roman" w:eastAsia="Times New Roman" w:hAnsi="Times New Roman" w:cs="Times New Roman"/>
          <w:color w:val="000000"/>
          <w:spacing w:val="0"/>
          <w:w w:val="100"/>
          <w:position w:val="0"/>
        </w:rPr>
        <w:t>5G</w:t>
      </w:r>
      <w:r>
        <w:rPr>
          <w:color w:val="000000"/>
          <w:spacing w:val="0"/>
          <w:w w:val="100"/>
          <w:position w:val="0"/>
        </w:rPr>
        <w:t>通讯、云计算、物联网、车联网、大数据等新业 态快速发展和升级，集成电路技术演进每</w:t>
      </w:r>
      <w:r>
        <w:rPr>
          <w:rFonts w:ascii="Times New Roman" w:eastAsia="Times New Roman" w:hAnsi="Times New Roman" w:cs="Times New Roman"/>
          <w:color w:val="000000"/>
          <w:spacing w:val="0"/>
          <w:w w:val="100"/>
          <w:position w:val="0"/>
        </w:rPr>
        <w:t>18</w:t>
      </w:r>
      <w:r>
        <w:rPr>
          <w:color w:val="000000"/>
          <w:spacing w:val="0"/>
          <w:w w:val="100"/>
          <w:position w:val="0"/>
        </w:rPr>
        <w:t>个月就出现新的趋势，致使行业内的全体企业，要 仅仅跟进市场、技术和产品的不断演化，以适应其快速的发展步伐；我国拥有全球规模最大的 集成电路市场，市场需求将继续保持快速增长，但是未来更加要求行业注重高规格产品市场的 拓展、高质量产品的研发和交付。根据《国家集成电路产业发展推进纲要》总体要求和发展目 标，集成电路产业将与国际先进生产水平的差距逐步缩小，研发技术保持与世界的同步发展节 奏，研发工具开发和核心</w:t>
      </w:r>
      <w:r>
        <w:rPr>
          <w:rFonts w:ascii="Times New Roman" w:eastAsia="Times New Roman" w:hAnsi="Times New Roman" w:cs="Times New Roman"/>
          <w:color w:val="000000"/>
          <w:spacing w:val="0"/>
          <w:w w:val="100"/>
          <w:position w:val="0"/>
        </w:rPr>
        <w:t>IP</w:t>
      </w:r>
      <w:r>
        <w:rPr>
          <w:color w:val="000000"/>
          <w:spacing w:val="0"/>
          <w:w w:val="100"/>
          <w:position w:val="0"/>
        </w:rPr>
        <w:t>开发仍然处于追赶状态。民用和商用移动智能终端、网络通信、云 计算、物联网、大数据等重点领域集成电路设计技术，可以满足国内外的市场产品开发需求。 工业和汽车规格的车联网、车载电子、工业电子、工业物联网和工业级高性能计算芯片产品， 远远未能达到国际领先水平，工业芯片产品的研发与生产产业生态体系，还仅仅是初步形成， 未来十年支撑工业各个行业的集成电路产品，需要大量的投入进行研发。</w:t>
      </w:r>
    </w:p>
    <w:p>
      <w:pPr>
        <w:pStyle w:val="Style44"/>
        <w:keepNext w:val="0"/>
        <w:keepLines w:val="0"/>
        <w:widowControl w:val="0"/>
        <w:shd w:val="clear" w:color="auto" w:fill="auto"/>
        <w:bidi w:val="0"/>
        <w:spacing w:before="0" w:after="0" w:line="470" w:lineRule="exact"/>
        <w:ind w:left="780" w:right="720" w:firstLine="460"/>
        <w:jc w:val="both"/>
      </w:pPr>
      <w:r>
        <w:rPr>
          <w:color w:val="000000"/>
          <w:spacing w:val="0"/>
          <w:w w:val="100"/>
          <w:position w:val="0"/>
        </w:rPr>
        <w:t>在信息安全领域，互联网的发展，带动了信息产业的发展，同时也带来了日益严重的信息 安全问题，身份认证作为信息安全防护的第一关，承担了至关重要的作用。目前身份识别安全 认证技术可以根据信息保密要求的不同，对不同的用户通过访问控制设置不同的权限，并采用 多种身份认证方式相结合的方法，与简单的用户名</w:t>
      </w:r>
      <w:r>
        <w:rPr>
          <w:rFonts w:ascii="Times New Roman" w:eastAsia="Times New Roman" w:hAnsi="Times New Roman" w:cs="Times New Roman"/>
          <w:color w:val="000000"/>
          <w:spacing w:val="0"/>
          <w:w w:val="100"/>
          <w:position w:val="0"/>
        </w:rPr>
        <w:t>/</w:t>
      </w:r>
      <w:r>
        <w:rPr>
          <w:color w:val="000000"/>
          <w:spacing w:val="0"/>
          <w:w w:val="100"/>
          <w:position w:val="0"/>
        </w:rPr>
        <w:t>密码的认证方式相比，安全风险得以降低。 身份认证产品已被应用于网上银行、证券、工商税务、电子政务、电子商务以及其他领域。未 来的身份认证技术仍然拥有巨大的发展空间。数字货币与电子支付技术，将撬动整体国际经贸 格局，以安全技术为核心的芯片产业，将在这个新格局下，大有作为。</w:t>
      </w:r>
    </w:p>
    <w:p>
      <w:pPr>
        <w:pStyle w:val="Style44"/>
        <w:keepNext w:val="0"/>
        <w:keepLines w:val="0"/>
        <w:widowControl w:val="0"/>
        <w:shd w:val="clear" w:color="auto" w:fill="auto"/>
        <w:bidi w:val="0"/>
        <w:spacing w:before="0" w:after="0" w:line="470" w:lineRule="exact"/>
        <w:ind w:left="780" w:right="720" w:firstLine="460"/>
        <w:jc w:val="both"/>
      </w:pPr>
      <w:r>
        <w:rPr>
          <w:color w:val="000000"/>
          <w:spacing w:val="0"/>
          <w:w w:val="100"/>
          <w:position w:val="0"/>
        </w:rPr>
        <w:t>在中低性能通用</w:t>
      </w:r>
      <w:r>
        <w:rPr>
          <w:rFonts w:ascii="Times New Roman" w:eastAsia="Times New Roman" w:hAnsi="Times New Roman" w:cs="Times New Roman"/>
          <w:color w:val="000000"/>
          <w:spacing w:val="0"/>
          <w:w w:val="100"/>
          <w:position w:val="0"/>
        </w:rPr>
        <w:t>MCU</w:t>
      </w:r>
      <w:r>
        <w:rPr>
          <w:color w:val="000000"/>
          <w:spacing w:val="0"/>
          <w:w w:val="100"/>
          <w:position w:val="0"/>
        </w:rPr>
        <w:t>领域，目前外国</w:t>
      </w:r>
      <w:r>
        <w:rPr>
          <w:rFonts w:ascii="Times New Roman" w:eastAsia="Times New Roman" w:hAnsi="Times New Roman" w:cs="Times New Roman"/>
          <w:color w:val="000000"/>
          <w:spacing w:val="0"/>
          <w:w w:val="100"/>
          <w:position w:val="0"/>
        </w:rPr>
        <w:t>MCU</w:t>
      </w:r>
      <w:r>
        <w:rPr>
          <w:color w:val="000000"/>
          <w:spacing w:val="0"/>
          <w:w w:val="100"/>
          <w:position w:val="0"/>
        </w:rPr>
        <w:t>厂商仍占据全球主要市场份额，头部集中效应显 著。我国通用</w:t>
      </w:r>
      <w:r>
        <w:rPr>
          <w:rFonts w:ascii="Times New Roman" w:eastAsia="Times New Roman" w:hAnsi="Times New Roman" w:cs="Times New Roman"/>
          <w:color w:val="000000"/>
          <w:spacing w:val="0"/>
          <w:w w:val="100"/>
          <w:position w:val="0"/>
        </w:rPr>
        <w:t>MCU</w:t>
      </w:r>
      <w:r>
        <w:rPr>
          <w:color w:val="000000"/>
          <w:spacing w:val="0"/>
          <w:w w:val="100"/>
          <w:position w:val="0"/>
        </w:rPr>
        <w:t>市场需求增长迅速，但由于国内企业产业化起步较晚，通用</w:t>
      </w:r>
      <w:r>
        <w:rPr>
          <w:rFonts w:ascii="Times New Roman" w:eastAsia="Times New Roman" w:hAnsi="Times New Roman" w:cs="Times New Roman"/>
          <w:color w:val="000000"/>
          <w:spacing w:val="0"/>
          <w:w w:val="100"/>
          <w:position w:val="0"/>
        </w:rPr>
        <w:t>MCU</w:t>
      </w:r>
      <w:r>
        <w:rPr>
          <w:color w:val="000000"/>
          <w:spacing w:val="0"/>
          <w:w w:val="100"/>
          <w:position w:val="0"/>
        </w:rPr>
        <w:t xml:space="preserve">产品绝大部 分依赖进口，市场主要由欧洲、日本及美国企业占领。目前国内厂商在消费电子、智能仪表等 </w:t>
      </w:r>
      <w:r>
        <w:rPr>
          <w:rFonts w:ascii="Times New Roman" w:eastAsia="Times New Roman" w:hAnsi="Times New Roman" w:cs="Times New Roman"/>
          <w:color w:val="000000"/>
          <w:spacing w:val="0"/>
          <w:w w:val="100"/>
          <w:position w:val="0"/>
        </w:rPr>
        <w:t>MCU</w:t>
      </w:r>
      <w:r>
        <w:rPr>
          <w:color w:val="000000"/>
          <w:spacing w:val="0"/>
          <w:w w:val="100"/>
          <w:position w:val="0"/>
        </w:rPr>
        <w:t>的中低端应用领域发展迅速，但在很多市场空间较大的领域，比如工业控制、汽车电子、 物联网都被国外</w:t>
      </w:r>
      <w:r>
        <w:rPr>
          <w:rFonts w:ascii="Times New Roman" w:eastAsia="Times New Roman" w:hAnsi="Times New Roman" w:cs="Times New Roman"/>
          <w:color w:val="000000"/>
          <w:spacing w:val="0"/>
          <w:w w:val="100"/>
          <w:position w:val="0"/>
        </w:rPr>
        <w:t>MCU</w:t>
      </w:r>
      <w:r>
        <w:rPr>
          <w:color w:val="000000"/>
          <w:spacing w:val="0"/>
          <w:w w:val="100"/>
          <w:position w:val="0"/>
        </w:rPr>
        <w:t>厂商垄断，国内</w:t>
      </w:r>
      <w:r>
        <w:rPr>
          <w:rFonts w:ascii="Times New Roman" w:eastAsia="Times New Roman" w:hAnsi="Times New Roman" w:cs="Times New Roman"/>
          <w:color w:val="000000"/>
          <w:spacing w:val="0"/>
          <w:w w:val="100"/>
          <w:position w:val="0"/>
        </w:rPr>
        <w:t>MCU</w:t>
      </w:r>
      <w:r>
        <w:rPr>
          <w:color w:val="000000"/>
          <w:spacing w:val="0"/>
          <w:w w:val="100"/>
          <w:position w:val="0"/>
        </w:rPr>
        <w:t>厂商通过努力可争取的市场空间还很巨大。产品更新 换代和新兴应用快速发展将推动</w:t>
      </w:r>
      <w:r>
        <w:rPr>
          <w:rFonts w:ascii="Times New Roman" w:eastAsia="Times New Roman" w:hAnsi="Times New Roman" w:cs="Times New Roman"/>
          <w:color w:val="000000"/>
          <w:spacing w:val="0"/>
          <w:w w:val="100"/>
          <w:position w:val="0"/>
        </w:rPr>
        <w:t>32</w:t>
      </w:r>
      <w:r>
        <w:rPr>
          <w:color w:val="000000"/>
          <w:spacing w:val="0"/>
          <w:w w:val="100"/>
          <w:position w:val="0"/>
        </w:rPr>
        <w:t>位</w:t>
      </w:r>
      <w:r>
        <w:rPr>
          <w:rFonts w:ascii="Times New Roman" w:eastAsia="Times New Roman" w:hAnsi="Times New Roman" w:cs="Times New Roman"/>
          <w:color w:val="000000"/>
          <w:spacing w:val="0"/>
          <w:w w:val="100"/>
          <w:position w:val="0"/>
        </w:rPr>
        <w:t>MCU</w:t>
      </w:r>
      <w:r>
        <w:rPr>
          <w:color w:val="000000"/>
          <w:spacing w:val="0"/>
          <w:w w:val="100"/>
          <w:position w:val="0"/>
        </w:rPr>
        <w:t>成为市场主流，基于</w:t>
      </w:r>
      <w:r>
        <w:rPr>
          <w:rFonts w:ascii="Times New Roman" w:eastAsia="Times New Roman" w:hAnsi="Times New Roman" w:cs="Times New Roman"/>
          <w:color w:val="000000"/>
          <w:spacing w:val="0"/>
          <w:w w:val="100"/>
          <w:position w:val="0"/>
        </w:rPr>
        <w:t>ARM</w:t>
      </w:r>
      <w:r>
        <w:rPr>
          <w:color w:val="000000"/>
          <w:spacing w:val="0"/>
          <w:w w:val="100"/>
          <w:position w:val="0"/>
        </w:rPr>
        <w:t>内核的</w:t>
      </w:r>
      <w:r>
        <w:rPr>
          <w:rFonts w:ascii="Times New Roman" w:eastAsia="Times New Roman" w:hAnsi="Times New Roman" w:cs="Times New Roman"/>
          <w:color w:val="000000"/>
          <w:spacing w:val="0"/>
          <w:w w:val="100"/>
          <w:position w:val="0"/>
        </w:rPr>
        <w:t>32</w:t>
      </w:r>
      <w:r>
        <w:rPr>
          <w:color w:val="000000"/>
          <w:spacing w:val="0"/>
          <w:w w:val="100"/>
          <w:position w:val="0"/>
        </w:rPr>
        <w:t>位</w:t>
      </w:r>
      <w:r>
        <w:rPr>
          <w:rFonts w:ascii="Times New Roman" w:eastAsia="Times New Roman" w:hAnsi="Times New Roman" w:cs="Times New Roman"/>
          <w:color w:val="000000"/>
          <w:spacing w:val="0"/>
          <w:w w:val="100"/>
          <w:position w:val="0"/>
        </w:rPr>
        <w:t>MCU</w:t>
      </w:r>
      <w:r>
        <w:rPr>
          <w:color w:val="000000"/>
          <w:spacing w:val="0"/>
          <w:w w:val="100"/>
          <w:position w:val="0"/>
        </w:rPr>
        <w:t>,</w:t>
      </w:r>
      <w:r>
        <w:rPr>
          <w:color w:val="000000"/>
          <w:spacing w:val="0"/>
          <w:w w:val="100"/>
          <w:position w:val="0"/>
        </w:rPr>
        <w:t>由于其 良好的生态和极佳的可拓展性，逐渐成为全球消费电子和工业电子产品的核心。</w:t>
      </w:r>
    </w:p>
    <w:p>
      <w:pPr>
        <w:pStyle w:val="Style44"/>
        <w:keepNext w:val="0"/>
        <w:keepLines w:val="0"/>
        <w:widowControl w:val="0"/>
        <w:shd w:val="clear" w:color="auto" w:fill="auto"/>
        <w:bidi w:val="0"/>
        <w:spacing w:before="0" w:after="200" w:line="470" w:lineRule="exact"/>
        <w:ind w:left="780" w:right="0" w:firstLine="460"/>
        <w:jc w:val="both"/>
      </w:pPr>
      <w:r>
        <w:rPr>
          <w:color w:val="000000"/>
          <w:spacing w:val="0"/>
          <w:w w:val="100"/>
          <w:position w:val="0"/>
        </w:rPr>
        <w:t>在中高性能通用计算，特别是高性能计算</w:t>
      </w:r>
      <w:r>
        <w:rPr>
          <w:rFonts w:ascii="Times New Roman" w:eastAsia="Times New Roman" w:hAnsi="Times New Roman" w:cs="Times New Roman"/>
          <w:color w:val="000000"/>
          <w:spacing w:val="0"/>
          <w:w w:val="100"/>
          <w:position w:val="0"/>
        </w:rPr>
        <w:t>MCU</w:t>
      </w:r>
      <w:r>
        <w:rPr>
          <w:color w:val="000000"/>
          <w:spacing w:val="0"/>
          <w:w w:val="100"/>
          <w:position w:val="0"/>
        </w:rPr>
        <w:t>领域，新的产业应用市场、新的产业服务与 产业链格局，在围绕着工业智能化、新能源汽车自动驾驶和云端大数据人工智能分析的牵引 下，成为未来</w:t>
      </w:r>
      <w:r>
        <w:rPr>
          <w:rFonts w:ascii="Times New Roman" w:eastAsia="Times New Roman" w:hAnsi="Times New Roman" w:cs="Times New Roman"/>
          <w:color w:val="000000"/>
          <w:spacing w:val="0"/>
          <w:w w:val="100"/>
          <w:position w:val="0"/>
        </w:rPr>
        <w:t>10</w:t>
      </w:r>
      <w:r>
        <w:rPr>
          <w:color w:val="000000"/>
          <w:spacing w:val="0"/>
          <w:w w:val="100"/>
          <w:position w:val="0"/>
        </w:rPr>
        <w:t>年激烈角逐的战场，能否掌控高性能、高可靠、高安全集成电路通用产品面世， 成为集成电路行业各个企业发展的重要指南之一。</w:t>
      </w:r>
    </w:p>
    <w:p>
      <w:pPr>
        <w:pStyle w:val="Style44"/>
        <w:keepNext w:val="0"/>
        <w:keepLines w:val="0"/>
        <w:widowControl w:val="0"/>
        <w:shd w:val="clear" w:color="auto" w:fill="auto"/>
        <w:bidi w:val="0"/>
        <w:spacing w:before="0" w:after="100" w:line="240" w:lineRule="auto"/>
        <w:ind w:left="1360" w:right="0" w:firstLine="0"/>
        <w:jc w:val="both"/>
      </w:pPr>
      <w:bookmarkStart w:id="256" w:name="bookmark256"/>
      <w:r>
        <w:rPr>
          <w:b/>
          <w:bCs/>
          <w:color w:val="000000"/>
          <w:spacing w:val="0"/>
          <w:w w:val="100"/>
          <w:position w:val="0"/>
        </w:rPr>
        <w:t>（</w:t>
      </w:r>
      <w:bookmarkEnd w:id="256"/>
      <w:r>
        <w:rPr>
          <w:rFonts w:ascii="Times New Roman" w:eastAsia="Times New Roman" w:hAnsi="Times New Roman" w:cs="Times New Roman"/>
          <w:b/>
          <w:bCs/>
          <w:color w:val="000000"/>
          <w:spacing w:val="0"/>
          <w:w w:val="100"/>
          <w:position w:val="0"/>
        </w:rPr>
        <w:t>2</w:t>
      </w:r>
      <w:r>
        <w:rPr>
          <w:b/>
          <w:bCs/>
          <w:color w:val="000000"/>
          <w:spacing w:val="0"/>
          <w:w w:val="100"/>
          <w:position w:val="0"/>
        </w:rPr>
        <w:t>）新能源负极材料领域</w:t>
      </w:r>
    </w:p>
    <w:p>
      <w:pPr>
        <w:pStyle w:val="Style44"/>
        <w:keepNext w:val="0"/>
        <w:keepLines w:val="0"/>
        <w:widowControl w:val="0"/>
        <w:shd w:val="clear" w:color="auto" w:fill="auto"/>
        <w:bidi w:val="0"/>
        <w:spacing w:before="0" w:after="0" w:line="469" w:lineRule="exact"/>
        <w:ind w:left="78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年中国负极材料出货</w:t>
      </w:r>
      <w:r>
        <w:rPr>
          <w:rFonts w:ascii="Times New Roman" w:eastAsia="Times New Roman" w:hAnsi="Times New Roman" w:cs="Times New Roman"/>
          <w:color w:val="000000"/>
          <w:spacing w:val="0"/>
          <w:w w:val="100"/>
          <w:position w:val="0"/>
        </w:rPr>
        <w:t>36.5</w:t>
      </w:r>
      <w:r>
        <w:rPr>
          <w:color w:val="000000"/>
          <w:spacing w:val="0"/>
          <w:w w:val="100"/>
          <w:position w:val="0"/>
        </w:rPr>
        <w:t>万吨，同比增长</w:t>
      </w:r>
      <w:r>
        <w:rPr>
          <w:rFonts w:ascii="Times New Roman" w:eastAsia="Times New Roman" w:hAnsi="Times New Roman" w:cs="Times New Roman"/>
          <w:color w:val="000000"/>
          <w:spacing w:val="0"/>
          <w:w w:val="100"/>
          <w:position w:val="0"/>
        </w:rPr>
        <w:t>35%</w:t>
      </w:r>
      <w:r>
        <w:rPr>
          <w:color w:val="000000"/>
          <w:spacing w:val="0"/>
          <w:w w:val="100"/>
          <w:position w:val="0"/>
        </w:rPr>
        <w:t>,其中人造石墨产品占比持续提升，市场 占比达到</w:t>
      </w:r>
      <w:r>
        <w:rPr>
          <w:rFonts w:ascii="Times New Roman" w:eastAsia="Times New Roman" w:hAnsi="Times New Roman" w:cs="Times New Roman"/>
          <w:color w:val="000000"/>
          <w:spacing w:val="0"/>
          <w:w w:val="100"/>
          <w:position w:val="0"/>
        </w:rPr>
        <w:t>84%</w:t>
      </w:r>
      <w:r>
        <w:rPr>
          <w:color w:val="000000"/>
          <w:spacing w:val="0"/>
          <w:w w:val="100"/>
          <w:position w:val="0"/>
        </w:rPr>
        <w:t>。快充型、倍率型电池仍将是市场发展重要方向。</w:t>
      </w:r>
      <w:r>
        <w:rPr>
          <w:rFonts w:ascii="Times New Roman" w:eastAsia="Times New Roman" w:hAnsi="Times New Roman" w:cs="Times New Roman"/>
          <w:color w:val="000000"/>
          <w:spacing w:val="0"/>
          <w:w w:val="100"/>
          <w:position w:val="0"/>
        </w:rPr>
        <w:t>GGII</w:t>
      </w:r>
      <w:r>
        <w:rPr>
          <w:color w:val="000000"/>
          <w:spacing w:val="0"/>
          <w:w w:val="100"/>
          <w:position w:val="0"/>
        </w:rPr>
        <w:t>数据显示，</w:t>
      </w:r>
      <w:r>
        <w:rPr>
          <w:rFonts w:ascii="Times New Roman" w:eastAsia="Times New Roman" w:hAnsi="Times New Roman" w:cs="Times New Roman"/>
          <w:color w:val="000000"/>
          <w:spacing w:val="0"/>
          <w:w w:val="100"/>
          <w:position w:val="0"/>
        </w:rPr>
        <w:t>2020</w:t>
      </w:r>
      <w:r>
        <w:rPr>
          <w:color w:val="000000"/>
          <w:spacing w:val="0"/>
          <w:w w:val="100"/>
          <w:position w:val="0"/>
        </w:rPr>
        <w:t>年全球负 极材料已有产能为</w:t>
      </w:r>
      <w:r>
        <w:rPr>
          <w:rFonts w:ascii="Times New Roman" w:eastAsia="Times New Roman" w:hAnsi="Times New Roman" w:cs="Times New Roman"/>
          <w:color w:val="000000"/>
          <w:spacing w:val="0"/>
          <w:w w:val="100"/>
          <w:position w:val="0"/>
        </w:rPr>
        <w:t>80</w:t>
      </w:r>
      <w:r>
        <w:rPr>
          <w:color w:val="000000"/>
          <w:spacing w:val="0"/>
          <w:w w:val="100"/>
          <w:position w:val="0"/>
        </w:rPr>
        <w:t>万吨，预计</w:t>
      </w:r>
      <w:r>
        <w:rPr>
          <w:rFonts w:ascii="Times New Roman" w:eastAsia="Times New Roman" w:hAnsi="Times New Roman" w:cs="Times New Roman"/>
          <w:color w:val="000000"/>
          <w:spacing w:val="0"/>
          <w:w w:val="100"/>
          <w:position w:val="0"/>
        </w:rPr>
        <w:t>2025</w:t>
      </w:r>
      <w:r>
        <w:rPr>
          <w:color w:val="000000"/>
          <w:spacing w:val="0"/>
          <w:w w:val="100"/>
          <w:position w:val="0"/>
        </w:rPr>
        <w:t>年需求将增至</w:t>
      </w:r>
      <w:r>
        <w:rPr>
          <w:rFonts w:ascii="Times New Roman" w:eastAsia="Times New Roman" w:hAnsi="Times New Roman" w:cs="Times New Roman"/>
          <w:color w:val="000000"/>
          <w:spacing w:val="0"/>
          <w:w w:val="100"/>
          <w:position w:val="0"/>
        </w:rPr>
        <w:t>138</w:t>
      </w:r>
      <w:r>
        <w:rPr>
          <w:color w:val="000000"/>
          <w:spacing w:val="0"/>
          <w:w w:val="100"/>
          <w:position w:val="0"/>
        </w:rPr>
        <w:t>万吨。这意味着未来</w:t>
      </w:r>
      <w:r>
        <w:rPr>
          <w:rFonts w:ascii="Times New Roman" w:eastAsia="Times New Roman" w:hAnsi="Times New Roman" w:cs="Times New Roman"/>
          <w:color w:val="000000"/>
          <w:spacing w:val="0"/>
          <w:w w:val="100"/>
          <w:position w:val="0"/>
        </w:rPr>
        <w:t>5</w:t>
      </w:r>
      <w:r>
        <w:rPr>
          <w:color w:val="000000"/>
          <w:spacing w:val="0"/>
          <w:w w:val="100"/>
          <w:position w:val="0"/>
        </w:rPr>
        <w:t>年里，负极领域的 产能缺口近</w:t>
      </w:r>
      <w:r>
        <w:rPr>
          <w:rFonts w:ascii="Times New Roman" w:eastAsia="Times New Roman" w:hAnsi="Times New Roman" w:cs="Times New Roman"/>
          <w:color w:val="000000"/>
          <w:spacing w:val="0"/>
          <w:w w:val="100"/>
          <w:position w:val="0"/>
        </w:rPr>
        <w:t>60</w:t>
      </w:r>
      <w:r>
        <w:rPr>
          <w:color w:val="000000"/>
          <w:spacing w:val="0"/>
          <w:w w:val="100"/>
          <w:position w:val="0"/>
        </w:rPr>
        <w:t>万吨。未来几年锂电池负极材料市场仍将维持快速增长，主要来源以下三方面： 一是受新能源汽车终端带动，国外终端市场逐渐释放需求，为国内动力电池企业、关键材料企 业提供了全球竞争机遇；二是海外市场新建基站进展加速，新建的普通基站及</w:t>
      </w:r>
      <w:r>
        <w:rPr>
          <w:rFonts w:ascii="Times New Roman" w:eastAsia="Times New Roman" w:hAnsi="Times New Roman" w:cs="Times New Roman"/>
          <w:color w:val="000000"/>
          <w:spacing w:val="0"/>
          <w:w w:val="100"/>
          <w:position w:val="0"/>
        </w:rPr>
        <w:t>5G</w:t>
      </w:r>
      <w:r>
        <w:rPr>
          <w:color w:val="000000"/>
          <w:spacing w:val="0"/>
          <w:w w:val="100"/>
          <w:position w:val="0"/>
        </w:rPr>
        <w:t>通信基站锂电 池将迎来很大的增量空间；三是</w:t>
      </w:r>
      <w:r>
        <w:rPr>
          <w:rFonts w:ascii="Times New Roman" w:eastAsia="Times New Roman" w:hAnsi="Times New Roman" w:cs="Times New Roman"/>
          <w:color w:val="000000"/>
          <w:spacing w:val="0"/>
          <w:w w:val="100"/>
          <w:position w:val="0"/>
        </w:rPr>
        <w:t>2020</w:t>
      </w:r>
      <w:r>
        <w:rPr>
          <w:color w:val="000000"/>
          <w:spacing w:val="0"/>
          <w:w w:val="100"/>
          <w:position w:val="0"/>
        </w:rPr>
        <w:t>年受肺炎疫情及“两新一重”建设持续推进等利好驱动影 响，未来五年电动工程机械需求将迅速起量，锂电池市场前景巨大。</w:t>
      </w:r>
    </w:p>
    <w:p>
      <w:pPr>
        <w:pStyle w:val="Style44"/>
        <w:keepNext w:val="0"/>
        <w:keepLines w:val="0"/>
        <w:widowControl w:val="0"/>
        <w:shd w:val="clear" w:color="auto" w:fill="auto"/>
        <w:bidi w:val="0"/>
        <w:spacing w:before="0" w:after="300" w:line="469" w:lineRule="exact"/>
        <w:ind w:left="780" w:right="0" w:firstLine="460"/>
        <w:jc w:val="both"/>
      </w:pPr>
      <w:r>
        <w:rPr>
          <w:color w:val="000000"/>
          <w:spacing w:val="0"/>
          <w:w w:val="100"/>
          <w:position w:val="0"/>
        </w:rPr>
        <w:t>不可忽视的是，负极材料市场竞争将进一步加剧，低端重复产能将被淘汰，拥有核心技术 和优势客户渠道的企业才能获得长足的发展，市场集中度将进一步提升，这对二三线负极材料 企业而言，经营压力加大。另一方面，预计负极材料市场随着石墨化产能释放以及规模化效应 显现，石墨化加工价格下降，人造石墨材料价格下降。</w:t>
      </w:r>
    </w:p>
    <w:p>
      <w:pPr>
        <w:pStyle w:val="Style52"/>
        <w:keepNext/>
        <w:keepLines/>
        <w:widowControl w:val="0"/>
        <w:shd w:val="clear" w:color="auto" w:fill="auto"/>
        <w:bidi w:val="0"/>
        <w:spacing w:before="0" w:after="0" w:line="463" w:lineRule="exact"/>
        <w:ind w:left="0" w:right="0" w:firstLine="780"/>
        <w:jc w:val="both"/>
      </w:pPr>
      <w:bookmarkStart w:id="257" w:name="bookmark257"/>
      <w:bookmarkStart w:id="258" w:name="bookmark258"/>
      <w:bookmarkStart w:id="259" w:name="bookmark259"/>
      <w:bookmarkStart w:id="260" w:name="bookmark260"/>
      <w:r>
        <w:rPr>
          <w:rFonts w:ascii="Times New Roman" w:eastAsia="Times New Roman" w:hAnsi="Times New Roman" w:cs="Times New Roman"/>
          <w:color w:val="000000"/>
          <w:spacing w:val="0"/>
          <w:w w:val="100"/>
          <w:position w:val="0"/>
        </w:rPr>
        <w:t>2</w:t>
      </w:r>
      <w:bookmarkEnd w:id="259"/>
      <w:r>
        <w:rPr>
          <w:color w:val="000000"/>
          <w:spacing w:val="0"/>
          <w:w w:val="100"/>
          <w:position w:val="0"/>
        </w:rPr>
        <w:t>、未来发展战略和经营计划</w:t>
      </w:r>
      <w:bookmarkEnd w:id="257"/>
      <w:bookmarkEnd w:id="258"/>
      <w:bookmarkEnd w:id="260"/>
    </w:p>
    <w:p>
      <w:pPr>
        <w:pStyle w:val="Style44"/>
        <w:keepNext w:val="0"/>
        <w:keepLines w:val="0"/>
        <w:widowControl w:val="0"/>
        <w:shd w:val="clear" w:color="auto" w:fill="auto"/>
        <w:bidi w:val="0"/>
        <w:spacing w:before="0" w:after="60" w:line="463" w:lineRule="exact"/>
        <w:ind w:left="780" w:right="0" w:firstLine="4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年，公司将继续按照“夯实核心技术、把准市场方向、研制具有竞争力的产品、贴近 客户服务”的经营方针，专注主营业务，以专业态度及专业能力服务客户和市场，强化制度管 理，降本增效，以公司整体利益为核心，在高可靠性安全芯片市场上保持已有的技术和市场优 势，在高性能通用</w:t>
      </w:r>
      <w:r>
        <w:rPr>
          <w:rFonts w:ascii="Times New Roman" w:eastAsia="Times New Roman" w:hAnsi="Times New Roman" w:cs="Times New Roman"/>
          <w:color w:val="000000"/>
          <w:spacing w:val="0"/>
          <w:w w:val="100"/>
          <w:position w:val="0"/>
        </w:rPr>
        <w:t>MCU</w:t>
      </w:r>
      <w:r>
        <w:rPr>
          <w:color w:val="000000"/>
          <w:spacing w:val="0"/>
          <w:w w:val="100"/>
          <w:position w:val="0"/>
        </w:rPr>
        <w:t>市场努力拓展成为行业领先者，在先进技术领域的投资项目上力争获取 产业和资本双重收益，从而使得公司股东获得高价值回报。</w:t>
      </w:r>
    </w:p>
    <w:p>
      <w:pPr>
        <w:pStyle w:val="Style44"/>
        <w:keepNext w:val="0"/>
        <w:keepLines w:val="0"/>
        <w:widowControl w:val="0"/>
        <w:shd w:val="clear" w:color="auto" w:fill="auto"/>
        <w:tabs>
          <w:tab w:pos="1701" w:val="left"/>
        </w:tabs>
        <w:bidi w:val="0"/>
        <w:spacing w:before="0" w:after="0" w:line="468" w:lineRule="exact"/>
        <w:ind w:left="1240" w:right="0" w:firstLine="0"/>
        <w:jc w:val="both"/>
      </w:pPr>
      <w:bookmarkStart w:id="261" w:name="bookmark261"/>
      <w:r>
        <w:rPr>
          <w:b/>
          <w:bCs/>
          <w:color w:val="000000"/>
          <w:spacing w:val="0"/>
          <w:w w:val="100"/>
          <w:position w:val="0"/>
        </w:rPr>
        <w:t>（</w:t>
      </w:r>
      <w:bookmarkEnd w:id="26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聚焦“安全</w:t>
      </w:r>
      <w:r>
        <w:rPr>
          <w:rFonts w:ascii="Times New Roman" w:eastAsia="Times New Roman" w:hAnsi="Times New Roman" w:cs="Times New Roman"/>
          <w:b/>
          <w:bCs/>
          <w:color w:val="000000"/>
          <w:spacing w:val="0"/>
          <w:w w:val="100"/>
          <w:position w:val="0"/>
        </w:rPr>
        <w:t>+</w:t>
      </w:r>
      <w:r>
        <w:rPr>
          <w:b/>
          <w:bCs/>
          <w:color w:val="000000"/>
          <w:spacing w:val="0"/>
          <w:w w:val="100"/>
          <w:position w:val="0"/>
        </w:rPr>
        <w:t>通用”战略，保持和提升产品及业务核心竞争力</w:t>
      </w:r>
    </w:p>
    <w:p>
      <w:pPr>
        <w:pStyle w:val="Style44"/>
        <w:keepNext w:val="0"/>
        <w:keepLines w:val="0"/>
        <w:widowControl w:val="0"/>
        <w:shd w:val="clear" w:color="auto" w:fill="auto"/>
        <w:bidi w:val="0"/>
        <w:spacing w:before="0" w:after="0" w:line="468" w:lineRule="exact"/>
        <w:ind w:left="780" w:right="0" w:firstLine="460"/>
        <w:jc w:val="both"/>
      </w:pPr>
      <w:r>
        <w:rPr>
          <w:color w:val="000000"/>
          <w:spacing w:val="0"/>
          <w:w w:val="100"/>
          <w:position w:val="0"/>
        </w:rPr>
        <w:t>公司具备传统信息安全领域的技术及产品优势，在保持该领域技术与业务核心优势同时， 积极拓展多元化的市场应用空间，针对新兴市场对信息安全的应用需求情况下，进一步拓展相 关产品和解决方案。与此同时，公司以具有特定优势的安全密码算法性能、低功耗、</w:t>
      </w:r>
      <w:r>
        <w:rPr>
          <w:rFonts w:ascii="Times New Roman" w:eastAsia="Times New Roman" w:hAnsi="Times New Roman" w:cs="Times New Roman"/>
          <w:color w:val="000000"/>
          <w:spacing w:val="0"/>
          <w:w w:val="100"/>
          <w:position w:val="0"/>
        </w:rPr>
        <w:t>SOC</w:t>
      </w:r>
      <w:r>
        <w:rPr>
          <w:color w:val="000000"/>
          <w:spacing w:val="0"/>
          <w:w w:val="100"/>
          <w:position w:val="0"/>
        </w:rPr>
        <w:t>架构 与</w:t>
      </w:r>
      <w:r>
        <w:rPr>
          <w:rFonts w:ascii="Times New Roman" w:eastAsia="Times New Roman" w:hAnsi="Times New Roman" w:cs="Times New Roman"/>
          <w:color w:val="000000"/>
          <w:spacing w:val="0"/>
          <w:w w:val="100"/>
          <w:position w:val="0"/>
        </w:rPr>
        <w:t>IP</w:t>
      </w:r>
      <w:r>
        <w:rPr>
          <w:color w:val="000000"/>
          <w:spacing w:val="0"/>
          <w:w w:val="100"/>
          <w:position w:val="0"/>
        </w:rPr>
        <w:t>经验积累和技术沉淀优势，积极布局通用</w:t>
      </w:r>
      <w:r>
        <w:rPr>
          <w:rFonts w:ascii="Times New Roman" w:eastAsia="Times New Roman" w:hAnsi="Times New Roman" w:cs="Times New Roman"/>
          <w:color w:val="000000"/>
          <w:spacing w:val="0"/>
          <w:w w:val="100"/>
          <w:position w:val="0"/>
        </w:rPr>
        <w:t>MCU</w:t>
      </w:r>
      <w:r>
        <w:rPr>
          <w:color w:val="000000"/>
          <w:spacing w:val="0"/>
          <w:w w:val="100"/>
          <w:position w:val="0"/>
        </w:rPr>
        <w:t>领域产品和应用，增强产品安全性能和通用 性能，形成差异化和优势产品系列，充分利用公司拥有的供应链资源优势降低成本，积极把握 “万物互联”的市场机遇，大力拓展在工业控制、智能家电及智能家庭物联网终端、智能表计、 安防、医疗电子、电机驱动、电池及能源管理、生物识别、通讯、传感器、机器自动化等行业 应用。同时，不断探索在战略性新兴产业中涌现出的行业市场机会，以及在新一代信息技术产 业中，各领域资源整合和合作带来的新市场和新业务。</w:t>
      </w:r>
    </w:p>
    <w:p>
      <w:pPr>
        <w:pStyle w:val="Style44"/>
        <w:keepNext w:val="0"/>
        <w:keepLines w:val="0"/>
        <w:widowControl w:val="0"/>
        <w:shd w:val="clear" w:color="auto" w:fill="auto"/>
        <w:tabs>
          <w:tab w:pos="1701" w:val="left"/>
        </w:tabs>
        <w:bidi w:val="0"/>
        <w:spacing w:before="0" w:after="40" w:line="468" w:lineRule="exact"/>
        <w:ind w:left="1240" w:right="0" w:firstLine="0"/>
        <w:jc w:val="both"/>
      </w:pPr>
      <w:bookmarkStart w:id="262" w:name="bookmark262"/>
      <w:r>
        <w:rPr>
          <w:b/>
          <w:bCs/>
          <w:color w:val="000000"/>
          <w:spacing w:val="0"/>
          <w:w w:val="100"/>
          <w:position w:val="0"/>
        </w:rPr>
        <w:t>（</w:t>
      </w:r>
      <w:bookmarkEnd w:id="26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专注研发投入，优化产品结构，提升核心竞争优势</w:t>
      </w:r>
    </w:p>
    <w:p>
      <w:pPr>
        <w:pStyle w:val="Style44"/>
        <w:keepNext w:val="0"/>
        <w:keepLines w:val="0"/>
        <w:widowControl w:val="0"/>
        <w:shd w:val="clear" w:color="auto" w:fill="auto"/>
        <w:bidi w:val="0"/>
        <w:spacing w:before="0" w:after="0" w:line="469" w:lineRule="exact"/>
        <w:ind w:left="1240" w:right="0" w:firstLine="0"/>
        <w:jc w:val="both"/>
      </w:pPr>
      <w:r>
        <w:rPr>
          <w:b/>
          <w:bCs/>
          <w:color w:val="000000"/>
          <w:spacing w:val="0"/>
          <w:w w:val="100"/>
          <w:position w:val="0"/>
        </w:rPr>
        <w:t>集成电路设计领域方面：</w:t>
      </w:r>
    </w:p>
    <w:p>
      <w:pPr>
        <w:pStyle w:val="Style44"/>
        <w:keepNext w:val="0"/>
        <w:keepLines w:val="0"/>
        <w:widowControl w:val="0"/>
        <w:shd w:val="clear" w:color="auto" w:fill="auto"/>
        <w:bidi w:val="0"/>
        <w:spacing w:before="0" w:after="0" w:line="469" w:lineRule="exact"/>
        <w:ind w:left="780" w:right="0" w:firstLine="460"/>
        <w:jc w:val="both"/>
      </w:pPr>
      <w:r>
        <w:rPr>
          <w:color w:val="000000"/>
          <w:spacing w:val="0"/>
          <w:w w:val="100"/>
          <w:position w:val="0"/>
        </w:rPr>
        <w:t>在传统信息安全业务，公司将继续专注于集成电路行业与信息安全交叉领域，持续增强安 全技术升级，持续优化及迭代</w:t>
      </w:r>
      <w:r>
        <w:rPr>
          <w:rFonts w:ascii="Times New Roman" w:eastAsia="Times New Roman" w:hAnsi="Times New Roman" w:cs="Times New Roman"/>
          <w:color w:val="000000"/>
          <w:spacing w:val="0"/>
          <w:w w:val="100"/>
          <w:position w:val="0"/>
        </w:rPr>
        <w:t>USBKEY</w:t>
      </w:r>
      <w:r>
        <w:rPr>
          <w:color w:val="000000"/>
          <w:spacing w:val="0"/>
          <w:w w:val="100"/>
          <w:position w:val="0"/>
        </w:rPr>
        <w:t>、</w:t>
      </w:r>
      <w:r>
        <w:rPr>
          <w:color w:val="000000"/>
          <w:spacing w:val="0"/>
          <w:w w:val="100"/>
          <w:position w:val="0"/>
        </w:rPr>
        <w:t>智能卡芯片、低功耗蓝牙</w:t>
      </w:r>
      <w:r>
        <w:rPr>
          <w:rFonts w:ascii="Times New Roman" w:eastAsia="Times New Roman" w:hAnsi="Times New Roman" w:cs="Times New Roman"/>
          <w:color w:val="000000"/>
          <w:spacing w:val="0"/>
          <w:w w:val="100"/>
          <w:position w:val="0"/>
        </w:rPr>
        <w:t>SoC</w:t>
      </w:r>
      <w:r>
        <w:rPr>
          <w:color w:val="000000"/>
          <w:spacing w:val="0"/>
          <w:w w:val="100"/>
          <w:position w:val="0"/>
        </w:rPr>
        <w:t>芯片等传统优势产品；继 续完善推进可信计算芯片技术及在互联网、物联网的应用解决方案，深耕国内市场的同时公司 还将积极进军海外市场，积极布局该领域相关产品技术研发工作，保持与增强该领域产品核心 竞争力。</w:t>
      </w:r>
    </w:p>
    <w:p>
      <w:pPr>
        <w:pStyle w:val="Style44"/>
        <w:keepNext w:val="0"/>
        <w:keepLines w:val="0"/>
        <w:widowControl w:val="0"/>
        <w:shd w:val="clear" w:color="auto" w:fill="auto"/>
        <w:bidi w:val="0"/>
        <w:spacing w:before="0" w:after="0" w:line="469" w:lineRule="exact"/>
        <w:ind w:left="780" w:right="0" w:firstLine="460"/>
        <w:jc w:val="both"/>
      </w:pPr>
      <w:r>
        <w:rPr>
          <w:color w:val="000000"/>
          <w:spacing w:val="0"/>
          <w:w w:val="100"/>
          <w:position w:val="0"/>
        </w:rPr>
        <w:t>针对通用</w:t>
      </w:r>
      <w:r>
        <w:rPr>
          <w:rFonts w:ascii="Times New Roman" w:eastAsia="Times New Roman" w:hAnsi="Times New Roman" w:cs="Times New Roman"/>
          <w:color w:val="000000"/>
          <w:spacing w:val="0"/>
          <w:w w:val="100"/>
          <w:position w:val="0"/>
        </w:rPr>
        <w:t>MCU</w:t>
      </w:r>
      <w:r>
        <w:rPr>
          <w:color w:val="000000"/>
          <w:spacing w:val="0"/>
          <w:w w:val="100"/>
          <w:position w:val="0"/>
        </w:rPr>
        <w:t>领域，公司将聚焦</w:t>
      </w:r>
      <w:r>
        <w:rPr>
          <w:rFonts w:ascii="Times New Roman" w:eastAsia="Times New Roman" w:hAnsi="Times New Roman" w:cs="Times New Roman"/>
          <w:color w:val="000000"/>
          <w:spacing w:val="0"/>
          <w:w w:val="100"/>
          <w:position w:val="0"/>
        </w:rPr>
        <w:t>32</w:t>
      </w:r>
      <w:r>
        <w:rPr>
          <w:color w:val="000000"/>
          <w:spacing w:val="0"/>
          <w:w w:val="100"/>
          <w:position w:val="0"/>
        </w:rPr>
        <w:t>位</w:t>
      </w:r>
      <w:r>
        <w:rPr>
          <w:rFonts w:ascii="Times New Roman" w:eastAsia="Times New Roman" w:hAnsi="Times New Roman" w:cs="Times New Roman"/>
          <w:color w:val="000000"/>
          <w:spacing w:val="0"/>
          <w:w w:val="100"/>
          <w:position w:val="0"/>
        </w:rPr>
        <w:t>MCU</w:t>
      </w:r>
      <w:r>
        <w:rPr>
          <w:color w:val="000000"/>
          <w:spacing w:val="0"/>
          <w:w w:val="100"/>
          <w:position w:val="0"/>
        </w:rPr>
        <w:t>产品为主的研发技术路径，保持在物联网领域安 全性核心技术竞争力基础上，提升产品在高集成度、高性能、低功耗、高可靠性等技术优势。 报告期内公司按计划完成了中高端通用安全</w:t>
      </w:r>
      <w:r>
        <w:rPr>
          <w:rFonts w:ascii="Times New Roman" w:eastAsia="Times New Roman" w:hAnsi="Times New Roman" w:cs="Times New Roman"/>
          <w:color w:val="000000"/>
          <w:spacing w:val="0"/>
          <w:w w:val="100"/>
          <w:position w:val="0"/>
        </w:rPr>
        <w:t>MCU</w:t>
      </w:r>
      <w:r>
        <w:rPr>
          <w:color w:val="000000"/>
          <w:spacing w:val="0"/>
          <w:w w:val="100"/>
          <w:position w:val="0"/>
        </w:rPr>
        <w:t xml:space="preserve">芯片技术研发工作,正在推动产品验证和测试。 </w:t>
      </w:r>
      <w:r>
        <w:rPr>
          <w:rFonts w:ascii="Times New Roman" w:eastAsia="Times New Roman" w:hAnsi="Times New Roman" w:cs="Times New Roman"/>
          <w:color w:val="000000"/>
          <w:spacing w:val="0"/>
          <w:w w:val="100"/>
          <w:position w:val="0"/>
        </w:rPr>
        <w:t>2020</w:t>
      </w:r>
      <w:r>
        <w:rPr>
          <w:color w:val="000000"/>
          <w:spacing w:val="0"/>
          <w:w w:val="100"/>
          <w:position w:val="0"/>
        </w:rPr>
        <w:t>年及未来，公司将继续进行通用</w:t>
      </w:r>
      <w:r>
        <w:rPr>
          <w:rFonts w:ascii="Times New Roman" w:eastAsia="Times New Roman" w:hAnsi="Times New Roman" w:cs="Times New Roman"/>
          <w:color w:val="000000"/>
          <w:spacing w:val="0"/>
          <w:w w:val="100"/>
          <w:position w:val="0"/>
        </w:rPr>
        <w:t>MCU</w:t>
      </w:r>
      <w:r>
        <w:rPr>
          <w:color w:val="000000"/>
          <w:spacing w:val="0"/>
          <w:w w:val="100"/>
          <w:position w:val="0"/>
        </w:rPr>
        <w:t>芯片技术的研发，通过技术研发、产品性能、生态体 系建设构建核心竞争力。公司将持续完善通用</w:t>
      </w:r>
      <w:r>
        <w:rPr>
          <w:rFonts w:ascii="Times New Roman" w:eastAsia="Times New Roman" w:hAnsi="Times New Roman" w:cs="Times New Roman"/>
          <w:color w:val="000000"/>
          <w:spacing w:val="0"/>
          <w:w w:val="100"/>
          <w:position w:val="0"/>
        </w:rPr>
        <w:t>MCU</w:t>
      </w:r>
      <w:r>
        <w:rPr>
          <w:color w:val="000000"/>
          <w:spacing w:val="0"/>
          <w:w w:val="100"/>
          <w:position w:val="0"/>
        </w:rPr>
        <w:t>芯片产品系列及解决方案，根据行业不同应 用领域和行业发展趋势，持续研发、推出高集成度、高性能、低功耗等特色的通用安全</w:t>
      </w:r>
      <w:r>
        <w:rPr>
          <w:rFonts w:ascii="Times New Roman" w:eastAsia="Times New Roman" w:hAnsi="Times New Roman" w:cs="Times New Roman"/>
          <w:color w:val="000000"/>
          <w:spacing w:val="0"/>
          <w:w w:val="100"/>
          <w:position w:val="0"/>
        </w:rPr>
        <w:t>MCU</w:t>
      </w:r>
      <w:r>
        <w:rPr>
          <w:color w:val="000000"/>
          <w:spacing w:val="0"/>
          <w:w w:val="100"/>
          <w:position w:val="0"/>
        </w:rPr>
        <w:t>产 品，打造全系列、全应用、全场景的产品阵容，为客户和市场提供更多产品选择。</w:t>
      </w:r>
    </w:p>
    <w:p>
      <w:pPr>
        <w:pStyle w:val="Style44"/>
        <w:keepNext w:val="0"/>
        <w:keepLines w:val="0"/>
        <w:widowControl w:val="0"/>
        <w:shd w:val="clear" w:color="auto" w:fill="auto"/>
        <w:bidi w:val="0"/>
        <w:spacing w:before="0" w:after="0" w:line="469" w:lineRule="exact"/>
        <w:ind w:left="1240" w:right="0" w:firstLine="0"/>
        <w:jc w:val="both"/>
      </w:pPr>
      <w:r>
        <w:rPr>
          <w:b/>
          <w:bCs/>
          <w:color w:val="000000"/>
          <w:spacing w:val="0"/>
          <w:w w:val="100"/>
          <w:position w:val="0"/>
        </w:rPr>
        <w:t>新能源负极材料领域：</w:t>
      </w:r>
    </w:p>
    <w:p>
      <w:pPr>
        <w:pStyle w:val="Style44"/>
        <w:keepNext w:val="0"/>
        <w:keepLines w:val="0"/>
        <w:widowControl w:val="0"/>
        <w:shd w:val="clear" w:color="auto" w:fill="auto"/>
        <w:bidi w:val="0"/>
        <w:spacing w:before="0" w:after="0" w:line="468" w:lineRule="exact"/>
        <w:ind w:left="780" w:right="0" w:firstLine="460"/>
        <w:jc w:val="both"/>
      </w:pPr>
      <w:r>
        <w:rPr>
          <w:color w:val="000000"/>
          <w:spacing w:val="0"/>
          <w:w w:val="100"/>
          <w:position w:val="0"/>
        </w:rPr>
        <w:t>加强新能源负极材料和石墨化工艺的研发、提升产品及工艺性能，根据客户要求持续进行 产品迭代。全力保障内蒙石墨化加工基地的顺利生产及二期投产，全面满足后期负极材料及石 墨化加工的产能释放。打造出色的产品性能与品质，并提供优质的客户服务。</w:t>
      </w:r>
    </w:p>
    <w:p>
      <w:pPr>
        <w:pStyle w:val="Style44"/>
        <w:keepNext w:val="0"/>
        <w:keepLines w:val="0"/>
        <w:widowControl w:val="0"/>
        <w:shd w:val="clear" w:color="auto" w:fill="auto"/>
        <w:bidi w:val="0"/>
        <w:spacing w:before="0" w:after="0" w:line="469" w:lineRule="exact"/>
        <w:ind w:left="1240" w:right="0" w:firstLine="0"/>
        <w:jc w:val="both"/>
      </w:pPr>
      <w:bookmarkStart w:id="263" w:name="bookmark263"/>
      <w:r>
        <w:rPr>
          <w:b/>
          <w:bCs/>
          <w:color w:val="000000"/>
          <w:spacing w:val="0"/>
          <w:w w:val="100"/>
          <w:position w:val="0"/>
        </w:rPr>
        <w:t>（</w:t>
      </w:r>
      <w:bookmarkEnd w:id="263"/>
      <w:r>
        <w:rPr>
          <w:rFonts w:ascii="Times New Roman" w:eastAsia="Times New Roman" w:hAnsi="Times New Roman" w:cs="Times New Roman"/>
          <w:b/>
          <w:bCs/>
          <w:color w:val="000000"/>
          <w:spacing w:val="0"/>
          <w:w w:val="100"/>
          <w:position w:val="0"/>
        </w:rPr>
        <w:t>3</w:t>
      </w:r>
      <w:r>
        <w:rPr>
          <w:b/>
          <w:bCs/>
          <w:color w:val="000000"/>
          <w:spacing w:val="0"/>
          <w:w w:val="100"/>
          <w:position w:val="0"/>
        </w:rPr>
        <w:t>）加强市场拓展，扩大市场份额</w:t>
      </w:r>
    </w:p>
    <w:p>
      <w:pPr>
        <w:pStyle w:val="Style44"/>
        <w:keepNext w:val="0"/>
        <w:keepLines w:val="0"/>
        <w:widowControl w:val="0"/>
        <w:shd w:val="clear" w:color="auto" w:fill="auto"/>
        <w:bidi w:val="0"/>
        <w:spacing w:before="0" w:after="0" w:line="469" w:lineRule="exact"/>
        <w:ind w:left="1240" w:right="0" w:firstLine="0"/>
        <w:jc w:val="both"/>
      </w:pPr>
      <w:r>
        <w:rPr>
          <w:b/>
          <w:bCs/>
          <w:color w:val="000000"/>
          <w:spacing w:val="0"/>
          <w:w w:val="100"/>
          <w:position w:val="0"/>
        </w:rPr>
        <w:t>集成电路设计领域方面：</w:t>
      </w:r>
    </w:p>
    <w:p>
      <w:pPr>
        <w:pStyle w:val="Style44"/>
        <w:keepNext w:val="0"/>
        <w:keepLines w:val="0"/>
        <w:widowControl w:val="0"/>
        <w:shd w:val="clear" w:color="auto" w:fill="auto"/>
        <w:bidi w:val="0"/>
        <w:spacing w:before="0" w:after="0" w:line="470" w:lineRule="exact"/>
        <w:ind w:left="780" w:right="0" w:firstLine="460"/>
        <w:jc w:val="both"/>
      </w:pPr>
      <w:r>
        <w:rPr>
          <w:color w:val="000000"/>
          <w:spacing w:val="0"/>
          <w:w w:val="100"/>
          <w:position w:val="0"/>
        </w:rPr>
        <w:t>公司以行业市场和通用市场并举，深入耕耘行业市场，紧跟通用市场发展趋势，研发更具 竞争力、更符合客户需求的产品和解决方案，推动公司各类芯片在细分市场的领先性。</w:t>
      </w:r>
    </w:p>
    <w:p>
      <w:pPr>
        <w:pStyle w:val="Style44"/>
        <w:keepNext w:val="0"/>
        <w:keepLines w:val="0"/>
        <w:widowControl w:val="0"/>
        <w:shd w:val="clear" w:color="auto" w:fill="auto"/>
        <w:bidi w:val="0"/>
        <w:spacing w:before="0" w:after="0" w:line="470" w:lineRule="exact"/>
        <w:ind w:left="780" w:right="0" w:firstLine="460"/>
        <w:jc w:val="both"/>
      </w:pPr>
      <w:r>
        <w:rPr>
          <w:color w:val="000000"/>
          <w:spacing w:val="0"/>
          <w:w w:val="100"/>
          <w:position w:val="0"/>
        </w:rPr>
        <w:t>信息安全领域：在巩固现有行业市场应用竞争力的同时，以针对性更强、应用更灵活的产 品及系统解决方案，将各类产品及解决方案进一步进入物联网、工业互联网等安全领域市场， 促进物联网市场应用的数据保护及物联网身份认证的安全性，加强和行业主流厂商的深入合作； 进一步延伸行业卡芯片在证照、交通、社保等政府领域的应用；推动可信计算芯片在互联网、 大数据、云计算、物联网等安全领域的发展。</w:t>
      </w:r>
    </w:p>
    <w:p>
      <w:pPr>
        <w:pStyle w:val="Style44"/>
        <w:keepNext w:val="0"/>
        <w:keepLines w:val="0"/>
        <w:widowControl w:val="0"/>
        <w:shd w:val="clear" w:color="auto" w:fill="auto"/>
        <w:bidi w:val="0"/>
        <w:spacing w:before="0" w:after="0" w:line="470" w:lineRule="exact"/>
        <w:ind w:left="780" w:right="0" w:firstLine="460"/>
        <w:jc w:val="both"/>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1393" w:right="347" w:bottom="1614" w:left="489" w:header="0" w:footer="3" w:gutter="0"/>
          <w:pgNumType w:start="48"/>
          <w:cols w:space="720"/>
          <w:noEndnote/>
          <w:rtlGutter w:val="0"/>
          <w:docGrid w:linePitch="360"/>
        </w:sectPr>
      </w:pPr>
      <w:r>
        <w:rPr>
          <w:color w:val="000000"/>
          <w:spacing w:val="0"/>
          <w:w w:val="100"/>
          <w:position w:val="0"/>
        </w:rPr>
        <w:t>通用</w:t>
      </w:r>
      <w:r>
        <w:rPr>
          <w:rFonts w:ascii="Times New Roman" w:eastAsia="Times New Roman" w:hAnsi="Times New Roman" w:cs="Times New Roman"/>
          <w:color w:val="000000"/>
          <w:spacing w:val="0"/>
          <w:w w:val="100"/>
          <w:position w:val="0"/>
        </w:rPr>
        <w:t>MCU</w:t>
      </w:r>
      <w:r>
        <w:rPr>
          <w:color w:val="000000"/>
          <w:spacing w:val="0"/>
          <w:w w:val="100"/>
          <w:position w:val="0"/>
        </w:rPr>
        <w:t>领域：利用公司在</w:t>
      </w:r>
      <w:r>
        <w:rPr>
          <w:rFonts w:ascii="Times New Roman" w:eastAsia="Times New Roman" w:hAnsi="Times New Roman" w:cs="Times New Roman"/>
          <w:color w:val="000000"/>
          <w:spacing w:val="0"/>
          <w:w w:val="100"/>
          <w:position w:val="0"/>
        </w:rPr>
        <w:t>SoC</w:t>
      </w:r>
      <w:r>
        <w:rPr>
          <w:color w:val="000000"/>
          <w:spacing w:val="0"/>
          <w:w w:val="100"/>
          <w:position w:val="0"/>
        </w:rPr>
        <w:t>芯片的技术积累和沉淀优势，发挥在</w:t>
      </w:r>
      <w:r>
        <w:rPr>
          <w:rFonts w:ascii="Times New Roman" w:eastAsia="Times New Roman" w:hAnsi="Times New Roman" w:cs="Times New Roman"/>
          <w:color w:val="000000"/>
          <w:spacing w:val="0"/>
          <w:w w:val="100"/>
          <w:position w:val="0"/>
        </w:rPr>
        <w:t>MCU</w:t>
      </w:r>
      <w:r>
        <w:rPr>
          <w:color w:val="000000"/>
          <w:spacing w:val="0"/>
          <w:w w:val="100"/>
          <w:position w:val="0"/>
        </w:rPr>
        <w:t>领域高集成度、 低功耗、高可靠性等优势，增强</w:t>
      </w:r>
      <w:r>
        <w:rPr>
          <w:rFonts w:ascii="Times New Roman" w:eastAsia="Times New Roman" w:hAnsi="Times New Roman" w:cs="Times New Roman"/>
          <w:color w:val="000000"/>
          <w:spacing w:val="0"/>
          <w:w w:val="100"/>
          <w:position w:val="0"/>
        </w:rPr>
        <w:t>MCU</w:t>
      </w:r>
      <w:r>
        <w:rPr>
          <w:color w:val="000000"/>
          <w:spacing w:val="0"/>
          <w:w w:val="100"/>
          <w:position w:val="0"/>
        </w:rPr>
        <w:t>安全性，提供具有差异化和全系列化的产品和解决方案特 色优势，重点推动在物联网市场行业应用，通过持续丰富产品系列和细分方向的应用，抓住产</w:t>
      </w:r>
    </w:p>
    <w:p>
      <w:pPr>
        <w:pStyle w:val="Style44"/>
        <w:keepNext w:val="0"/>
        <w:keepLines w:val="0"/>
        <w:widowControl w:val="0"/>
        <w:shd w:val="clear" w:color="auto" w:fill="auto"/>
        <w:bidi w:val="0"/>
        <w:spacing w:before="0" w:after="40" w:line="470" w:lineRule="exact"/>
        <w:ind w:left="780" w:right="0" w:firstLine="0"/>
        <w:jc w:val="both"/>
      </w:pPr>
      <w:r>
        <w:rPr>
          <w:color w:val="000000"/>
          <w:spacing w:val="0"/>
          <w:w w:val="100"/>
          <w:position w:val="0"/>
        </w:rPr>
        <w:t>业本地化机遇，加强在工业控制、智能家电及智能家庭物联网终端、智能表计、安防、医疗电 子、电机驱动、电池及能源管理、生物识别、通讯、传感器、机器自动化等行业市场的进入。 在部分行业突破国外企业垄断，占据更多市场份额，努力将公司打造为在技术、产品品种和量 产交付数量上的国内领先、国际一流企业。</w:t>
      </w:r>
    </w:p>
    <w:p>
      <w:pPr>
        <w:pStyle w:val="Style44"/>
        <w:keepNext w:val="0"/>
        <w:keepLines w:val="0"/>
        <w:widowControl w:val="0"/>
        <w:shd w:val="clear" w:color="auto" w:fill="auto"/>
        <w:bidi w:val="0"/>
        <w:spacing w:before="0" w:after="0" w:line="475" w:lineRule="exact"/>
        <w:ind w:left="1240" w:right="0" w:firstLine="0"/>
        <w:jc w:val="both"/>
      </w:pPr>
      <w:r>
        <w:rPr>
          <w:b/>
          <w:bCs/>
          <w:color w:val="000000"/>
          <w:spacing w:val="0"/>
          <w:w w:val="100"/>
          <w:position w:val="0"/>
        </w:rPr>
        <w:t>新能源负极材料领域方面：</w:t>
      </w:r>
    </w:p>
    <w:p>
      <w:pPr>
        <w:pStyle w:val="Style44"/>
        <w:keepNext w:val="0"/>
        <w:keepLines w:val="0"/>
        <w:widowControl w:val="0"/>
        <w:shd w:val="clear" w:color="auto" w:fill="auto"/>
        <w:bidi w:val="0"/>
        <w:spacing w:before="0" w:after="0" w:line="475" w:lineRule="exact"/>
        <w:ind w:left="780" w:right="0" w:firstLine="460"/>
        <w:jc w:val="both"/>
      </w:pPr>
      <w:r>
        <w:rPr>
          <w:color w:val="000000"/>
          <w:spacing w:val="0"/>
          <w:w w:val="100"/>
          <w:position w:val="0"/>
        </w:rPr>
        <w:t>随着全球动力电池和高端消费电子市场规模的增长，人造石墨作为目前主流电池厂商的负 极材料方案，景气度持续提升。斯诺内蒙石墨化与负极生产基地实现规模、连续生产，石墨化 自给率的不断提升有助于提升供应链稳定性并减少原材料价格波动，同时通过产能扩充和制造 工艺提升等方式降低负极生产成本持续打造成本优势。</w:t>
      </w:r>
      <w:r>
        <w:rPr>
          <w:rFonts w:ascii="Times New Roman" w:eastAsia="Times New Roman" w:hAnsi="Times New Roman" w:cs="Times New Roman"/>
          <w:color w:val="000000"/>
          <w:spacing w:val="0"/>
          <w:w w:val="100"/>
          <w:position w:val="0"/>
        </w:rPr>
        <w:t>2020</w:t>
      </w:r>
      <w:r>
        <w:rPr>
          <w:color w:val="000000"/>
          <w:spacing w:val="0"/>
          <w:w w:val="100"/>
          <w:position w:val="0"/>
        </w:rPr>
        <w:t>年，斯诺实业持续稳定为天津力神 电池股份有限公司及合肥国轩高科动力能源有限公司供货，不断提升技术满足现有客户需求， 并积极扩展新客户。</w:t>
      </w:r>
    </w:p>
    <w:p>
      <w:pPr>
        <w:pStyle w:val="Style44"/>
        <w:keepNext w:val="0"/>
        <w:keepLines w:val="0"/>
        <w:widowControl w:val="0"/>
        <w:shd w:val="clear" w:color="auto" w:fill="auto"/>
        <w:bidi w:val="0"/>
        <w:spacing w:before="0" w:after="40" w:line="480" w:lineRule="exact"/>
        <w:ind w:left="780" w:right="0" w:firstLine="4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年，斯诺将积极应对市场挑战，继续突破行业内大客户、优质客户，加大应收账款管 理，在现有客户中导入高端产品，着力保障公司经营现金流和提升公司盈利水平。</w:t>
      </w:r>
    </w:p>
    <w:p>
      <w:pPr>
        <w:pStyle w:val="Style44"/>
        <w:keepNext w:val="0"/>
        <w:keepLines w:val="0"/>
        <w:widowControl w:val="0"/>
        <w:shd w:val="clear" w:color="auto" w:fill="auto"/>
        <w:tabs>
          <w:tab w:pos="1705" w:val="left"/>
        </w:tabs>
        <w:bidi w:val="0"/>
        <w:spacing w:before="0" w:after="40" w:line="470" w:lineRule="exact"/>
        <w:ind w:left="1240" w:right="0" w:firstLine="0"/>
        <w:jc w:val="both"/>
      </w:pPr>
      <w:bookmarkStart w:id="264" w:name="bookmark264"/>
      <w:r>
        <w:rPr>
          <w:b/>
          <w:bCs/>
          <w:color w:val="000000"/>
          <w:spacing w:val="0"/>
          <w:w w:val="100"/>
          <w:position w:val="0"/>
        </w:rPr>
        <w:t>（</w:t>
      </w:r>
      <w:bookmarkEnd w:id="264"/>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优化公司经营管理水平，降本增效</w:t>
      </w:r>
    </w:p>
    <w:p>
      <w:pPr>
        <w:pStyle w:val="Style44"/>
        <w:keepNext w:val="0"/>
        <w:keepLines w:val="0"/>
        <w:widowControl w:val="0"/>
        <w:shd w:val="clear" w:color="auto" w:fill="auto"/>
        <w:bidi w:val="0"/>
        <w:spacing w:before="0" w:after="40" w:line="466" w:lineRule="exact"/>
        <w:ind w:left="780" w:right="0" w:firstLine="460"/>
        <w:jc w:val="both"/>
      </w:pPr>
      <w:r>
        <w:rPr>
          <w:color w:val="000000"/>
          <w:spacing w:val="0"/>
          <w:w w:val="100"/>
          <w:position w:val="0"/>
        </w:rPr>
        <w:t>面对日益复杂的经营环境，公司管理层积极应对经营压力，优化产品结构，调整研发组织 架构；加强公司治理，深耕精细化管理，持续强化财务管控与运营管理；完善内部资源优化配 置及工作流程的把控；严控三项费用，降本增效。</w:t>
      </w:r>
    </w:p>
    <w:p>
      <w:pPr>
        <w:pStyle w:val="Style44"/>
        <w:keepNext w:val="0"/>
        <w:keepLines w:val="0"/>
        <w:widowControl w:val="0"/>
        <w:shd w:val="clear" w:color="auto" w:fill="auto"/>
        <w:tabs>
          <w:tab w:pos="1705" w:val="left"/>
        </w:tabs>
        <w:bidi w:val="0"/>
        <w:spacing w:before="0" w:after="40" w:line="470" w:lineRule="exact"/>
        <w:ind w:left="1240" w:right="0" w:firstLine="0"/>
        <w:jc w:val="both"/>
      </w:pPr>
      <w:bookmarkStart w:id="265" w:name="bookmark265"/>
      <w:r>
        <w:rPr>
          <w:b/>
          <w:bCs/>
          <w:color w:val="000000"/>
          <w:spacing w:val="0"/>
          <w:w w:val="100"/>
          <w:position w:val="0"/>
        </w:rPr>
        <w:t>（</w:t>
      </w:r>
      <w:bookmarkEnd w:id="265"/>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加强核心技术人才的引进和培养</w:t>
      </w:r>
    </w:p>
    <w:p>
      <w:pPr>
        <w:pStyle w:val="Style44"/>
        <w:keepNext w:val="0"/>
        <w:keepLines w:val="0"/>
        <w:widowControl w:val="0"/>
        <w:shd w:val="clear" w:color="auto" w:fill="auto"/>
        <w:bidi w:val="0"/>
        <w:spacing w:before="0" w:after="300" w:line="467" w:lineRule="exact"/>
        <w:ind w:left="780" w:right="0" w:firstLine="460"/>
        <w:jc w:val="both"/>
      </w:pPr>
      <w:r>
        <w:rPr>
          <w:color w:val="000000"/>
          <w:spacing w:val="0"/>
          <w:w w:val="100"/>
          <w:position w:val="0"/>
        </w:rPr>
        <w:t>公司拥有集成电路行业和新能源负极材料行业中优秀而多元化的团队，他们在产品、技术、 研发、供应链、销售和管理上均具有多年从业经历。优秀的人才队伍是公司赖以生存与发展的 核心竞争力，为公司未来扭亏为盈、可持续性发展提供有力的保障。公司将持续加大对外引进 人才、对内培养人才梯队的力度，建立健康企业文化，设立有效激励制度，优胜劣汰保持团队 活力，优化人力资源结构，不断提升组织能力和公司价值。</w:t>
      </w:r>
    </w:p>
    <w:p>
      <w:pPr>
        <w:pStyle w:val="Style52"/>
        <w:keepNext/>
        <w:keepLines/>
        <w:widowControl w:val="0"/>
        <w:shd w:val="clear" w:color="auto" w:fill="auto"/>
        <w:bidi w:val="0"/>
        <w:spacing w:before="0" w:after="0" w:line="470" w:lineRule="exact"/>
        <w:ind w:left="0" w:right="0" w:firstLine="780"/>
        <w:jc w:val="both"/>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rPr>
        <w:t>3</w:t>
      </w:r>
      <w:bookmarkEnd w:id="268"/>
      <w:r>
        <w:rPr>
          <w:color w:val="000000"/>
          <w:spacing w:val="0"/>
          <w:w w:val="100"/>
          <w:position w:val="0"/>
        </w:rPr>
        <w:t>、未来可能面对的风险</w:t>
      </w:r>
      <w:bookmarkEnd w:id="266"/>
      <w:bookmarkEnd w:id="267"/>
      <w:bookmarkEnd w:id="269"/>
    </w:p>
    <w:p>
      <w:pPr>
        <w:pStyle w:val="Style44"/>
        <w:keepNext w:val="0"/>
        <w:keepLines w:val="0"/>
        <w:widowControl w:val="0"/>
        <w:shd w:val="clear" w:color="auto" w:fill="auto"/>
        <w:bidi w:val="0"/>
        <w:spacing w:before="0" w:after="40" w:line="470" w:lineRule="exact"/>
        <w:ind w:left="780" w:right="0" w:firstLine="460"/>
        <w:jc w:val="both"/>
      </w:pPr>
      <w:bookmarkStart w:id="270" w:name="bookmark270"/>
      <w:r>
        <w:rPr>
          <w:b/>
          <w:bCs/>
          <w:color w:val="000000"/>
          <w:spacing w:val="0"/>
          <w:w w:val="100"/>
          <w:position w:val="0"/>
        </w:rPr>
        <w:t>（</w:t>
      </w:r>
      <w:bookmarkEnd w:id="270"/>
      <w:r>
        <w:rPr>
          <w:rFonts w:ascii="Times New Roman" w:eastAsia="Times New Roman" w:hAnsi="Times New Roman" w:cs="Times New Roman"/>
          <w:b/>
          <w:bCs/>
          <w:color w:val="000000"/>
          <w:spacing w:val="0"/>
          <w:w w:val="100"/>
          <w:position w:val="0"/>
        </w:rPr>
        <w:t>1</w:t>
      </w:r>
      <w:r>
        <w:rPr>
          <w:b/>
          <w:bCs/>
          <w:color w:val="000000"/>
          <w:spacing w:val="0"/>
          <w:w w:val="100"/>
          <w:position w:val="0"/>
        </w:rPr>
        <w:t>）应收款项产生坏帐的风险。</w:t>
      </w:r>
      <w:r>
        <w:rPr>
          <w:color w:val="000000"/>
          <w:spacing w:val="0"/>
          <w:w w:val="100"/>
          <w:position w:val="0"/>
        </w:rPr>
        <w:t>报告期末应收票据及应收账款账面价值</w:t>
      </w:r>
      <w:r>
        <w:rPr>
          <w:rFonts w:ascii="Times New Roman" w:eastAsia="Times New Roman" w:hAnsi="Times New Roman" w:cs="Times New Roman"/>
          <w:color w:val="000000"/>
          <w:spacing w:val="0"/>
          <w:w w:val="100"/>
          <w:position w:val="0"/>
        </w:rPr>
        <w:t>22,366.79</w:t>
      </w:r>
      <w:r>
        <w:rPr>
          <w:color w:val="000000"/>
          <w:spacing w:val="0"/>
          <w:w w:val="100"/>
          <w:position w:val="0"/>
        </w:rPr>
        <w:t>万元，占 流动资产比例达</w:t>
      </w:r>
      <w:r>
        <w:rPr>
          <w:rFonts w:ascii="Times New Roman" w:eastAsia="Times New Roman" w:hAnsi="Times New Roman" w:cs="Times New Roman"/>
          <w:color w:val="000000"/>
          <w:spacing w:val="0"/>
          <w:w w:val="100"/>
          <w:position w:val="0"/>
        </w:rPr>
        <w:t>23.77%</w:t>
      </w:r>
      <w:r>
        <w:rPr>
          <w:color w:val="000000"/>
          <w:spacing w:val="0"/>
          <w:w w:val="100"/>
          <w:position w:val="0"/>
        </w:rPr>
        <w:t>。因市场竞争激烈，公司采取适度赊销、延长账期等营销策略促进市场 发展及销售，相应的应收票据及应收账款余额一直保持较高的水平，使得坏账损失的发生几率 较高。公司将进一步细化客户管理，从客户性质、客户信用基础等因素出发，加强应收账款动 态管理，完善更加严格、立体管控的客户风险控制机制，严防坏账的产生。</w:t>
      </w:r>
    </w:p>
    <w:p>
      <w:pPr>
        <w:pStyle w:val="Style28"/>
        <w:keepNext w:val="0"/>
        <w:keepLines w:val="0"/>
        <w:widowControl w:val="0"/>
        <w:shd w:val="clear" w:color="auto" w:fill="auto"/>
        <w:bidi w:val="0"/>
        <w:spacing w:before="0" w:after="40" w:line="240" w:lineRule="auto"/>
        <w:ind w:left="0" w:right="0" w:firstLine="0"/>
        <w:jc w:val="center"/>
        <w:sectPr>
          <w:headerReference w:type="default" r:id="rId47"/>
          <w:footerReference w:type="default" r:id="rId48"/>
          <w:headerReference w:type="even" r:id="rId49"/>
          <w:footerReference w:type="even" r:id="rId50"/>
          <w:footnotePr>
            <w:pos w:val="pageBottom"/>
            <w:numFmt w:val="decimal"/>
            <w:numRestart w:val="continuous"/>
          </w:footnotePr>
          <w:pgSz w:w="11900" w:h="16840"/>
          <w:pgMar w:top="1393" w:right="347" w:bottom="1268" w:left="489" w:header="0" w:footer="840" w:gutter="0"/>
          <w:pgNumType w:start="52"/>
          <w:cols w:space="720"/>
          <w:noEndnote/>
          <w:rtlGutter w:val="0"/>
          <w:docGrid w:linePitch="360"/>
        </w:sectPr>
      </w:pPr>
      <w:r>
        <w:rPr>
          <w:color w:val="000000"/>
          <w:spacing w:val="0"/>
          <w:w w:val="100"/>
          <w:position w:val="0"/>
        </w:rPr>
        <w:t>51</w:t>
      </w:r>
    </w:p>
    <w:p>
      <w:pPr>
        <w:pStyle w:val="Style44"/>
        <w:keepNext w:val="0"/>
        <w:keepLines w:val="0"/>
        <w:widowControl w:val="0"/>
        <w:shd w:val="clear" w:color="auto" w:fill="auto"/>
        <w:tabs>
          <w:tab w:pos="1822" w:val="left"/>
        </w:tabs>
        <w:bidi w:val="0"/>
        <w:spacing w:before="0" w:after="0" w:line="470" w:lineRule="exact"/>
        <w:ind w:left="780" w:right="0" w:firstLine="460"/>
        <w:jc w:val="both"/>
      </w:pPr>
      <w:bookmarkStart w:id="271" w:name="bookmark271"/>
      <w:r>
        <w:rPr>
          <w:b/>
          <w:bCs/>
          <w:color w:val="000000"/>
          <w:spacing w:val="0"/>
          <w:w w:val="100"/>
          <w:position w:val="0"/>
        </w:rPr>
        <w:t>（</w:t>
      </w:r>
      <w:bookmarkEnd w:id="27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存货因滞销、积压而形成损失的风险。</w:t>
      </w:r>
      <w:r>
        <w:rPr>
          <w:color w:val="000000"/>
          <w:spacing w:val="0"/>
          <w:w w:val="100"/>
          <w:position w:val="0"/>
        </w:rPr>
        <w:t>报告期末存货账面价值</w:t>
      </w:r>
      <w:r>
        <w:rPr>
          <w:rFonts w:ascii="Times New Roman" w:eastAsia="Times New Roman" w:hAnsi="Times New Roman" w:cs="Times New Roman"/>
          <w:color w:val="000000"/>
          <w:spacing w:val="0"/>
          <w:w w:val="100"/>
          <w:position w:val="0"/>
        </w:rPr>
        <w:t>18,201.90</w:t>
      </w:r>
      <w:r>
        <w:rPr>
          <w:color w:val="000000"/>
          <w:spacing w:val="0"/>
          <w:w w:val="100"/>
          <w:position w:val="0"/>
        </w:rPr>
        <w:t>万元，较期 初减少</w:t>
      </w:r>
      <w:r>
        <w:rPr>
          <w:rFonts w:ascii="Times New Roman" w:eastAsia="Times New Roman" w:hAnsi="Times New Roman" w:cs="Times New Roman"/>
          <w:color w:val="000000"/>
          <w:spacing w:val="0"/>
          <w:w w:val="100"/>
          <w:position w:val="0"/>
        </w:rPr>
        <w:t>45.37</w:t>
      </w:r>
      <w:r>
        <w:rPr>
          <w:color w:val="000000"/>
          <w:spacing w:val="0"/>
          <w:w w:val="100"/>
          <w:position w:val="0"/>
        </w:rPr>
        <w:t>万元。受芯片类产品备货周期较长、主要代工厂产能供给日趋紧张、芯片销售竞争 日益加剧等因素影响，公司为保障供货需求，未来仍将相应增加一定量的备货。但由于技术进 步导致芯片产品更新换代较快和市场竞争激烈等因素形成的相对系统性风险、市场机会把握不 精准等，公司部分存货可能因滞销、积压等而产生损失。为此，公司将进一步采取措施，努力 更加精准把握市场机会和节奏，在销售方面加强销售预测的准确性、客户需求的确定性、销售 策略的灵活主动性，在生产供应方面加强备货的协同性，同时强化责任机制，以加强存货管控， 尽可能降低相关风险。</w:t>
      </w:r>
    </w:p>
    <w:p>
      <w:pPr>
        <w:pStyle w:val="Style44"/>
        <w:keepNext w:val="0"/>
        <w:keepLines w:val="0"/>
        <w:widowControl w:val="0"/>
        <w:shd w:val="clear" w:color="auto" w:fill="auto"/>
        <w:tabs>
          <w:tab w:pos="1822" w:val="left"/>
        </w:tabs>
        <w:bidi w:val="0"/>
        <w:spacing w:before="0" w:after="0" w:line="470" w:lineRule="exact"/>
        <w:ind w:left="780" w:right="0" w:firstLine="460"/>
        <w:jc w:val="both"/>
      </w:pPr>
      <w:bookmarkStart w:id="272" w:name="bookmark272"/>
      <w:r>
        <w:rPr>
          <w:b/>
          <w:bCs/>
          <w:color w:val="000000"/>
          <w:spacing w:val="0"/>
          <w:w w:val="100"/>
          <w:position w:val="0"/>
        </w:rPr>
        <w:t>（</w:t>
      </w:r>
      <w:bookmarkEnd w:id="272"/>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持续创新能力风险。</w:t>
      </w:r>
      <w:r>
        <w:rPr>
          <w:color w:val="000000"/>
          <w:spacing w:val="0"/>
          <w:w w:val="100"/>
          <w:position w:val="0"/>
        </w:rPr>
        <w:t>当前，在国家产业政策的支持下，国内集成电路设计行业正处于 快速发展阶段，技术创新及终端产品日新月异。未来，若公司的技术创新和研发能力无法适应 技术发展、行业标准或客户需求变化，将导致公司市场竞争力和行业地位下降，进而对公司经 营产生不利影响。公司将加强技术研发和产品的市场调研、可行性研究和分析论证，加强产品 立项评估管理，优化产品开发流程，及时根据市场需求和技术发展动态地调整和优化新技术与 产品的研发工作，以尽可能降低相关风险。</w:t>
      </w:r>
    </w:p>
    <w:p>
      <w:pPr>
        <w:pStyle w:val="Style44"/>
        <w:keepNext w:val="0"/>
        <w:keepLines w:val="0"/>
        <w:widowControl w:val="0"/>
        <w:shd w:val="clear" w:color="auto" w:fill="auto"/>
        <w:tabs>
          <w:tab w:pos="1822" w:val="left"/>
        </w:tabs>
        <w:bidi w:val="0"/>
        <w:spacing w:before="0" w:after="0" w:line="470" w:lineRule="exact"/>
        <w:ind w:left="780" w:right="0" w:firstLine="460"/>
        <w:jc w:val="both"/>
      </w:pPr>
      <w:bookmarkStart w:id="273" w:name="bookmark273"/>
      <w:r>
        <w:rPr>
          <w:b/>
          <w:bCs/>
          <w:color w:val="000000"/>
          <w:spacing w:val="0"/>
          <w:w w:val="100"/>
          <w:position w:val="0"/>
        </w:rPr>
        <w:t>（</w:t>
      </w:r>
      <w:bookmarkEnd w:id="273"/>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新产品开发风险。</w:t>
      </w:r>
      <w:r>
        <w:rPr>
          <w:color w:val="000000"/>
          <w:spacing w:val="0"/>
          <w:w w:val="100"/>
          <w:position w:val="0"/>
        </w:rPr>
        <w:t>集成电路行业技术更新快、市场竞争激烈，公司需要不断升级迭代 新产品以满足用户对芯片性能需求的持续提升。同时，随着晶圆制程工艺不断优化，集成电路 设计的复杂程度相应提高，开发成本随之增加。在新产品开发过程中，公司需要在研发阶段投 入大量的人力和资金，若新产品开发失败或是开发完成后无法满足市场需求，将导致公司前期 投入的成本无法收回，对公司经营业绩产生不利影响。</w:t>
      </w:r>
    </w:p>
    <w:p>
      <w:pPr>
        <w:pStyle w:val="Style44"/>
        <w:keepNext w:val="0"/>
        <w:keepLines w:val="0"/>
        <w:widowControl w:val="0"/>
        <w:shd w:val="clear" w:color="auto" w:fill="auto"/>
        <w:tabs>
          <w:tab w:pos="1822" w:val="left"/>
        </w:tabs>
        <w:bidi w:val="0"/>
        <w:spacing w:before="0" w:after="0" w:line="470" w:lineRule="exact"/>
        <w:ind w:left="780" w:right="0" w:firstLine="460"/>
        <w:jc w:val="both"/>
      </w:pPr>
      <w:bookmarkStart w:id="274" w:name="bookmark274"/>
      <w:r>
        <w:rPr>
          <w:b/>
          <w:bCs/>
          <w:color w:val="000000"/>
          <w:spacing w:val="0"/>
          <w:w w:val="100"/>
          <w:position w:val="0"/>
        </w:rPr>
        <w:t>（</w:t>
      </w:r>
      <w:bookmarkEnd w:id="274"/>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市场竞争加剧风险。</w:t>
      </w:r>
      <w:r>
        <w:rPr>
          <w:color w:val="000000"/>
          <w:spacing w:val="0"/>
          <w:w w:val="100"/>
          <w:position w:val="0"/>
        </w:rPr>
        <w:t>在国家产业政策的引导和扶持下，我国集成电路设计行业发展迅 速，参与企业数量增多。公司芯片产品市场竞争风险主要来自于部分具有资金及技术优势的国 外知名企业，以及与公司部分产品和应用领域接近或有所重叠的少数国内芯片设计公司。市场 竞争的加剧，可能导致行业平均利润率下降，公司市场份额降低，盈利能力减弱。</w:t>
      </w:r>
    </w:p>
    <w:p>
      <w:pPr>
        <w:pStyle w:val="Style44"/>
        <w:keepNext w:val="0"/>
        <w:keepLines w:val="0"/>
        <w:widowControl w:val="0"/>
        <w:shd w:val="clear" w:color="auto" w:fill="auto"/>
        <w:tabs>
          <w:tab w:pos="1822" w:val="left"/>
        </w:tabs>
        <w:bidi w:val="0"/>
        <w:spacing w:before="0" w:after="0" w:line="470" w:lineRule="exact"/>
        <w:ind w:left="780" w:right="0" w:firstLine="460"/>
        <w:jc w:val="both"/>
      </w:pPr>
      <w:bookmarkStart w:id="275" w:name="bookmark275"/>
      <w:r>
        <w:rPr>
          <w:b/>
          <w:bCs/>
          <w:color w:val="000000"/>
          <w:spacing w:val="0"/>
          <w:w w:val="100"/>
          <w:position w:val="0"/>
        </w:rPr>
        <w:t>（</w:t>
      </w:r>
      <w:bookmarkEnd w:id="275"/>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商誉减值的风险</w:t>
      </w:r>
      <w:r>
        <w:rPr>
          <w:color w:val="000000"/>
          <w:spacing w:val="0"/>
          <w:w w:val="100"/>
          <w:position w:val="0"/>
        </w:rPr>
        <w:t>。截至本报告期末，公司商誉账面价值为</w:t>
      </w:r>
      <w:r>
        <w:rPr>
          <w:rFonts w:ascii="Times New Roman" w:eastAsia="Times New Roman" w:hAnsi="Times New Roman" w:cs="Times New Roman"/>
          <w:color w:val="000000"/>
          <w:spacing w:val="0"/>
          <w:w w:val="100"/>
          <w:position w:val="0"/>
        </w:rPr>
        <w:t>4,079.41</w:t>
      </w:r>
      <w:r>
        <w:rPr>
          <w:color w:val="000000"/>
          <w:spacing w:val="0"/>
          <w:w w:val="100"/>
          <w:position w:val="0"/>
        </w:rPr>
        <w:t>万元。如果未来宏 观经济形势发生变化，或斯诺实业的市场情况出现问题，导致经营状况恶化，从而导致商誉的 账面价值大于可收回金额，根据《企业会计准则》的规定，需要对商誉计提减值，将对公司的 经营业绩造成不利影响。公司将加强公司与被并购公司发展的协同性，以最大限度地降低商誉 减值风险。</w:t>
      </w:r>
    </w:p>
    <w:p>
      <w:pPr>
        <w:pStyle w:val="Style44"/>
        <w:keepNext w:val="0"/>
        <w:keepLines w:val="0"/>
        <w:widowControl w:val="0"/>
        <w:shd w:val="clear" w:color="auto" w:fill="auto"/>
        <w:tabs>
          <w:tab w:pos="1813" w:val="left"/>
        </w:tabs>
        <w:bidi w:val="0"/>
        <w:spacing w:before="0" w:after="0" w:line="480" w:lineRule="exact"/>
        <w:ind w:left="780" w:right="0" w:firstLine="460"/>
        <w:jc w:val="both"/>
      </w:pPr>
      <w:bookmarkStart w:id="276" w:name="bookmark276"/>
      <w:r>
        <w:rPr>
          <w:b/>
          <w:bCs/>
          <w:color w:val="000000"/>
          <w:spacing w:val="0"/>
          <w:w w:val="100"/>
          <w:position w:val="0"/>
        </w:rPr>
        <w:t>（</w:t>
      </w:r>
      <w:bookmarkEnd w:id="276"/>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资金风险。</w:t>
      </w:r>
      <w:r>
        <w:rPr>
          <w:color w:val="000000"/>
          <w:spacing w:val="0"/>
          <w:w w:val="100"/>
          <w:position w:val="0"/>
        </w:rPr>
        <w:t xml:space="preserve">公司近两年整体债务融资规模较前期大幅增加，外部信用评级下降，对公 司的银行融资产生直接影响，导致公司新业务的开展和日常运营面临较大的资金压力。为此， </w:t>
      </w:r>
      <w:r>
        <w:rPr>
          <w:color w:val="000000"/>
          <w:spacing w:val="0"/>
          <w:w w:val="100"/>
          <w:position w:val="0"/>
        </w:rPr>
        <w:t>公司将采取各种积极措施加强货款回收和清理存货，积极盘活公司资产，有效回笼资金，同时 压缩费用开支，降低运营成本以缓解资金风险，确保资金链安全；另一方面继续加大资金归集 力度，强化资金计划执行率，把好资金控制关，同时积极落实各银行机构的授信及借款延续工 作，整体统筹安排融资工作。</w:t>
      </w:r>
    </w:p>
    <w:p>
      <w:pPr>
        <w:pStyle w:val="Style44"/>
        <w:keepNext w:val="0"/>
        <w:keepLines w:val="0"/>
        <w:widowControl w:val="0"/>
        <w:shd w:val="clear" w:color="auto" w:fill="auto"/>
        <w:bidi w:val="0"/>
        <w:spacing w:before="0" w:after="240" w:line="470" w:lineRule="exact"/>
        <w:ind w:left="780" w:right="0" w:firstLine="460"/>
        <w:jc w:val="both"/>
      </w:pPr>
      <w:bookmarkStart w:id="277" w:name="bookmark277"/>
      <w:r>
        <w:rPr>
          <w:b/>
          <w:bCs/>
          <w:color w:val="000000"/>
          <w:spacing w:val="0"/>
          <w:w w:val="100"/>
          <w:position w:val="0"/>
        </w:rPr>
        <w:t>（</w:t>
      </w:r>
      <w:bookmarkEnd w:id="277"/>
      <w:r>
        <w:rPr>
          <w:rFonts w:ascii="Times New Roman" w:eastAsia="Times New Roman" w:hAnsi="Times New Roman" w:cs="Times New Roman"/>
          <w:b/>
          <w:bCs/>
          <w:color w:val="000000"/>
          <w:spacing w:val="0"/>
          <w:w w:val="100"/>
          <w:position w:val="0"/>
        </w:rPr>
        <w:t>8</w:t>
      </w:r>
      <w:r>
        <w:rPr>
          <w:b/>
          <w:bCs/>
          <w:color w:val="000000"/>
          <w:spacing w:val="0"/>
          <w:w w:val="100"/>
          <w:position w:val="0"/>
        </w:rPr>
        <w:t>）供应链产能的风险。</w:t>
      </w:r>
      <w:r>
        <w:rPr>
          <w:color w:val="000000"/>
          <w:spacing w:val="0"/>
          <w:w w:val="100"/>
          <w:position w:val="0"/>
        </w:rPr>
        <w:t>由于半导体行业上游供应产能对技术及资金规模的要求高、建设 周期长，容易受到宏观经济走势和工艺创新提升影响，产生周期性波动。从</w:t>
      </w:r>
      <w:r>
        <w:rPr>
          <w:rFonts w:ascii="Times New Roman" w:eastAsia="Times New Roman" w:hAnsi="Times New Roman" w:cs="Times New Roman"/>
          <w:color w:val="000000"/>
          <w:spacing w:val="0"/>
          <w:w w:val="100"/>
          <w:position w:val="0"/>
        </w:rPr>
        <w:t>2020</w:t>
      </w:r>
      <w:r>
        <w:rPr>
          <w:color w:val="000000"/>
          <w:spacing w:val="0"/>
          <w:w w:val="100"/>
          <w:position w:val="0"/>
        </w:rPr>
        <w:t>年下半年起， 上游晶圆制造以及芯片封装、测试的整体产能处于持续紧张状态，晶圆产能紧缺涨价、半导体 元器件、覆铜板等原材料上涨后，封装、测试等产业环节均开始出现产能紧缺。根据全球市场 研究机构</w:t>
      </w:r>
      <w:r>
        <w:rPr>
          <w:rFonts w:ascii="Times New Roman" w:eastAsia="Times New Roman" w:hAnsi="Times New Roman" w:cs="Times New Roman"/>
          <w:color w:val="000000"/>
          <w:spacing w:val="0"/>
          <w:w w:val="100"/>
          <w:position w:val="0"/>
        </w:rPr>
        <w:t>TrendForce</w:t>
      </w:r>
      <w:r>
        <w:rPr>
          <w:color w:val="000000"/>
          <w:spacing w:val="0"/>
          <w:w w:val="100"/>
          <w:position w:val="0"/>
        </w:rPr>
        <w:t>旗下半导体研究，下游部分芯片交期已长达</w:t>
      </w:r>
      <w:r>
        <w:rPr>
          <w:rFonts w:ascii="Times New Roman" w:eastAsia="Times New Roman" w:hAnsi="Times New Roman" w:cs="Times New Roman"/>
          <w:color w:val="000000"/>
          <w:spacing w:val="0"/>
          <w:w w:val="100"/>
          <w:position w:val="0"/>
        </w:rPr>
        <w:t>10</w:t>
      </w:r>
      <w:r>
        <w:rPr>
          <w:color w:val="000000"/>
          <w:spacing w:val="0"/>
          <w:w w:val="100"/>
          <w:position w:val="0"/>
        </w:rPr>
        <w:t>个月以上。公司已与多家有 实力的晶圆代工厂商和封装测试厂商建立长期稳定的合作关系，此外，公司将密切关注上游供 应链产能情况，积极应对并采取相应措施，减少对公司经营带来的风险或不确定因素。</w:t>
      </w:r>
    </w:p>
    <w:p>
      <w:pPr>
        <w:pStyle w:val="Style42"/>
        <w:keepNext/>
        <w:keepLines/>
        <w:widowControl w:val="0"/>
        <w:shd w:val="clear" w:color="auto" w:fill="auto"/>
        <w:bidi w:val="0"/>
        <w:spacing w:before="0" w:after="140" w:line="470" w:lineRule="exact"/>
        <w:ind w:left="0" w:right="0" w:firstLine="780"/>
        <w:jc w:val="both"/>
      </w:pPr>
      <w:bookmarkStart w:id="278" w:name="bookmark278"/>
      <w:bookmarkStart w:id="279" w:name="bookmark279"/>
      <w:bookmarkStart w:id="280" w:name="bookmark280"/>
      <w:r>
        <w:rPr>
          <w:color w:val="000000"/>
          <w:spacing w:val="0"/>
          <w:w w:val="100"/>
          <w:position w:val="0"/>
        </w:rPr>
        <w:t>十、接待调研、沟通、采访等活动情况</w:t>
      </w:r>
      <w:bookmarkEnd w:id="278"/>
      <w:bookmarkEnd w:id="279"/>
      <w:bookmarkEnd w:id="280"/>
    </w:p>
    <w:p>
      <w:pPr>
        <w:pStyle w:val="Style52"/>
        <w:keepNext/>
        <w:keepLines/>
        <w:widowControl w:val="0"/>
        <w:shd w:val="clear" w:color="auto" w:fill="auto"/>
        <w:bidi w:val="0"/>
        <w:spacing w:before="0" w:after="140" w:line="470" w:lineRule="exact"/>
        <w:ind w:left="0" w:right="0" w:firstLine="780"/>
        <w:jc w:val="both"/>
        <w:rPr>
          <w:sz w:val="20"/>
          <w:szCs w:val="20"/>
        </w:rPr>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sz w:val="22"/>
          <w:szCs w:val="22"/>
        </w:rPr>
        <w:t>1</w:t>
      </w:r>
      <w:bookmarkEnd w:id="283"/>
      <w:r>
        <w:rPr>
          <w:color w:val="000000"/>
          <w:spacing w:val="0"/>
          <w:w w:val="100"/>
          <w:position w:val="0"/>
          <w:sz w:val="20"/>
          <w:szCs w:val="20"/>
        </w:rPr>
        <w:t>、报告期内接待调研、沟通、采访等活动登记表</w:t>
      </w:r>
      <w:bookmarkEnd w:id="281"/>
      <w:bookmarkEnd w:id="282"/>
      <w:bookmarkEnd w:id="284"/>
    </w:p>
    <w:p>
      <w:pPr>
        <w:pStyle w:val="Style44"/>
        <w:keepNext w:val="0"/>
        <w:keepLines w:val="0"/>
        <w:widowControl w:val="0"/>
        <w:shd w:val="clear" w:color="auto" w:fill="auto"/>
        <w:bidi w:val="0"/>
        <w:spacing w:before="0" w:after="0" w:line="470" w:lineRule="exact"/>
        <w:ind w:left="0" w:right="0" w:firstLine="7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4"/>
        <w:keepNext w:val="0"/>
        <w:keepLines w:val="0"/>
        <w:widowControl w:val="0"/>
        <w:shd w:val="clear" w:color="auto" w:fill="auto"/>
        <w:bidi w:val="0"/>
        <w:spacing w:before="0" w:after="140" w:line="470" w:lineRule="exact"/>
        <w:ind w:left="0" w:right="0" w:firstLine="780"/>
        <w:jc w:val="both"/>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1393" w:right="347" w:bottom="1619" w:left="489" w:header="0" w:footer="3" w:gutter="0"/>
          <w:pgNumType w:start="52"/>
          <w:cols w:space="720"/>
          <w:noEndnote/>
          <w:rtlGutter w:val="0"/>
          <w:docGrid w:linePitch="360"/>
        </w:sectPr>
      </w:pPr>
      <w:r>
        <w:rPr>
          <w:color w:val="000000"/>
          <w:spacing w:val="0"/>
          <w:w w:val="100"/>
          <w:position w:val="0"/>
        </w:rPr>
        <w:t>公司报告期内未发生接待调研、沟通、采访等活动。</w:t>
      </w:r>
    </w:p>
    <w:p>
      <w:pPr>
        <w:pStyle w:val="Style22"/>
        <w:keepNext/>
        <w:keepLines/>
        <w:widowControl w:val="0"/>
        <w:shd w:val="clear" w:color="auto" w:fill="auto"/>
        <w:bidi w:val="0"/>
        <w:spacing w:before="180" w:after="340" w:line="240" w:lineRule="auto"/>
        <w:ind w:left="0" w:right="0" w:firstLine="0"/>
        <w:jc w:val="center"/>
      </w:pPr>
      <w:bookmarkStart w:id="285" w:name="bookmark285"/>
      <w:bookmarkStart w:id="286" w:name="bookmark286"/>
      <w:bookmarkStart w:id="287" w:name="bookmark287"/>
      <w:r>
        <w:rPr>
          <w:color w:val="000000"/>
          <w:spacing w:val="0"/>
          <w:w w:val="100"/>
          <w:position w:val="0"/>
        </w:rPr>
        <w:t>第五节重要事项</w:t>
      </w:r>
      <w:bookmarkEnd w:id="285"/>
      <w:bookmarkEnd w:id="286"/>
      <w:bookmarkEnd w:id="287"/>
    </w:p>
    <w:p>
      <w:pPr>
        <w:pStyle w:val="Style42"/>
        <w:keepNext/>
        <w:keepLines/>
        <w:widowControl w:val="0"/>
        <w:shd w:val="clear" w:color="auto" w:fill="auto"/>
        <w:bidi w:val="0"/>
        <w:spacing w:before="0" w:after="200" w:line="467" w:lineRule="exact"/>
        <w:ind w:left="0" w:right="0" w:firstLine="720"/>
        <w:jc w:val="both"/>
      </w:pPr>
      <w:bookmarkStart w:id="288" w:name="bookmark288"/>
      <w:bookmarkStart w:id="289" w:name="bookmark289"/>
      <w:bookmarkStart w:id="290" w:name="bookmark290"/>
      <w:bookmarkStart w:id="291" w:name="bookmark291"/>
      <w:r>
        <w:rPr>
          <w:color w:val="000000"/>
          <w:spacing w:val="0"/>
          <w:w w:val="100"/>
          <w:position w:val="0"/>
        </w:rPr>
        <w:t>一</w:t>
      </w:r>
      <w:bookmarkEnd w:id="290"/>
      <w:r>
        <w:rPr>
          <w:color w:val="000000"/>
          <w:spacing w:val="0"/>
          <w:w w:val="100"/>
          <w:position w:val="0"/>
        </w:rPr>
        <w:t>、公司普通股利润分配及资本公积金转增股本情况</w:t>
      </w:r>
      <w:bookmarkEnd w:id="288"/>
      <w:bookmarkEnd w:id="289"/>
      <w:bookmarkEnd w:id="291"/>
    </w:p>
    <w:p>
      <w:pPr>
        <w:pStyle w:val="Style44"/>
        <w:keepNext w:val="0"/>
        <w:keepLines w:val="0"/>
        <w:widowControl w:val="0"/>
        <w:shd w:val="clear" w:color="auto" w:fill="auto"/>
        <w:bidi w:val="0"/>
        <w:spacing w:before="0" w:after="0" w:line="467" w:lineRule="exact"/>
        <w:ind w:left="0" w:right="0" w:firstLine="720"/>
        <w:jc w:val="both"/>
      </w:pPr>
      <w:r>
        <w:rPr>
          <w:color w:val="000000"/>
          <w:spacing w:val="0"/>
          <w:w w:val="100"/>
          <w:position w:val="0"/>
        </w:rPr>
        <w:t>报告期内普通股利润分配政策，特别是现金分红政策的制定、执行或调整情况</w:t>
      </w:r>
    </w:p>
    <w:p>
      <w:pPr>
        <w:pStyle w:val="Style44"/>
        <w:keepNext w:val="0"/>
        <w:keepLines w:val="0"/>
        <w:widowControl w:val="0"/>
        <w:shd w:val="clear" w:color="auto" w:fill="auto"/>
        <w:bidi w:val="0"/>
        <w:spacing w:before="0" w:after="0" w:line="467" w:lineRule="exact"/>
        <w:ind w:left="0" w:right="0" w:firstLine="72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val="0"/>
        <w:keepLines w:val="0"/>
        <w:widowControl w:val="0"/>
        <w:shd w:val="clear" w:color="auto" w:fill="auto"/>
        <w:bidi w:val="0"/>
        <w:spacing w:before="0" w:after="0" w:line="467" w:lineRule="exact"/>
        <w:ind w:left="720" w:right="0" w:firstLine="520"/>
        <w:jc w:val="both"/>
      </w:pPr>
      <w:r>
        <w:rPr>
          <w:color w:val="000000"/>
          <w:spacing w:val="0"/>
          <w:w w:val="100"/>
          <w:position w:val="0"/>
        </w:rPr>
        <w:t>报告期内，公司严格按照相关利润分配政策和审议程序实施利润分配方案，分红标准和分 红比例明确、清晰，相关的决策程序和机制完备；相关议案经由公司董事会、监事会审议，公 司独立董事发表了独立意见，公司对包括利润分配方案在内的需股东大会审议事项，进行了现 场和网络投票表决，充分保护中小投资者合法权益。</w:t>
      </w:r>
    </w:p>
    <w:p>
      <w:pPr>
        <w:pStyle w:val="Style44"/>
        <w:keepNext w:val="0"/>
        <w:keepLines w:val="0"/>
        <w:widowControl w:val="0"/>
        <w:shd w:val="clear" w:color="auto" w:fill="auto"/>
        <w:bidi w:val="0"/>
        <w:spacing w:before="0" w:after="240" w:line="467" w:lineRule="exact"/>
        <w:ind w:left="720" w:right="0" w:firstLine="520"/>
        <w:jc w:val="both"/>
      </w:pPr>
      <w:r>
        <w:rPr>
          <w:color w:val="000000"/>
          <w:spacing w:val="0"/>
          <w:w w:val="100"/>
          <w:position w:val="0"/>
        </w:rPr>
        <w:t>报告期内现金分红的执行情况：由于</w:t>
      </w:r>
      <w:r>
        <w:rPr>
          <w:rFonts w:ascii="Times New Roman" w:eastAsia="Times New Roman" w:hAnsi="Times New Roman" w:cs="Times New Roman"/>
          <w:color w:val="000000"/>
          <w:spacing w:val="0"/>
          <w:w w:val="100"/>
          <w:position w:val="0"/>
        </w:rPr>
        <w:t>2019</w:t>
      </w:r>
      <w:r>
        <w:rPr>
          <w:color w:val="000000"/>
          <w:spacing w:val="0"/>
          <w:w w:val="100"/>
          <w:position w:val="0"/>
        </w:rPr>
        <w:t>年公司业绩亏损，</w:t>
      </w:r>
      <w:r>
        <w:rPr>
          <w:rFonts w:ascii="Times New Roman" w:eastAsia="Times New Roman" w:hAnsi="Times New Roman" w:cs="Times New Roman"/>
          <w:color w:val="000000"/>
          <w:spacing w:val="0"/>
          <w:w w:val="100"/>
          <w:position w:val="0"/>
        </w:rPr>
        <w:t>2019</w:t>
      </w:r>
      <w:r>
        <w:rPr>
          <w:color w:val="000000"/>
          <w:spacing w:val="0"/>
          <w:w w:val="100"/>
          <w:position w:val="0"/>
        </w:rPr>
        <w:t>年度实现的可分配利润为 负，根据《公司章程》及公司生产经营需要，</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年度利润分配方案为：</w:t>
      </w:r>
      <w:r>
        <w:rPr>
          <w:rFonts w:ascii="Times New Roman" w:eastAsia="Times New Roman" w:hAnsi="Times New Roman" w:cs="Times New Roman"/>
          <w:color w:val="000000"/>
          <w:spacing w:val="0"/>
          <w:w w:val="100"/>
          <w:position w:val="0"/>
        </w:rPr>
        <w:t>2019</w:t>
      </w:r>
      <w:r>
        <w:rPr>
          <w:color w:val="000000"/>
          <w:spacing w:val="0"/>
          <w:w w:val="100"/>
          <w:position w:val="0"/>
        </w:rPr>
        <w:t>度不进行利润分 配，也不进行资本公积金转增股本。本利润分配方案已经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日召开的第四届董事 会第十八次会议和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w:t>
      </w:r>
    </w:p>
    <w:tbl>
      <w:tblPr>
        <w:tblOverlap w:val="never"/>
        <w:jc w:val="center"/>
        <w:tblLayout w:type="fixed"/>
      </w:tblPr>
      <w:tblGrid>
        <w:gridCol w:w="7483"/>
        <w:gridCol w:w="2098"/>
      </w:tblGrid>
      <w:tr>
        <w:trPr>
          <w:trHeight w:val="52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现金分红政策的专项说明</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2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不适用</w:t>
            </w:r>
          </w:p>
        </w:tc>
      </w:tr>
    </w:tbl>
    <w:p>
      <w:pPr>
        <w:widowControl w:val="0"/>
        <w:spacing w:after="199" w:line="1" w:lineRule="exact"/>
      </w:pPr>
    </w:p>
    <w:p>
      <w:pPr>
        <w:pStyle w:val="Style44"/>
        <w:keepNext w:val="0"/>
        <w:keepLines w:val="0"/>
        <w:widowControl w:val="0"/>
        <w:shd w:val="clear" w:color="auto" w:fill="auto"/>
        <w:bidi w:val="0"/>
        <w:spacing w:before="0" w:after="120" w:line="307" w:lineRule="exact"/>
        <w:ind w:left="720" w:right="0" w:firstLine="40"/>
        <w:jc w:val="both"/>
      </w:pPr>
      <w:r>
        <w:rPr>
          <w:color w:val="000000"/>
          <w:spacing w:val="0"/>
          <w:w w:val="100"/>
          <w:position w:val="0"/>
        </w:rPr>
        <w:t>公司报告期利润分配预案及资本公积金转增股本预案与公司章程和分红管理办法等的相关规定 一致</w:t>
      </w:r>
    </w:p>
    <w:p>
      <w:pPr>
        <w:pStyle w:val="Style44"/>
        <w:keepNext w:val="0"/>
        <w:keepLines w:val="0"/>
        <w:widowControl w:val="0"/>
        <w:shd w:val="clear" w:color="auto" w:fill="auto"/>
        <w:bidi w:val="0"/>
        <w:spacing w:before="0" w:after="200" w:line="307" w:lineRule="exact"/>
        <w:ind w:left="0" w:right="0" w:firstLine="720"/>
        <w:jc w:val="both"/>
      </w:pPr>
      <w:r>
        <w:rPr>
          <w:color w:val="000000"/>
          <w:spacing w:val="0"/>
          <w:w w:val="100"/>
          <w:position w:val="0"/>
        </w:rPr>
        <w:t>寸</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44"/>
        <w:keepNext w:val="0"/>
        <w:keepLines w:val="0"/>
        <w:widowControl w:val="0"/>
        <w:shd w:val="clear" w:color="auto" w:fill="auto"/>
        <w:bidi w:val="0"/>
        <w:spacing w:before="0" w:after="500" w:line="307" w:lineRule="exact"/>
        <w:ind w:left="0" w:right="0" w:firstLine="720"/>
        <w:jc w:val="both"/>
      </w:pPr>
      <w:r>
        <w:rPr>
          <w:color w:val="000000"/>
          <w:spacing w:val="0"/>
          <w:w w:val="100"/>
          <w:position w:val="0"/>
        </w:rPr>
        <w:t>公司报告期利润分配预案及资本公积金转增股本预案符合公司章程等的相关规定。</w:t>
      </w:r>
    </w:p>
    <w:p>
      <w:pPr>
        <w:pStyle w:val="Style38"/>
        <w:keepNext w:val="0"/>
        <w:keepLines w:val="0"/>
        <w:widowControl w:val="0"/>
        <w:shd w:val="clear" w:color="auto" w:fill="auto"/>
        <w:bidi w:val="0"/>
        <w:spacing w:before="0" w:after="0" w:line="240" w:lineRule="auto"/>
        <w:ind w:left="24" w:right="0" w:firstLine="0"/>
        <w:jc w:val="left"/>
        <w:rPr>
          <w:sz w:val="20"/>
          <w:szCs w:val="20"/>
        </w:rPr>
      </w:pPr>
      <w:r>
        <w:rPr>
          <w:color w:val="000000"/>
          <w:spacing w:val="0"/>
          <w:w w:val="100"/>
          <w:position w:val="0"/>
          <w:sz w:val="20"/>
          <w:szCs w:val="20"/>
        </w:rPr>
        <w:t>本年度利润分配及资本公积金转增股本预案</w:t>
      </w:r>
    </w:p>
    <w:tbl>
      <w:tblPr>
        <w:tblOverlap w:val="never"/>
        <w:jc w:val="center"/>
        <w:tblLayout w:type="fixed"/>
      </w:tblPr>
      <w:tblGrid>
        <w:gridCol w:w="4118"/>
        <w:gridCol w:w="5539"/>
      </w:tblGrid>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52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股派息数（元）（含税）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4118"/>
        <w:gridCol w:w="5539"/>
      </w:tblGrid>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557,615,000</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r>
      <w:tr>
        <w:trPr>
          <w:trHeight w:val="8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以其他方式（如回购股份）现金分红金额</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-1,632,336,889.59</w:t>
            </w:r>
          </w:p>
        </w:tc>
      </w:tr>
      <w:tr>
        <w:trPr>
          <w:trHeight w:val="81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5" w:lineRule="exact"/>
              <w:ind w:left="0" w:right="0" w:firstLine="0"/>
              <w:jc w:val="left"/>
              <w:rPr>
                <w:sz w:val="20"/>
                <w:szCs w:val="20"/>
              </w:rPr>
            </w:pPr>
            <w:r>
              <w:rPr>
                <w:color w:val="000000"/>
                <w:spacing w:val="0"/>
                <w:w w:val="100"/>
                <w:position w:val="0"/>
                <w:sz w:val="20"/>
                <w:szCs w:val="20"/>
              </w:rPr>
              <w:t>现金分红总额（含其他方式）占利润分配 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1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本次现金分红情况</w:t>
            </w:r>
          </w:p>
        </w:tc>
      </w:tr>
      <w:tr>
        <w:trPr>
          <w:trHeight w:val="51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r>
        <w:trPr>
          <w:trHeight w:val="52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利润分配或资本公积金转增预案的详细情况说明</w:t>
            </w:r>
          </w:p>
        </w:tc>
      </w:tr>
      <w:tr>
        <w:trPr>
          <w:trHeight w:val="2438"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469" w:lineRule="exact"/>
              <w:ind w:left="0" w:right="0" w:firstLine="580"/>
              <w:jc w:val="left"/>
              <w:rPr>
                <w:sz w:val="20"/>
                <w:szCs w:val="20"/>
              </w:rPr>
            </w:pPr>
            <w:r>
              <w:rPr>
                <w:color w:val="000000"/>
                <w:spacing w:val="0"/>
                <w:w w:val="100"/>
                <w:position w:val="0"/>
                <w:sz w:val="20"/>
                <w:szCs w:val="20"/>
              </w:rPr>
              <w:t>公司于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23</w:t>
            </w:r>
            <w:r>
              <w:rPr>
                <w:color w:val="000000"/>
                <w:spacing w:val="0"/>
                <w:w w:val="100"/>
                <w:position w:val="0"/>
                <w:sz w:val="20"/>
                <w:szCs w:val="20"/>
              </w:rPr>
              <w:t>日召开第四届董事会第二十五次会议审议通过《</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年度利润分配预案》： 由于公司累计可供分配利润为负值，无法满足公司章程中实施利润分配及现金分红的相关条件，同时 为了保障公司持续发展、平稳运营，</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年度拟不进行利润分配，亦不进行资本公积金转增股本和 其他形式的分配。预案符合公司章程及审议程序的规定，充分保护中小投资者的合法权益，已由独立 董事发表意见。此分配方案尚需提交</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年度股东大会审议。</w:t>
            </w:r>
          </w:p>
        </w:tc>
      </w:tr>
    </w:tbl>
    <w:p>
      <w:pPr>
        <w:widowControl w:val="0"/>
        <w:spacing w:after="159" w:line="1" w:lineRule="exact"/>
      </w:pPr>
    </w:p>
    <w:p>
      <w:pPr>
        <w:pStyle w:val="Style44"/>
        <w:keepNext w:val="0"/>
        <w:keepLines w:val="0"/>
        <w:widowControl w:val="0"/>
        <w:shd w:val="clear" w:color="auto" w:fill="auto"/>
        <w:bidi w:val="0"/>
        <w:spacing w:before="0" w:after="0" w:line="365" w:lineRule="exact"/>
        <w:ind w:left="720" w:right="0" w:firstLine="40"/>
        <w:jc w:val="left"/>
      </w:pPr>
      <w:r>
        <w:rPr>
          <w:color w:val="000000"/>
          <w:spacing w:val="0"/>
          <w:w w:val="100"/>
          <w:position w:val="0"/>
        </w:rPr>
        <w:t>公司近三年（包括本报告期）的普通股股利分配方案（预案）、资本公积金转增股本方案（预案） 情况</w:t>
      </w:r>
    </w:p>
    <w:p>
      <w:pPr>
        <w:pStyle w:val="Style44"/>
        <w:keepNext w:val="0"/>
        <w:keepLines w:val="0"/>
        <w:widowControl w:val="0"/>
        <w:shd w:val="clear" w:color="auto" w:fill="auto"/>
        <w:bidi w:val="0"/>
        <w:spacing w:before="0" w:after="40" w:line="454" w:lineRule="exact"/>
        <w:ind w:left="720" w:right="0" w:firstLine="52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日召开的第四届董事会十次会议审议通过《</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年度利润分配预案》：由于 </w:t>
      </w:r>
      <w:r>
        <w:rPr>
          <w:rFonts w:ascii="Times New Roman" w:eastAsia="Times New Roman" w:hAnsi="Times New Roman" w:cs="Times New Roman"/>
          <w:color w:val="000000"/>
          <w:spacing w:val="0"/>
          <w:w w:val="100"/>
          <w:position w:val="0"/>
        </w:rPr>
        <w:t>2018</w:t>
      </w:r>
      <w:r>
        <w:rPr>
          <w:color w:val="000000"/>
          <w:spacing w:val="0"/>
          <w:w w:val="100"/>
          <w:position w:val="0"/>
        </w:rPr>
        <w:t>年公司业绩亏损，</w:t>
      </w:r>
      <w:r>
        <w:rPr>
          <w:rFonts w:ascii="Times New Roman" w:eastAsia="Times New Roman" w:hAnsi="Times New Roman" w:cs="Times New Roman"/>
          <w:color w:val="000000"/>
          <w:spacing w:val="0"/>
          <w:w w:val="100"/>
          <w:position w:val="0"/>
        </w:rPr>
        <w:t>2018</w:t>
      </w:r>
      <w:r>
        <w:rPr>
          <w:color w:val="000000"/>
          <w:spacing w:val="0"/>
          <w:w w:val="100"/>
          <w:position w:val="0"/>
        </w:rPr>
        <w:t>年度实现的可分配利润为负，因此本年度不进行利润分配，也不进 行资本公积转增股本。</w:t>
      </w:r>
    </w:p>
    <w:p>
      <w:pPr>
        <w:pStyle w:val="Style44"/>
        <w:keepNext w:val="0"/>
        <w:keepLines w:val="0"/>
        <w:widowControl w:val="0"/>
        <w:shd w:val="clear" w:color="auto" w:fill="auto"/>
        <w:bidi w:val="0"/>
        <w:spacing w:before="0" w:after="40" w:line="475" w:lineRule="exact"/>
        <w:ind w:left="720" w:right="0" w:firstLine="5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日召开的第四届董事会十八次会议审议通过《</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年度利润分配预案》：由 于</w:t>
      </w:r>
      <w:r>
        <w:rPr>
          <w:rFonts w:ascii="Times New Roman" w:eastAsia="Times New Roman" w:hAnsi="Times New Roman" w:cs="Times New Roman"/>
          <w:color w:val="000000"/>
          <w:spacing w:val="0"/>
          <w:w w:val="100"/>
          <w:position w:val="0"/>
        </w:rPr>
        <w:t>2019</w:t>
      </w:r>
      <w:r>
        <w:rPr>
          <w:color w:val="000000"/>
          <w:spacing w:val="0"/>
          <w:w w:val="100"/>
          <w:position w:val="0"/>
        </w:rPr>
        <w:t>年公司业绩亏损，</w:t>
      </w:r>
      <w:r>
        <w:rPr>
          <w:rFonts w:ascii="Times New Roman" w:eastAsia="Times New Roman" w:hAnsi="Times New Roman" w:cs="Times New Roman"/>
          <w:color w:val="000000"/>
          <w:spacing w:val="0"/>
          <w:w w:val="100"/>
          <w:position w:val="0"/>
        </w:rPr>
        <w:t>2019</w:t>
      </w:r>
      <w:r>
        <w:rPr>
          <w:color w:val="000000"/>
          <w:spacing w:val="0"/>
          <w:w w:val="100"/>
          <w:position w:val="0"/>
        </w:rPr>
        <w:t>年度实现的可分配利润为负，因此本年度不进行利润分配，也不 进行资本公积转增股本。</w:t>
      </w:r>
    </w:p>
    <w:p>
      <w:pPr>
        <w:pStyle w:val="Style44"/>
        <w:keepNext w:val="0"/>
        <w:keepLines w:val="0"/>
        <w:widowControl w:val="0"/>
        <w:shd w:val="clear" w:color="auto" w:fill="auto"/>
        <w:bidi w:val="0"/>
        <w:spacing w:before="0" w:after="100" w:line="462" w:lineRule="exact"/>
        <w:ind w:left="720" w:right="0" w:firstLine="5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日召开的第四届董事会二十五次会议审议通过《</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 由于公司累计可供分配利润为负值，无法满足公司章程中实施利润分配及现金分红的相关条件, 同时为了保障公司持续发展、平稳运营，</w:t>
      </w:r>
      <w:r>
        <w:rPr>
          <w:rFonts w:ascii="Times New Roman" w:eastAsia="Times New Roman" w:hAnsi="Times New Roman" w:cs="Times New Roman"/>
          <w:color w:val="000000"/>
          <w:spacing w:val="0"/>
          <w:w w:val="100"/>
          <w:position w:val="0"/>
        </w:rPr>
        <w:t>2020</w:t>
      </w:r>
      <w:r>
        <w:rPr>
          <w:color w:val="000000"/>
          <w:spacing w:val="0"/>
          <w:w w:val="100"/>
          <w:position w:val="0"/>
        </w:rPr>
        <w:t>年度拟不进行利润分配，亦不进行资本公积金转 增股本和其他形式的分配。此分配方案尚需提交</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年度股东大会审议。</w:t>
      </w:r>
      <w:r>
        <w:br w:type="page"/>
      </w:r>
    </w:p>
    <w:p>
      <w:pPr>
        <w:pStyle w:val="Style44"/>
        <w:keepNext w:val="0"/>
        <w:keepLines w:val="0"/>
        <w:widowControl w:val="0"/>
        <w:shd w:val="clear" w:color="auto" w:fill="auto"/>
        <w:bidi w:val="0"/>
        <w:spacing w:before="0" w:after="100" w:line="240" w:lineRule="auto"/>
        <w:ind w:left="0" w:right="0" w:firstLine="780"/>
        <w:jc w:val="left"/>
        <w:rPr>
          <w:sz w:val="20"/>
          <w:szCs w:val="20"/>
        </w:rPr>
      </w:pPr>
      <w:r>
        <w:rPr>
          <w:color w:val="000000"/>
          <w:spacing w:val="0"/>
          <w:w w:val="100"/>
          <w:position w:val="0"/>
          <w:sz w:val="20"/>
          <w:szCs w:val="20"/>
        </w:rPr>
        <w:t>公司近三年（包括本报告期）普通股现金分红情况表</w:t>
      </w:r>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205"/>
        <w:gridCol w:w="610"/>
        <w:gridCol w:w="1877"/>
        <w:gridCol w:w="1416"/>
        <w:gridCol w:w="994"/>
        <w:gridCol w:w="1560"/>
        <w:gridCol w:w="850"/>
        <w:gridCol w:w="1531"/>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现金 分红 金额</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（含 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20"/>
                <w:szCs w:val="20"/>
              </w:rPr>
            </w:pPr>
            <w:r>
              <w:rPr>
                <w:color w:val="000000"/>
                <w:spacing w:val="0"/>
                <w:w w:val="100"/>
                <w:position w:val="0"/>
                <w:sz w:val="20"/>
                <w:szCs w:val="20"/>
              </w:rPr>
              <w:t>分红年度合并报表 中归属于上市公司 普通股股东的净利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20"/>
                <w:szCs w:val="20"/>
              </w:rPr>
            </w:pPr>
            <w:r>
              <w:rPr>
                <w:color w:val="000000"/>
                <w:spacing w:val="0"/>
                <w:w w:val="100"/>
                <w:position w:val="0"/>
                <w:sz w:val="20"/>
                <w:szCs w:val="2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20"/>
                <w:szCs w:val="20"/>
              </w:rPr>
            </w:pPr>
            <w:r>
              <w:rPr>
                <w:color w:val="000000"/>
                <w:spacing w:val="0"/>
                <w:w w:val="100"/>
                <w:position w:val="0"/>
                <w:sz w:val="20"/>
                <w:szCs w:val="20"/>
              </w:rPr>
              <w:t>以其他方 式（如回 购股份） 现金分红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以其他方式现金 分红金额占合并 报表中归属于上 市公司普通股股 东的净利润的比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现金分 红总额</w:t>
            </w:r>
          </w:p>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（含其 他方式）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现金分红总额 （含其他方式） 占合并报表中 归属于上市公 司普通股股东 的净利润的比 率</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11,234,770.54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2019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103,920,641.64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r>
      <w:tr>
        <w:trPr>
          <w:trHeight w:val="52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-1,614,259,415.68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r>
    </w:tbl>
    <w:p>
      <w:pPr>
        <w:widowControl w:val="0"/>
        <w:spacing w:after="499" w:line="1" w:lineRule="exact"/>
      </w:pPr>
    </w:p>
    <w:p>
      <w:pPr>
        <w:pStyle w:val="Style44"/>
        <w:keepNext w:val="0"/>
        <w:keepLines w:val="0"/>
        <w:widowControl w:val="0"/>
        <w:shd w:val="clear" w:color="auto" w:fill="auto"/>
        <w:bidi w:val="0"/>
        <w:spacing w:before="0" w:after="200" w:line="322" w:lineRule="exact"/>
        <w:ind w:left="0" w:right="0" w:firstLine="780"/>
        <w:jc w:val="left"/>
      </w:pPr>
      <w:r>
        <w:rPr>
          <w:color w:val="000000"/>
          <w:spacing w:val="0"/>
          <w:w w:val="100"/>
          <w:position w:val="0"/>
        </w:rPr>
        <w:t>公司报告期内盈利且母公司可供普通股股东分配利润为正但未提出普通股现金红利分配预案</w:t>
      </w:r>
    </w:p>
    <w:p>
      <w:pPr>
        <w:pStyle w:val="Style44"/>
        <w:keepNext w:val="0"/>
        <w:keepLines w:val="0"/>
        <w:widowControl w:val="0"/>
        <w:shd w:val="clear" w:color="auto" w:fill="auto"/>
        <w:bidi w:val="0"/>
        <w:spacing w:before="0" w:after="280" w:line="305" w:lineRule="auto"/>
        <w:ind w:left="0" w:right="0" w:firstLine="7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2"/>
        <w:keepNext/>
        <w:keepLines/>
        <w:widowControl w:val="0"/>
        <w:shd w:val="clear" w:color="auto" w:fill="auto"/>
        <w:bidi w:val="0"/>
        <w:spacing w:before="0" w:after="280" w:line="322" w:lineRule="exact"/>
        <w:ind w:left="0" w:right="0" w:firstLine="780"/>
        <w:jc w:val="left"/>
      </w:pPr>
      <w:bookmarkStart w:id="292" w:name="bookmark292"/>
      <w:bookmarkStart w:id="293" w:name="bookmark293"/>
      <w:bookmarkStart w:id="294" w:name="bookmark294"/>
      <w:bookmarkStart w:id="295" w:name="bookmark295"/>
      <w:r>
        <w:rPr>
          <w:color w:val="000000"/>
          <w:spacing w:val="0"/>
          <w:w w:val="100"/>
          <w:position w:val="0"/>
        </w:rPr>
        <w:t>二</w:t>
      </w:r>
      <w:bookmarkEnd w:id="294"/>
      <w:r>
        <w:rPr>
          <w:color w:val="000000"/>
          <w:spacing w:val="0"/>
          <w:w w:val="100"/>
          <w:position w:val="0"/>
        </w:rPr>
        <w:t>、承诺事项履行情况</w:t>
      </w:r>
      <w:bookmarkEnd w:id="292"/>
      <w:bookmarkEnd w:id="293"/>
      <w:bookmarkEnd w:id="295"/>
    </w:p>
    <w:p>
      <w:pPr>
        <w:pStyle w:val="Style52"/>
        <w:keepNext/>
        <w:keepLines/>
        <w:widowControl w:val="0"/>
        <w:shd w:val="clear" w:color="auto" w:fill="auto"/>
        <w:bidi w:val="0"/>
        <w:spacing w:before="0" w:after="340" w:line="322" w:lineRule="exact"/>
        <w:ind w:left="780" w:right="0" w:firstLine="0"/>
        <w:jc w:val="left"/>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1</w:t>
      </w:r>
      <w:bookmarkEnd w:id="298"/>
      <w:r>
        <w:rPr>
          <w:color w:val="000000"/>
          <w:spacing w:val="0"/>
          <w:w w:val="100"/>
          <w:position w:val="0"/>
        </w:rPr>
        <w:t>、公司、股东、实际控制人、收购人、董事、监事、高级管理人员或其他关联方在报告期内履 行完毕及截至报告期末尚未履行完毕的承诺事项</w:t>
      </w:r>
      <w:bookmarkEnd w:id="296"/>
      <w:bookmarkEnd w:id="297"/>
      <w:bookmarkEnd w:id="299"/>
    </w:p>
    <w:p>
      <w:pPr>
        <w:pStyle w:val="Style38"/>
        <w:keepNext w:val="0"/>
        <w:keepLines w:val="0"/>
        <w:widowControl w:val="0"/>
        <w:shd w:val="clear" w:color="auto" w:fill="auto"/>
        <w:bidi w:val="0"/>
        <w:spacing w:before="0" w:after="0" w:line="322" w:lineRule="exact"/>
        <w:ind w:left="264"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109"/>
        <w:gridCol w:w="994"/>
        <w:gridCol w:w="1133"/>
        <w:gridCol w:w="4142"/>
        <w:gridCol w:w="883"/>
        <w:gridCol w:w="893"/>
        <w:gridCol w:w="91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承诺时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承诺期 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履行情况</w:t>
            </w:r>
          </w:p>
        </w:tc>
      </w:tr>
      <w:tr>
        <w:trPr>
          <w:trHeight w:val="137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资产重组 时所作承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鲍海友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业绩承诺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年度、</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年度斯诺实业实现的扣除非 经常性损益后归属于母公司股东的净利润不 低于人民币</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亿元、</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亿元。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2018-01</w:t>
              <w:softHyphen/>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2019-12</w:t>
              <w:softHyphen/>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尚未完成</w:t>
            </w:r>
          </w:p>
        </w:tc>
      </w:tr>
      <w:tr>
        <w:trPr>
          <w:trHeight w:val="3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李科奕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317" w:val="left"/>
              </w:tabs>
              <w:bidi w:val="0"/>
              <w:spacing w:before="0" w:after="0" w:line="35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财务指标</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年度，华夏芯经审计的销 售收入不低于人民币</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年度， 经审计的销售收入不低于人民币</w:t>
            </w:r>
            <w:r>
              <w:rPr>
                <w:rFonts w:ascii="Times New Roman" w:eastAsia="Times New Roman" w:hAnsi="Times New Roman" w:cs="Times New Roman"/>
                <w:color w:val="000000"/>
                <w:spacing w:val="0"/>
                <w:w w:val="100"/>
                <w:position w:val="0"/>
                <w:sz w:val="20"/>
                <w:szCs w:val="20"/>
              </w:rPr>
              <w:t>7,000</w:t>
            </w:r>
            <w:r>
              <w:rPr>
                <w:color w:val="000000"/>
                <w:spacing w:val="0"/>
                <w:w w:val="100"/>
                <w:position w:val="0"/>
                <w:sz w:val="20"/>
                <w:szCs w:val="20"/>
              </w:rPr>
              <w:t>万元。</w:t>
            </w:r>
          </w:p>
          <w:p>
            <w:pPr>
              <w:pStyle w:val="Style2"/>
              <w:keepNext w:val="0"/>
              <w:keepLines w:val="0"/>
              <w:widowControl w:val="0"/>
              <w:shd w:val="clear" w:color="auto" w:fill="auto"/>
              <w:tabs>
                <w:tab w:pos="307" w:val="left"/>
              </w:tabs>
              <w:bidi w:val="0"/>
              <w:spacing w:before="0" w:after="0" w:line="355"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运营指标（</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年：华夏芯</w:t>
            </w:r>
            <w:r>
              <w:rPr>
                <w:rFonts w:ascii="Times New Roman" w:eastAsia="Times New Roman" w:hAnsi="Times New Roman" w:cs="Times New Roman"/>
                <w:color w:val="000000"/>
                <w:spacing w:val="0"/>
                <w:w w:val="100"/>
                <w:position w:val="0"/>
                <w:sz w:val="20"/>
                <w:szCs w:val="20"/>
              </w:rPr>
              <w:t>SoC</w:t>
            </w:r>
            <w:r>
              <w:rPr>
                <w:color w:val="000000"/>
                <w:spacing w:val="0"/>
                <w:w w:val="100"/>
                <w:position w:val="0"/>
                <w:sz w:val="20"/>
                <w:szCs w:val="20"/>
              </w:rPr>
              <w:t>产品</w:t>
            </w:r>
          </w:p>
          <w:p>
            <w:pPr>
              <w:pStyle w:val="Style2"/>
              <w:keepNext w:val="0"/>
              <w:keepLines w:val="0"/>
              <w:widowControl w:val="0"/>
              <w:shd w:val="clear" w:color="auto" w:fill="auto"/>
              <w:tabs>
                <w:tab w:pos="3706" w:val="left"/>
              </w:tabs>
              <w:bidi w:val="0"/>
              <w:spacing w:before="0" w:after="0" w:line="355" w:lineRule="exact"/>
              <w:ind w:left="0" w:right="0" w:firstLine="0"/>
              <w:jc w:val="both"/>
              <w:rPr>
                <w:sz w:val="20"/>
                <w:szCs w:val="20"/>
              </w:rPr>
            </w:pPr>
            <w:r>
              <w:rPr>
                <w:color w:val="000000"/>
                <w:spacing w:val="0"/>
                <w:w w:val="100"/>
                <w:position w:val="0"/>
                <w:sz w:val="20"/>
                <w:szCs w:val="20"/>
              </w:rPr>
              <w:t>流片的时间不得晚于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tab/>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r>
          </w:p>
          <w:p>
            <w:pPr>
              <w:pStyle w:val="Style2"/>
              <w:keepNext w:val="0"/>
              <w:keepLines w:val="0"/>
              <w:widowControl w:val="0"/>
              <w:shd w:val="clear" w:color="auto" w:fill="auto"/>
              <w:bidi w:val="0"/>
              <w:spacing w:before="0" w:after="0" w:line="355" w:lineRule="exact"/>
              <w:ind w:left="0" w:right="0" w:firstLine="0"/>
              <w:jc w:val="both"/>
              <w:rPr>
                <w:sz w:val="20"/>
                <w:szCs w:val="20"/>
              </w:rPr>
            </w:pPr>
            <w:r>
              <w:rPr>
                <w:color w:val="000000"/>
                <w:spacing w:val="0"/>
                <w:w w:val="100"/>
                <w:position w:val="0"/>
                <w:sz w:val="20"/>
                <w:szCs w:val="20"/>
              </w:rPr>
              <w:t>产品测试验证时间不晚于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31 </w:t>
            </w:r>
            <w:r>
              <w:rPr>
                <w:rFonts w:ascii="Times New Roman" w:eastAsia="Times New Roman" w:hAnsi="Times New Roman" w:cs="Times New Roman"/>
                <w:color w:val="000000"/>
                <w:spacing w:val="0"/>
                <w:w w:val="100"/>
                <w:position w:val="0"/>
                <w:sz w:val="20"/>
                <w:szCs w:val="20"/>
              </w:rPr>
              <w:t xml:space="preserve">0, </w:t>
            </w:r>
            <w:r>
              <w:rPr>
                <w:color w:val="000000"/>
                <w:spacing w:val="0"/>
                <w:w w:val="100"/>
                <w:position w:val="0"/>
                <w:sz w:val="20"/>
                <w:szCs w:val="20"/>
              </w:rPr>
              <w:t xml:space="preserve">产品测试验证结果需要达到可销售水平；在 </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IP</w:t>
            </w:r>
            <w:r>
              <w:rPr>
                <w:color w:val="000000"/>
                <w:spacing w:val="0"/>
                <w:w w:val="100"/>
                <w:position w:val="0"/>
                <w:sz w:val="20"/>
                <w:szCs w:val="20"/>
              </w:rPr>
              <w:t>实现对外授权许可销售。</w:t>
            </w:r>
          </w:p>
          <w:p>
            <w:pPr>
              <w:pStyle w:val="Style2"/>
              <w:keepNext w:val="0"/>
              <w:keepLines w:val="0"/>
              <w:widowControl w:val="0"/>
              <w:shd w:val="clear" w:color="auto" w:fill="auto"/>
              <w:bidi w:val="0"/>
              <w:spacing w:before="0" w:after="0" w:line="370"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年：华夏芯在重点目标行业至少完 成一家全国行业排名前三的重点客户订单锁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2018-06</w:t>
              <w:softHyphen/>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2019-12</w:t>
              <w:softHyphen/>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3"/>
              </w:numPr>
              <w:shd w:val="clear" w:color="auto" w:fill="auto"/>
              <w:tabs>
                <w:tab w:pos="648" w:val="left"/>
              </w:tabs>
              <w:bidi w:val="0"/>
              <w:spacing w:before="0" w:after="0" w:line="319" w:lineRule="exact"/>
              <w:ind w:left="0" w:right="0" w:firstLine="0"/>
              <w:jc w:val="both"/>
              <w:rPr>
                <w:sz w:val="20"/>
                <w:szCs w:val="20"/>
              </w:rPr>
            </w:pPr>
            <w:r>
              <w:rPr>
                <w:color w:val="000000"/>
                <w:spacing w:val="0"/>
                <w:w w:val="100"/>
                <w:position w:val="0"/>
                <w:sz w:val="20"/>
                <w:szCs w:val="20"/>
              </w:rPr>
              <w:t>年 度已履行 完毕，</w:t>
            </w:r>
          </w:p>
          <w:p>
            <w:pPr>
              <w:pStyle w:val="Style2"/>
              <w:keepNext w:val="0"/>
              <w:keepLines w:val="0"/>
              <w:widowControl w:val="0"/>
              <w:numPr>
                <w:ilvl w:val="0"/>
                <w:numId w:val="3"/>
              </w:numPr>
              <w:shd w:val="clear" w:color="auto" w:fill="auto"/>
              <w:tabs>
                <w:tab w:pos="648" w:val="left"/>
              </w:tabs>
              <w:bidi w:val="0"/>
              <w:spacing w:before="0" w:after="0" w:line="316" w:lineRule="exact"/>
              <w:ind w:left="0" w:right="0" w:firstLine="0"/>
              <w:jc w:val="both"/>
              <w:rPr>
                <w:sz w:val="20"/>
                <w:szCs w:val="20"/>
              </w:rPr>
            </w:pPr>
            <w:r>
              <w:rPr>
                <w:color w:val="000000"/>
                <w:spacing w:val="0"/>
                <w:w w:val="100"/>
                <w:position w:val="0"/>
                <w:sz w:val="20"/>
                <w:szCs w:val="20"/>
              </w:rPr>
              <w:t>年 度未完 成，已于 报告期内 支付业绩 补偿款。</w:t>
            </w:r>
          </w:p>
        </w:tc>
      </w:tr>
    </w:tbl>
    <w:p>
      <w:pPr>
        <w:sectPr>
          <w:footnotePr>
            <w:pos w:val="pageBottom"/>
            <w:numFmt w:val="decimal"/>
            <w:numRestart w:val="continuous"/>
          </w:footnotePr>
          <w:pgSz w:w="11900" w:h="16840"/>
          <w:pgMar w:top="1268" w:right="347" w:bottom="1614" w:left="489" w:header="0" w:footer="3" w:gutter="0"/>
          <w:cols w:space="720"/>
          <w:noEndnote/>
          <w:rtlGutter w:val="0"/>
          <w:docGrid w:linePitch="360"/>
        </w:sectPr>
      </w:pPr>
    </w:p>
    <w:p>
      <w:pPr>
        <w:widowControl w:val="0"/>
        <w:spacing w:line="1" w:lineRule="exact"/>
      </w:pPr>
      <w:r>
        <mc:AlternateContent>
          <mc:Choice Requires="wps">
            <w:drawing>
              <wp:anchor distT="0" distB="2962275" distL="0" distR="0" simplePos="0" relativeHeight="125829380" behindDoc="0" locked="0" layoutInCell="1" allowOverlap="1">
                <wp:simplePos x="0" y="0"/>
                <wp:positionH relativeFrom="page">
                  <wp:posOffset>636905</wp:posOffset>
                </wp:positionH>
                <wp:positionV relativeFrom="paragraph">
                  <wp:posOffset>1313815</wp:posOffset>
                </wp:positionV>
                <wp:extent cx="692150" cy="368935"/>
                <wp:wrapSquare wrapText="right"/>
                <wp:docPr id="104" name="Shape 104"/>
                <a:graphic xmlns:a="http://schemas.openxmlformats.org/drawingml/2006/main">
                  <a:graphicData uri="http://schemas.microsoft.com/office/word/2010/wordprocessingShape">
                    <wps:wsp>
                      <wps:cNvSpPr txBox="1"/>
                      <wps:spPr>
                        <a:xfrm>
                          <a:ext cx="692150" cy="368935"/>
                        </a:xfrm>
                        <a:prstGeom prst="rect"/>
                        <a:noFill/>
                      </wps:spPr>
                      <wps:txbx>
                        <w:txbxContent>
                          <w:p>
                            <w:pPr>
                              <w:pStyle w:val="Style44"/>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承诺是否</w:t>
                            </w:r>
                          </w:p>
                          <w:p>
                            <w:pPr>
                              <w:pStyle w:val="Style4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及时履行</w:t>
                            </w:r>
                          </w:p>
                        </w:txbxContent>
                      </wps:txbx>
                      <wps:bodyPr lIns="0" tIns="0" rIns="0" bIns="0">
                        <a:noAutoFit/>
                      </wps:bodyPr>
                    </wps:wsp>
                  </a:graphicData>
                </a:graphic>
              </wp:anchor>
            </w:drawing>
          </mc:Choice>
          <mc:Fallback>
            <w:pict>
              <v:shape id="_x0000_s1130" type="#_x0000_t202" style="position:absolute;margin-left:50.149999999999999pt;margin-top:103.45pt;width:54.5pt;height:29.050000000000001pt;z-index:-125829373;mso-wrap-distance-left:0;mso-wrap-distance-right:0;mso-wrap-distance-bottom:233.25pt;mso-position-horizontal-relative:page" filled="f" stroked="f">
                <v:textbox inset="0,0,0,0">
                  <w:txbxContent>
                    <w:p>
                      <w:pPr>
                        <w:pStyle w:val="Style44"/>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承诺是否</w:t>
                      </w:r>
                    </w:p>
                    <w:p>
                      <w:pPr>
                        <w:pStyle w:val="Style4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及时履行</w:t>
                      </w:r>
                    </w:p>
                  </w:txbxContent>
                </v:textbox>
                <w10:wrap type="square" side="right" anchorx="page"/>
              </v:shape>
            </w:pict>
          </mc:Fallback>
        </mc:AlternateContent>
      </w:r>
      <w:r>
        <mc:AlternateContent>
          <mc:Choice Requires="wps">
            <w:drawing>
              <wp:anchor distT="1511935" distB="813435" distL="3175" distR="0" simplePos="0" relativeHeight="125829382" behindDoc="0" locked="0" layoutInCell="1" allowOverlap="1">
                <wp:simplePos x="0" y="0"/>
                <wp:positionH relativeFrom="page">
                  <wp:posOffset>640080</wp:posOffset>
                </wp:positionH>
                <wp:positionV relativeFrom="paragraph">
                  <wp:posOffset>2825750</wp:posOffset>
                </wp:positionV>
                <wp:extent cx="688975" cy="1005840"/>
                <wp:wrapSquare wrapText="right"/>
                <wp:docPr id="106" name="Shape 106"/>
                <a:graphic xmlns:a="http://schemas.openxmlformats.org/drawingml/2006/main">
                  <a:graphicData uri="http://schemas.microsoft.com/office/word/2010/wordprocessingShape">
                    <wps:wsp>
                      <wps:cNvSpPr txBox="1"/>
                      <wps:spPr>
                        <a:xfrm>
                          <a:ext cx="688975" cy="1005840"/>
                        </a:xfrm>
                        <a:prstGeom prst="rect"/>
                        <a:noFill/>
                      </wps:spPr>
                      <wps:txbx>
                        <w:txbxContent>
                          <w:p>
                            <w:pPr>
                              <w:pStyle w:val="Style44"/>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20"/>
                                <w:szCs w:val="20"/>
                              </w:rPr>
                              <w:t>如承诺超 期未履行 完毕的，应 当详细说 明未完成</w:t>
                            </w:r>
                          </w:p>
                        </w:txbxContent>
                      </wps:txbx>
                      <wps:bodyPr lIns="0" tIns="0" rIns="0" bIns="0">
                        <a:noAutoFit/>
                      </wps:bodyPr>
                    </wps:wsp>
                  </a:graphicData>
                </a:graphic>
              </wp:anchor>
            </w:drawing>
          </mc:Choice>
          <mc:Fallback>
            <w:pict>
              <v:shape id="_x0000_s1132" type="#_x0000_t202" style="position:absolute;margin-left:50.399999999999999pt;margin-top:222.5pt;width:54.25pt;height:79.200000000000003pt;z-index:-125829371;mso-wrap-distance-left:0.25pt;mso-wrap-distance-top:119.05pt;mso-wrap-distance-right:0;mso-wrap-distance-bottom:64.049999999999997pt;mso-position-horizontal-relative:page" filled="f" stroked="f">
                <v:textbox inset="0,0,0,0">
                  <w:txbxContent>
                    <w:p>
                      <w:pPr>
                        <w:pStyle w:val="Style44"/>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20"/>
                          <w:szCs w:val="20"/>
                        </w:rPr>
                        <w:t>如承诺超 期未履行 完毕的，应 当详细说 明未完成</w:t>
                      </w:r>
                    </w:p>
                  </w:txbxContent>
                </v:textbox>
                <w10:wrap type="square" side="right" anchorx="page"/>
              </v:shape>
            </w:pict>
          </mc:Fallback>
        </mc:AlternateContent>
      </w:r>
      <w:r>
        <mc:AlternateContent>
          <mc:Choice Requires="wps">
            <w:drawing>
              <wp:anchor distT="2520950" distB="0" distL="0" distR="0" simplePos="0" relativeHeight="125829384" behindDoc="0" locked="0" layoutInCell="1" allowOverlap="1">
                <wp:simplePos x="0" y="0"/>
                <wp:positionH relativeFrom="page">
                  <wp:posOffset>636905</wp:posOffset>
                </wp:positionH>
                <wp:positionV relativeFrom="paragraph">
                  <wp:posOffset>3834765</wp:posOffset>
                </wp:positionV>
                <wp:extent cx="692150" cy="810895"/>
                <wp:wrapSquare wrapText="right"/>
                <wp:docPr id="108" name="Shape 108"/>
                <a:graphic xmlns:a="http://schemas.openxmlformats.org/drawingml/2006/main">
                  <a:graphicData uri="http://schemas.microsoft.com/office/word/2010/wordprocessingShape">
                    <wps:wsp>
                      <wps:cNvSpPr txBox="1"/>
                      <wps:spPr>
                        <a:xfrm>
                          <a:ext cx="692150" cy="810895"/>
                        </a:xfrm>
                        <a:prstGeom prst="rect"/>
                        <a:noFill/>
                      </wps:spPr>
                      <wps:txbx>
                        <w:txbxContent>
                          <w:p>
                            <w:pPr>
                              <w:pStyle w:val="Style44"/>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履行的具 体原因及 下一步的 工作计划</w:t>
                            </w:r>
                          </w:p>
                        </w:txbxContent>
                      </wps:txbx>
                      <wps:bodyPr lIns="0" tIns="0" rIns="0" bIns="0">
                        <a:noAutoFit/>
                      </wps:bodyPr>
                    </wps:wsp>
                  </a:graphicData>
                </a:graphic>
              </wp:anchor>
            </w:drawing>
          </mc:Choice>
          <mc:Fallback>
            <w:pict>
              <v:shape id="_x0000_s1134" type="#_x0000_t202" style="position:absolute;margin-left:50.149999999999999pt;margin-top:301.94999999999999pt;width:54.5pt;height:63.850000000000001pt;z-index:-125829369;mso-wrap-distance-left:0;mso-wrap-distance-top:198.5pt;mso-wrap-distance-right:0;mso-position-horizontal-relative:page" filled="f" stroked="f">
                <v:textbox inset="0,0,0,0">
                  <w:txbxContent>
                    <w:p>
                      <w:pPr>
                        <w:pStyle w:val="Style44"/>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履行的具 体原因及 下一步的 工作计划</w:t>
                      </w:r>
                    </w:p>
                  </w:txbxContent>
                </v:textbox>
                <w10:wrap type="square" side="right" anchorx="page"/>
              </v:shape>
            </w:pict>
          </mc:Fallback>
        </mc:AlternateContent>
      </w:r>
    </w:p>
    <w:p>
      <w:pPr>
        <w:pStyle w:val="Style62"/>
        <w:keepNext w:val="0"/>
        <w:keepLines w:val="0"/>
        <w:widowControl w:val="0"/>
        <w:shd w:val="clear" w:color="auto" w:fill="auto"/>
        <w:bidi w:val="0"/>
        <w:spacing w:before="0" w:after="0" w:line="240" w:lineRule="auto"/>
        <w:ind w:left="0" w:right="0" w:firstLine="720"/>
        <w:jc w:val="both"/>
        <w:rPr>
          <w:sz w:val="240"/>
          <w:szCs w:val="240"/>
        </w:rPr>
      </w:pPr>
      <w:r>
        <w:rPr>
          <w:spacing w:val="0"/>
          <w:w w:val="100"/>
          <w:position w:val="0"/>
          <w:sz w:val="42"/>
          <w:szCs w:val="42"/>
        </w:rPr>
        <w:t>Nation</w:t>
      </w:r>
      <w:r>
        <w:rPr>
          <w:rFonts w:ascii="SimSun" w:eastAsia="SimSun" w:hAnsi="SimSun" w:cs="SimSun"/>
          <w:b w:val="0"/>
          <w:bCs w:val="0"/>
          <w:spacing w:val="0"/>
          <w:w w:val="100"/>
          <w:position w:val="0"/>
          <w:sz w:val="240"/>
          <w:szCs w:val="240"/>
        </w:rPr>
        <w:t>。</w:t>
      </w:r>
    </w:p>
    <w:p>
      <w:pPr>
        <w:pStyle w:val="Style65"/>
        <w:keepNext w:val="0"/>
        <w:keepLines w:val="0"/>
        <w:widowControl w:val="0"/>
        <w:shd w:val="clear" w:color="auto" w:fill="auto"/>
        <w:bidi w:val="0"/>
        <w:spacing w:before="0" w:after="220" w:line="240" w:lineRule="auto"/>
        <w:ind w:left="1300" w:right="0" w:firstLine="0"/>
        <w:jc w:val="left"/>
      </w:pPr>
      <w:r>
        <w:rPr>
          <w:color w:val="000000"/>
          <w:spacing w:val="0"/>
          <w:w w:val="100"/>
          <w:position w:val="0"/>
        </w:rPr>
        <w:t>国民技木</w:t>
      </w:r>
      <w:r>
        <w:rPr>
          <w:color w:val="01408A"/>
          <w:spacing w:val="0"/>
          <w:w w:val="100"/>
          <w:position w:val="0"/>
        </w:rPr>
        <w:t>▼</w:t>
      </w:r>
    </w:p>
    <w:tbl>
      <w:tblPr>
        <w:tblOverlap w:val="never"/>
        <w:jc w:val="center"/>
        <w:tblLayout w:type="fixed"/>
      </w:tblPr>
      <w:tblGrid>
        <w:gridCol w:w="1138"/>
        <w:gridCol w:w="4142"/>
        <w:gridCol w:w="883"/>
        <w:gridCol w:w="902"/>
      </w:tblGrid>
      <w:tr>
        <w:trPr>
          <w:trHeight w:val="77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20"/>
                <w:szCs w:val="20"/>
              </w:rPr>
              <w:t>定；在</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月底前完成一款</w:t>
            </w:r>
            <w:r>
              <w:rPr>
                <w:rFonts w:ascii="Times New Roman" w:eastAsia="Times New Roman" w:hAnsi="Times New Roman" w:cs="Times New Roman"/>
                <w:color w:val="000000"/>
                <w:spacing w:val="0"/>
                <w:w w:val="100"/>
                <w:position w:val="0"/>
                <w:sz w:val="20"/>
                <w:szCs w:val="20"/>
              </w:rPr>
              <w:t>SoC</w:t>
            </w:r>
            <w:r>
              <w:rPr>
                <w:color w:val="000000"/>
                <w:spacing w:val="0"/>
                <w:w w:val="100"/>
                <w:position w:val="0"/>
                <w:sz w:val="20"/>
                <w:szCs w:val="20"/>
              </w:rPr>
              <w:t>芯片 设计，同时完成</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个新的芯片</w:t>
            </w:r>
            <w:r>
              <w:rPr>
                <w:rFonts w:ascii="Times New Roman" w:eastAsia="Times New Roman" w:hAnsi="Times New Roman" w:cs="Times New Roman"/>
                <w:color w:val="000000"/>
                <w:spacing w:val="0"/>
                <w:w w:val="100"/>
                <w:position w:val="0"/>
                <w:sz w:val="20"/>
                <w:szCs w:val="20"/>
              </w:rPr>
              <w:t>IP</w:t>
            </w:r>
            <w:r>
              <w:rPr>
                <w:color w:val="000000"/>
                <w:spacing w:val="0"/>
                <w:w w:val="100"/>
                <w:position w:val="0"/>
                <w:sz w:val="20"/>
                <w:szCs w:val="20"/>
              </w:rPr>
              <w:t>的研发。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44"/>
        <w:keepNext w:val="0"/>
        <w:keepLines w:val="0"/>
        <w:widowControl w:val="0"/>
        <w:shd w:val="clear" w:color="auto" w:fill="auto"/>
        <w:tabs>
          <w:tab w:pos="354" w:val="left"/>
        </w:tabs>
        <w:bidi w:val="0"/>
        <w:spacing w:before="0" w:after="120" w:line="240" w:lineRule="auto"/>
        <w:ind w:left="0" w:right="0" w:firstLine="0"/>
        <w:jc w:val="left"/>
        <w:rPr>
          <w:sz w:val="20"/>
          <w:szCs w:val="20"/>
        </w:rPr>
      </w:pPr>
      <w:bookmarkStart w:id="300" w:name="bookmark300"/>
      <w:r>
        <w:rPr>
          <w:rFonts w:ascii="Times New Roman" w:eastAsia="Times New Roman" w:hAnsi="Times New Roman" w:cs="Times New Roman"/>
          <w:color w:val="000000"/>
          <w:spacing w:val="0"/>
          <w:w w:val="100"/>
          <w:position w:val="0"/>
          <w:sz w:val="20"/>
          <w:szCs w:val="20"/>
        </w:rPr>
        <w:t>1</w:t>
      </w:r>
      <w:bookmarkEnd w:id="300"/>
      <w:r>
        <w:rPr>
          <w:color w:val="000000"/>
          <w:spacing w:val="0"/>
          <w:w w:val="100"/>
          <w:position w:val="0"/>
          <w:sz w:val="20"/>
          <w:szCs w:val="20"/>
        </w:rPr>
        <w:t>、</w:t>
        <w:tab/>
        <w:t>鲍海友</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年度、</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年度业绩承诺尚未完成；</w:t>
      </w:r>
    </w:p>
    <w:p>
      <w:pPr>
        <w:pStyle w:val="Style44"/>
        <w:keepNext w:val="0"/>
        <w:keepLines w:val="0"/>
        <w:widowControl w:val="0"/>
        <w:shd w:val="clear" w:color="auto" w:fill="auto"/>
        <w:tabs>
          <w:tab w:pos="373" w:val="left"/>
        </w:tabs>
        <w:bidi w:val="0"/>
        <w:spacing w:before="0" w:after="40" w:line="240" w:lineRule="auto"/>
        <w:ind w:left="0" w:right="0" w:firstLine="0"/>
        <w:jc w:val="left"/>
        <w:rPr>
          <w:sz w:val="20"/>
          <w:szCs w:val="20"/>
        </w:rPr>
      </w:pPr>
      <w:bookmarkStart w:id="301" w:name="bookmark301"/>
      <w:r>
        <w:rPr>
          <w:rFonts w:ascii="Times New Roman" w:eastAsia="Times New Roman" w:hAnsi="Times New Roman" w:cs="Times New Roman"/>
          <w:color w:val="000000"/>
          <w:spacing w:val="0"/>
          <w:w w:val="100"/>
          <w:position w:val="0"/>
          <w:sz w:val="20"/>
          <w:szCs w:val="20"/>
        </w:rPr>
        <w:t>2</w:t>
      </w:r>
      <w:bookmarkEnd w:id="301"/>
      <w:r>
        <w:rPr>
          <w:color w:val="000000"/>
          <w:spacing w:val="0"/>
          <w:w w:val="100"/>
          <w:position w:val="0"/>
          <w:sz w:val="20"/>
          <w:szCs w:val="20"/>
        </w:rPr>
        <w:t>、</w:t>
        <w:tab/>
        <w:t>李科奕</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年度承诺已完成，</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年度业绩承诺未完成，已支付业绩补偿款。</w:t>
      </w:r>
    </w:p>
    <w:p>
      <w:pPr>
        <w:pStyle w:val="Style44"/>
        <w:keepNext w:val="0"/>
        <w:keepLines w:val="0"/>
        <w:widowControl w:val="0"/>
        <w:shd w:val="clear" w:color="auto" w:fill="auto"/>
        <w:bidi w:val="0"/>
        <w:spacing w:before="0" w:after="40" w:line="358" w:lineRule="exact"/>
        <w:ind w:left="0" w:right="0" w:firstLine="440"/>
        <w:jc w:val="both"/>
        <w:rPr>
          <w:sz w:val="20"/>
          <w:szCs w:val="20"/>
        </w:rPr>
      </w:pPr>
      <w:r>
        <w:rPr>
          <w:color w:val="000000"/>
          <w:spacing w:val="0"/>
          <w:w w:val="100"/>
          <w:position w:val="0"/>
          <w:sz w:val="20"/>
          <w:szCs w:val="20"/>
        </w:rPr>
        <w:t>根据《股权收购协议》及公司</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年第一次临时股东大会审议通过并同意签订的《关于</w:t>
      </w:r>
      <w:r>
        <w:rPr>
          <w:color w:val="000000"/>
          <w:spacing w:val="0"/>
          <w:w w:val="100"/>
          <w:position w:val="0"/>
          <w:sz w:val="20"/>
          <w:szCs w:val="20"/>
        </w:rPr>
        <w:t>〈</w:t>
      </w:r>
      <w:r>
        <w:rPr>
          <w:color w:val="000000"/>
          <w:spacing w:val="0"/>
          <w:w w:val="100"/>
          <w:position w:val="0"/>
          <w:sz w:val="20"/>
          <w:szCs w:val="20"/>
        </w:rPr>
        <w:t>深 圳市斯诺实业发展股份有限公司之股权收购协议</w:t>
      </w:r>
      <w:r>
        <w:rPr>
          <w:color w:val="000000"/>
          <w:spacing w:val="0"/>
          <w:w w:val="100"/>
          <w:position w:val="0"/>
          <w:sz w:val="20"/>
          <w:szCs w:val="20"/>
        </w:rPr>
        <w:t>〉</w:t>
      </w:r>
      <w:r>
        <w:rPr>
          <w:color w:val="000000"/>
          <w:spacing w:val="0"/>
          <w:w w:val="100"/>
          <w:position w:val="0"/>
          <w:sz w:val="20"/>
          <w:szCs w:val="20"/>
        </w:rPr>
        <w:t>补充协议》（以下简称《补充协议》），将斯诺实 业股权收购总对价由</w:t>
      </w:r>
      <w:r>
        <w:rPr>
          <w:rFonts w:ascii="Times New Roman" w:eastAsia="Times New Roman" w:hAnsi="Times New Roman" w:cs="Times New Roman"/>
          <w:color w:val="000000"/>
          <w:spacing w:val="0"/>
          <w:w w:val="100"/>
          <w:position w:val="0"/>
          <w:sz w:val="20"/>
          <w:szCs w:val="20"/>
        </w:rPr>
        <w:t>13.36</w:t>
      </w:r>
      <w:r>
        <w:rPr>
          <w:color w:val="000000"/>
          <w:spacing w:val="0"/>
          <w:w w:val="100"/>
          <w:position w:val="0"/>
          <w:sz w:val="20"/>
          <w:szCs w:val="20"/>
        </w:rPr>
        <w:t>亿元调整为</w:t>
      </w:r>
      <w:r>
        <w:rPr>
          <w:rFonts w:ascii="Times New Roman" w:eastAsia="Times New Roman" w:hAnsi="Times New Roman" w:cs="Times New Roman"/>
          <w:color w:val="000000"/>
          <w:spacing w:val="0"/>
          <w:w w:val="100"/>
          <w:position w:val="0"/>
          <w:sz w:val="20"/>
          <w:szCs w:val="20"/>
        </w:rPr>
        <w:t>6.65</w:t>
      </w:r>
      <w:r>
        <w:rPr>
          <w:color w:val="000000"/>
          <w:spacing w:val="0"/>
          <w:w w:val="100"/>
          <w:position w:val="0"/>
          <w:sz w:val="20"/>
          <w:szCs w:val="20"/>
        </w:rPr>
        <w:t>亿元，业绩承诺方鲍海友因未实现约定的业绩承诺而 承担的业绩补偿金额，合计不超过股权收购总对价</w:t>
      </w:r>
      <w:r>
        <w:rPr>
          <w:rFonts w:ascii="Times New Roman" w:eastAsia="Times New Roman" w:hAnsi="Times New Roman" w:cs="Times New Roman"/>
          <w:color w:val="000000"/>
          <w:spacing w:val="0"/>
          <w:w w:val="100"/>
          <w:position w:val="0"/>
          <w:sz w:val="20"/>
          <w:szCs w:val="20"/>
        </w:rPr>
        <w:t>6.65</w:t>
      </w:r>
      <w:r>
        <w:rPr>
          <w:color w:val="000000"/>
          <w:spacing w:val="0"/>
          <w:w w:val="100"/>
          <w:position w:val="0"/>
          <w:sz w:val="20"/>
          <w:szCs w:val="20"/>
        </w:rPr>
        <w:t>亿元。</w:t>
      </w:r>
    </w:p>
    <w:p>
      <w:pPr>
        <w:pStyle w:val="Style44"/>
        <w:keepNext w:val="0"/>
        <w:keepLines w:val="0"/>
        <w:widowControl w:val="0"/>
        <w:shd w:val="clear" w:color="auto" w:fill="auto"/>
        <w:bidi w:val="0"/>
        <w:spacing w:before="0" w:after="40" w:line="360" w:lineRule="exact"/>
        <w:ind w:left="0" w:right="0" w:firstLine="440"/>
        <w:jc w:val="both"/>
        <w:rPr>
          <w:sz w:val="20"/>
          <w:szCs w:val="20"/>
        </w:rPr>
      </w:pPr>
      <w:r>
        <w:rPr>
          <w:color w:val="000000"/>
          <w:spacing w:val="0"/>
          <w:w w:val="100"/>
          <w:position w:val="0"/>
          <w:sz w:val="20"/>
          <w:szCs w:val="20"/>
        </w:rPr>
        <w:t>斯诺实业</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年度扣除非经常性损益后的净利润为</w:t>
      </w:r>
      <w:r>
        <w:rPr>
          <w:rFonts w:ascii="Times New Roman" w:eastAsia="Times New Roman" w:hAnsi="Times New Roman" w:cs="Times New Roman"/>
          <w:color w:val="000000"/>
          <w:spacing w:val="0"/>
          <w:w w:val="100"/>
          <w:position w:val="0"/>
          <w:sz w:val="20"/>
          <w:szCs w:val="20"/>
        </w:rPr>
        <w:t>-47,775.73</w:t>
      </w:r>
      <w:r>
        <w:rPr>
          <w:color w:val="000000"/>
          <w:spacing w:val="0"/>
          <w:w w:val="100"/>
          <w:position w:val="0"/>
          <w:sz w:val="20"/>
          <w:szCs w:val="20"/>
        </w:rPr>
        <w:t>万元，未完成业绩承诺，差异 较大导致业绩承诺方应承担的业绩补偿金额已触及业绩补偿上限，即业绩承诺方应承担的业绩补 偿金额为</w:t>
      </w:r>
      <w:r>
        <w:rPr>
          <w:rFonts w:ascii="Times New Roman" w:eastAsia="Times New Roman" w:hAnsi="Times New Roman" w:cs="Times New Roman"/>
          <w:color w:val="000000"/>
          <w:spacing w:val="0"/>
          <w:w w:val="100"/>
          <w:position w:val="0"/>
          <w:sz w:val="20"/>
          <w:szCs w:val="20"/>
        </w:rPr>
        <w:t>6.65</w:t>
      </w:r>
      <w:r>
        <w:rPr>
          <w:color w:val="000000"/>
          <w:spacing w:val="0"/>
          <w:w w:val="100"/>
          <w:position w:val="0"/>
          <w:sz w:val="20"/>
          <w:szCs w:val="20"/>
        </w:rPr>
        <w:t>亿元。</w:t>
      </w:r>
    </w:p>
    <w:p>
      <w:pPr>
        <w:pStyle w:val="Style44"/>
        <w:keepNext w:val="0"/>
        <w:keepLines w:val="0"/>
        <w:widowControl w:val="0"/>
        <w:shd w:val="clear" w:color="auto" w:fill="auto"/>
        <w:bidi w:val="0"/>
        <w:spacing w:before="0" w:after="40" w:line="360"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月，公司已向深圳市中级人民法院提起诉讼，要求业绩承诺方履行相关业绩补偿承 诺，该案已于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月进入法院强制执行程序。</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 xml:space="preserve">日，法院将业绩承诺方持有的 </w:t>
      </w:r>
      <w:r>
        <w:rPr>
          <w:color w:val="000000"/>
          <w:spacing w:val="0"/>
          <w:w w:val="100"/>
          <w:position w:val="0"/>
          <w:sz w:val="20"/>
          <w:szCs w:val="20"/>
        </w:rPr>
        <w:t>斯诺实业</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股权在法院司法拍卖平台上进行公开拍卖，国民科技以</w:t>
      </w:r>
      <w:r>
        <w:rPr>
          <w:rFonts w:ascii="Times New Roman" w:eastAsia="Times New Roman" w:hAnsi="Times New Roman" w:cs="Times New Roman"/>
          <w:color w:val="000000"/>
          <w:spacing w:val="0"/>
          <w:w w:val="100"/>
          <w:position w:val="0"/>
          <w:sz w:val="20"/>
          <w:szCs w:val="20"/>
        </w:rPr>
        <w:t>2,500.25</w:t>
      </w:r>
      <w:r>
        <w:rPr>
          <w:color w:val="000000"/>
          <w:spacing w:val="0"/>
          <w:w w:val="100"/>
          <w:position w:val="0"/>
          <w:sz w:val="20"/>
          <w:szCs w:val="20"/>
        </w:rPr>
        <w:t>万元的成交价格竞 得。国民科技及国民投资作为强制执行案件申请执行人竞拍成功，以对业绩承诺方鲍海友享有的 债权抵扣竞拍款，业绩承诺方鲍海友对公司的业绩补偿款减少</w:t>
      </w:r>
      <w:r>
        <w:rPr>
          <w:rFonts w:ascii="Times New Roman" w:eastAsia="Times New Roman" w:hAnsi="Times New Roman" w:cs="Times New Roman"/>
          <w:color w:val="000000"/>
          <w:spacing w:val="0"/>
          <w:w w:val="100"/>
          <w:position w:val="0"/>
          <w:sz w:val="20"/>
          <w:szCs w:val="20"/>
        </w:rPr>
        <w:t>2,500.25</w:t>
      </w:r>
      <w:r>
        <w:rPr>
          <w:color w:val="000000"/>
          <w:spacing w:val="0"/>
          <w:w w:val="100"/>
          <w:position w:val="0"/>
          <w:sz w:val="20"/>
          <w:szCs w:val="20"/>
        </w:rPr>
        <w:t>万元。</w:t>
      </w:r>
    </w:p>
    <w:p>
      <w:pPr>
        <w:pStyle w:val="Style44"/>
        <w:keepNext w:val="0"/>
        <w:keepLines w:val="0"/>
        <w:widowControl w:val="0"/>
        <w:shd w:val="clear" w:color="auto" w:fill="auto"/>
        <w:bidi w:val="0"/>
        <w:spacing w:before="0" w:after="120" w:line="362" w:lineRule="exact"/>
        <w:ind w:left="0" w:right="0" w:firstLine="440"/>
        <w:jc w:val="both"/>
        <w:rPr>
          <w:sz w:val="20"/>
          <w:szCs w:val="20"/>
        </w:rPr>
      </w:pPr>
      <w:r>
        <w:rPr>
          <w:color w:val="000000"/>
          <w:spacing w:val="0"/>
          <w:w w:val="100"/>
          <w:position w:val="0"/>
          <w:sz w:val="20"/>
          <w:szCs w:val="20"/>
        </w:rPr>
        <w:t>截至本报告披露日，由于业绩承诺方目前无其他可供执行的财产，深圳市中级人民法院已裁</w:t>
      </w:r>
    </w:p>
    <w:p>
      <w:pPr>
        <w:pStyle w:val="Style44"/>
        <w:keepNext w:val="0"/>
        <w:keepLines w:val="0"/>
        <w:widowControl w:val="0"/>
        <w:shd w:val="clear" w:color="auto" w:fill="auto"/>
        <w:bidi w:val="0"/>
        <w:spacing w:before="0" w:after="40" w:line="240" w:lineRule="auto"/>
        <w:ind w:left="1620" w:right="0" w:firstLine="0"/>
        <w:jc w:val="left"/>
        <w:rPr>
          <w:sz w:val="20"/>
          <w:szCs w:val="20"/>
        </w:rPr>
      </w:pPr>
      <w:r>
        <w:rPr>
          <w:color w:val="000000"/>
          <w:spacing w:val="0"/>
          <w:w w:val="100"/>
          <w:position w:val="0"/>
          <w:sz w:val="20"/>
          <w:szCs w:val="20"/>
        </w:rPr>
        <w:t xml:space="preserve">定终结强制执行程序。终结执行程序期间，公司享有继续要求业绩承诺方清偿债务的权利，业绩 </w:t>
      </w:r>
      <w:r>
        <w:rPr>
          <w:color w:val="000000"/>
          <w:spacing w:val="0"/>
          <w:w w:val="100"/>
          <w:position w:val="0"/>
          <w:sz w:val="20"/>
          <w:szCs w:val="20"/>
        </w:rPr>
        <w:t>承诺方负有继续向公司履行的义务。</w:t>
      </w:r>
    </w:p>
    <w:p>
      <w:pPr>
        <w:pStyle w:val="Style44"/>
        <w:keepNext w:val="0"/>
        <w:keepLines w:val="0"/>
        <w:widowControl w:val="0"/>
        <w:shd w:val="clear" w:color="auto" w:fill="auto"/>
        <w:bidi w:val="0"/>
        <w:spacing w:before="0" w:after="340" w:line="370" w:lineRule="exact"/>
        <w:ind w:left="1620" w:right="0" w:firstLine="420"/>
        <w:jc w:val="both"/>
        <w:rPr>
          <w:sz w:val="20"/>
          <w:szCs w:val="20"/>
        </w:rPr>
      </w:pPr>
      <w:r>
        <w:rPr>
          <w:color w:val="000000"/>
          <w:spacing w:val="0"/>
          <w:w w:val="100"/>
          <w:position w:val="0"/>
          <w:sz w:val="20"/>
          <w:szCs w:val="20"/>
        </w:rPr>
        <w:t>截至本报告披露日，业绩承诺方尚欠公司业绩补偿款</w:t>
      </w:r>
      <w:r>
        <w:rPr>
          <w:rFonts w:ascii="Times New Roman" w:eastAsia="Times New Roman" w:hAnsi="Times New Roman" w:cs="Times New Roman"/>
          <w:color w:val="000000"/>
          <w:spacing w:val="0"/>
          <w:w w:val="100"/>
          <w:position w:val="0"/>
          <w:sz w:val="20"/>
          <w:szCs w:val="20"/>
        </w:rPr>
        <w:t>6.17</w:t>
      </w:r>
      <w:r>
        <w:rPr>
          <w:color w:val="000000"/>
          <w:spacing w:val="0"/>
          <w:w w:val="100"/>
          <w:position w:val="0"/>
          <w:sz w:val="20"/>
          <w:szCs w:val="20"/>
        </w:rPr>
        <w:t>亿元。公司将密切关注和高度重视 该事项，切实维护公司和股东的利益。</w:t>
      </w:r>
    </w:p>
    <w:p>
      <w:pPr>
        <w:pStyle w:val="Style52"/>
        <w:keepNext/>
        <w:keepLines/>
        <w:widowControl w:val="0"/>
        <w:shd w:val="clear" w:color="auto" w:fill="auto"/>
        <w:bidi w:val="0"/>
        <w:spacing w:before="0" w:after="340" w:line="326" w:lineRule="exact"/>
        <w:ind w:left="720" w:right="0" w:firstLine="40"/>
        <w:jc w:val="both"/>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2</w:t>
      </w:r>
      <w:bookmarkEnd w:id="304"/>
      <w:r>
        <w:rPr>
          <w:color w:val="000000"/>
          <w:spacing w:val="0"/>
          <w:w w:val="100"/>
          <w:position w:val="0"/>
        </w:rPr>
        <w:t>、公司资产或项目存在盈利预测，且报告期仍处在盈利预测期间，公司就资产或项目达到原盈 利预测及其原因做出说明</w:t>
      </w:r>
      <w:bookmarkEnd w:id="302"/>
      <w:bookmarkEnd w:id="303"/>
      <w:bookmarkEnd w:id="305"/>
    </w:p>
    <w:p>
      <w:pPr>
        <w:pStyle w:val="Style44"/>
        <w:keepNext w:val="0"/>
        <w:keepLines w:val="0"/>
        <w:widowControl w:val="0"/>
        <w:shd w:val="clear" w:color="auto" w:fill="auto"/>
        <w:bidi w:val="0"/>
        <w:spacing w:before="0" w:after="220" w:line="240" w:lineRule="auto"/>
        <w:ind w:left="0" w:right="0" w:firstLine="7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4"/>
        <w:keepNext w:val="0"/>
        <w:keepLines w:val="0"/>
        <w:widowControl w:val="0"/>
        <w:shd w:val="clear" w:color="auto" w:fill="auto"/>
        <w:bidi w:val="0"/>
        <w:spacing w:before="0" w:after="220" w:line="240" w:lineRule="auto"/>
        <w:ind w:left="0" w:right="0" w:firstLine="720"/>
        <w:jc w:val="left"/>
      </w:pPr>
      <w:r>
        <w:rPr>
          <w:color w:val="000000"/>
          <w:spacing w:val="0"/>
          <w:w w:val="100"/>
          <w:position w:val="0"/>
        </w:rPr>
        <w:t>公司股东、交易对手方对公司或相关资产年度经营业绩作出的承诺情况</w:t>
      </w:r>
    </w:p>
    <w:p>
      <w:pPr>
        <w:pStyle w:val="Style44"/>
        <w:keepNext w:val="0"/>
        <w:keepLines w:val="0"/>
        <w:widowControl w:val="0"/>
        <w:shd w:val="clear" w:color="auto" w:fill="auto"/>
        <w:bidi w:val="0"/>
        <w:spacing w:before="0" w:after="340" w:line="240" w:lineRule="auto"/>
        <w:ind w:left="0" w:right="0" w:firstLine="7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2"/>
        <w:keepNext/>
        <w:keepLines/>
        <w:widowControl w:val="0"/>
        <w:shd w:val="clear" w:color="auto" w:fill="auto"/>
        <w:bidi w:val="0"/>
        <w:spacing w:before="0" w:after="340" w:line="240" w:lineRule="auto"/>
        <w:ind w:left="0" w:right="0" w:firstLine="720"/>
        <w:jc w:val="left"/>
      </w:pPr>
      <w:bookmarkStart w:id="306" w:name="bookmark306"/>
      <w:bookmarkStart w:id="307" w:name="bookmark307"/>
      <w:bookmarkStart w:id="308" w:name="bookmark308"/>
      <w:bookmarkStart w:id="309" w:name="bookmark309"/>
      <w:r>
        <w:rPr>
          <w:color w:val="000000"/>
          <w:spacing w:val="0"/>
          <w:w w:val="100"/>
          <w:position w:val="0"/>
        </w:rPr>
        <w:t>三</w:t>
      </w:r>
      <w:bookmarkEnd w:id="308"/>
      <w:r>
        <w:rPr>
          <w:color w:val="000000"/>
          <w:spacing w:val="0"/>
          <w:w w:val="100"/>
          <w:position w:val="0"/>
        </w:rPr>
        <w:t>、控股股东及其关联方对上市公司的非经营性占用资金情况</w:t>
      </w:r>
      <w:bookmarkEnd w:id="306"/>
      <w:bookmarkEnd w:id="307"/>
      <w:bookmarkEnd w:id="309"/>
    </w:p>
    <w:p>
      <w:pPr>
        <w:pStyle w:val="Style44"/>
        <w:keepNext w:val="0"/>
        <w:keepLines w:val="0"/>
        <w:widowControl w:val="0"/>
        <w:shd w:val="clear" w:color="auto" w:fill="auto"/>
        <w:bidi w:val="0"/>
        <w:spacing w:before="0" w:after="220" w:line="240" w:lineRule="auto"/>
        <w:ind w:left="0" w:right="0" w:firstLine="7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4"/>
        <w:keepNext w:val="0"/>
        <w:keepLines w:val="0"/>
        <w:widowControl w:val="0"/>
        <w:shd w:val="clear" w:color="auto" w:fill="auto"/>
        <w:bidi w:val="0"/>
        <w:spacing w:before="0" w:after="340" w:line="240" w:lineRule="auto"/>
        <w:ind w:left="0" w:right="0" w:firstLine="720"/>
        <w:jc w:val="left"/>
      </w:pPr>
      <w:r>
        <w:rPr>
          <w:color w:val="000000"/>
          <w:spacing w:val="0"/>
          <w:w w:val="100"/>
          <w:position w:val="0"/>
        </w:rPr>
        <w:t>公司报告期不存在控股股东及其关联方对上市公司的非经营性占用资金。</w:t>
      </w:r>
    </w:p>
    <w:p>
      <w:pPr>
        <w:pStyle w:val="Style42"/>
        <w:keepNext/>
        <w:keepLines/>
        <w:widowControl w:val="0"/>
        <w:shd w:val="clear" w:color="auto" w:fill="auto"/>
        <w:bidi w:val="0"/>
        <w:spacing w:before="0" w:after="340" w:line="240" w:lineRule="auto"/>
        <w:ind w:left="0" w:right="0" w:firstLine="720"/>
        <w:jc w:val="left"/>
      </w:pPr>
      <w:bookmarkStart w:id="310" w:name="bookmark310"/>
      <w:bookmarkStart w:id="311" w:name="bookmark311"/>
      <w:bookmarkStart w:id="312" w:name="bookmark312"/>
      <w:bookmarkStart w:id="313" w:name="bookmark313"/>
      <w:r>
        <w:rPr>
          <w:color w:val="000000"/>
          <w:spacing w:val="0"/>
          <w:w w:val="100"/>
          <w:position w:val="0"/>
        </w:rPr>
        <w:t>四</w:t>
      </w:r>
      <w:bookmarkEnd w:id="312"/>
      <w:r>
        <w:rPr>
          <w:color w:val="000000"/>
          <w:spacing w:val="0"/>
          <w:w w:val="100"/>
          <w:position w:val="0"/>
        </w:rPr>
        <w:t>、董事会对最近一期“非标准审计报告”相关情况的说明</w:t>
      </w:r>
      <w:bookmarkEnd w:id="310"/>
      <w:bookmarkEnd w:id="311"/>
      <w:bookmarkEnd w:id="313"/>
    </w:p>
    <w:p>
      <w:pPr>
        <w:pStyle w:val="Style44"/>
        <w:keepNext w:val="0"/>
        <w:keepLines w:val="0"/>
        <w:widowControl w:val="0"/>
        <w:shd w:val="clear" w:color="auto" w:fill="auto"/>
        <w:bidi w:val="0"/>
        <w:spacing w:before="0" w:after="220" w:line="240" w:lineRule="auto"/>
        <w:ind w:left="0" w:right="0" w:firstLine="720"/>
        <w:jc w:val="both"/>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68" w:right="347" w:bottom="1451" w:left="489"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2"/>
        <w:keepNext/>
        <w:keepLines/>
        <w:widowControl w:val="0"/>
        <w:shd w:val="clear" w:color="auto" w:fill="auto"/>
        <w:tabs>
          <w:tab w:pos="1302" w:val="left"/>
        </w:tabs>
        <w:bidi w:val="0"/>
        <w:spacing w:before="0" w:after="120" w:line="326" w:lineRule="exact"/>
        <w:ind w:left="780" w:right="0" w:firstLine="0"/>
        <w:jc w:val="both"/>
      </w:pPr>
      <w:bookmarkStart w:id="314" w:name="bookmark314"/>
      <w:bookmarkStart w:id="315" w:name="bookmark315"/>
      <w:bookmarkStart w:id="316" w:name="bookmark316"/>
      <w:bookmarkStart w:id="317" w:name="bookmark317"/>
      <w:r>
        <w:rPr>
          <w:color w:val="000000"/>
          <w:spacing w:val="0"/>
          <w:w w:val="100"/>
          <w:position w:val="0"/>
        </w:rPr>
        <w:t>五</w:t>
      </w:r>
      <w:bookmarkEnd w:id="316"/>
      <w:r>
        <w:rPr>
          <w:color w:val="000000"/>
          <w:spacing w:val="0"/>
          <w:w w:val="100"/>
          <w:position w:val="0"/>
        </w:rPr>
        <w:t>、</w:t>
        <w:tab/>
        <w:t>董事会、监事会、独立董事（如有）对会计师事务所本报告期“非标准审计报告”的说 明</w:t>
      </w:r>
      <w:bookmarkEnd w:id="314"/>
      <w:bookmarkEnd w:id="315"/>
      <w:bookmarkEnd w:id="317"/>
    </w:p>
    <w:p>
      <w:pPr>
        <w:pStyle w:val="Style44"/>
        <w:keepNext w:val="0"/>
        <w:keepLines w:val="0"/>
        <w:widowControl w:val="0"/>
        <w:shd w:val="clear" w:color="auto" w:fill="auto"/>
        <w:bidi w:val="0"/>
        <w:spacing w:before="0" w:after="120" w:line="472" w:lineRule="exact"/>
        <w:ind w:left="0" w:right="0" w:firstLine="7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2"/>
        <w:keepNext/>
        <w:keepLines/>
        <w:widowControl w:val="0"/>
        <w:shd w:val="clear" w:color="auto" w:fill="auto"/>
        <w:tabs>
          <w:tab w:pos="1302" w:val="left"/>
        </w:tabs>
        <w:bidi w:val="0"/>
        <w:spacing w:before="0" w:after="120" w:line="472" w:lineRule="exact"/>
        <w:ind w:left="0" w:right="0" w:firstLine="780"/>
        <w:jc w:val="left"/>
      </w:pPr>
      <w:bookmarkStart w:id="318" w:name="bookmark318"/>
      <w:bookmarkStart w:id="319" w:name="bookmark319"/>
      <w:bookmarkStart w:id="320" w:name="bookmark320"/>
      <w:bookmarkStart w:id="321" w:name="bookmark321"/>
      <w:r>
        <w:rPr>
          <w:color w:val="000000"/>
          <w:spacing w:val="0"/>
          <w:w w:val="100"/>
          <w:position w:val="0"/>
        </w:rPr>
        <w:t>六</w:t>
      </w:r>
      <w:bookmarkEnd w:id="320"/>
      <w:r>
        <w:rPr>
          <w:color w:val="000000"/>
          <w:spacing w:val="0"/>
          <w:w w:val="100"/>
          <w:position w:val="0"/>
        </w:rPr>
        <w:t>、</w:t>
        <w:tab/>
        <w:t>董事会关于报告期会计政策、会计估计变更或重大会计差错更正的说明</w:t>
      </w:r>
      <w:bookmarkEnd w:id="318"/>
      <w:bookmarkEnd w:id="319"/>
      <w:bookmarkEnd w:id="321"/>
    </w:p>
    <w:p>
      <w:pPr>
        <w:pStyle w:val="Style44"/>
        <w:keepNext w:val="0"/>
        <w:keepLines w:val="0"/>
        <w:widowControl w:val="0"/>
        <w:shd w:val="clear" w:color="auto" w:fill="auto"/>
        <w:bidi w:val="0"/>
        <w:spacing w:before="0" w:after="0" w:line="472" w:lineRule="exact"/>
        <w:ind w:left="0" w:right="0" w:firstLine="7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val="0"/>
        <w:keepLines w:val="0"/>
        <w:widowControl w:val="0"/>
        <w:shd w:val="clear" w:color="auto" w:fill="auto"/>
        <w:bidi w:val="0"/>
        <w:spacing w:before="0" w:after="0" w:line="472" w:lineRule="exact"/>
        <w:ind w:left="0" w:right="0" w:firstLine="860"/>
        <w:jc w:val="left"/>
      </w:pPr>
      <w:bookmarkStart w:id="322" w:name="bookmark322"/>
      <w:r>
        <w:rPr>
          <w:rFonts w:ascii="Times New Roman" w:eastAsia="Times New Roman" w:hAnsi="Times New Roman" w:cs="Times New Roman"/>
          <w:color w:val="000000"/>
          <w:spacing w:val="0"/>
          <w:w w:val="100"/>
          <w:position w:val="0"/>
        </w:rPr>
        <w:t>1</w:t>
      </w:r>
      <w:bookmarkEnd w:id="322"/>
      <w:r>
        <w:rPr>
          <w:color w:val="000000"/>
          <w:spacing w:val="0"/>
          <w:w w:val="100"/>
          <w:position w:val="0"/>
        </w:rPr>
        <w:t>、会计政策变更：执行新收入准则</w:t>
      </w:r>
    </w:p>
    <w:p>
      <w:pPr>
        <w:pStyle w:val="Style44"/>
        <w:keepNext w:val="0"/>
        <w:keepLines w:val="0"/>
        <w:widowControl w:val="0"/>
        <w:shd w:val="clear" w:color="auto" w:fill="auto"/>
        <w:bidi w:val="0"/>
        <w:spacing w:before="0" w:after="380" w:line="472" w:lineRule="exact"/>
        <w:ind w:left="780" w:right="0" w:firstLine="460"/>
        <w:jc w:val="both"/>
      </w:pPr>
      <w:r>
        <w:rPr>
          <w:color w:val="000000"/>
          <w:spacing w:val="0"/>
          <w:w w:val="100"/>
          <w:position w:val="0"/>
        </w:rPr>
        <w:t>财政部</w:t>
      </w:r>
      <w:r>
        <w:rPr>
          <w:rFonts w:ascii="Times New Roman" w:eastAsia="Times New Roman" w:hAnsi="Times New Roman" w:cs="Times New Roman"/>
          <w:color w:val="000000"/>
          <w:spacing w:val="0"/>
          <w:w w:val="100"/>
          <w:position w:val="0"/>
        </w:rPr>
        <w:t>2017</w:t>
      </w:r>
      <w:r>
        <w:rPr>
          <w:color w:val="000000"/>
          <w:spacing w:val="0"/>
          <w:w w:val="100"/>
          <w:position w:val="0"/>
        </w:rPr>
        <w:t>年颁布了修订后的《企业会计准则</w:t>
      </w:r>
      <w:r>
        <w:rPr>
          <w:rFonts w:ascii="Times New Roman" w:eastAsia="Times New Roman" w:hAnsi="Times New Roman" w:cs="Times New Roman"/>
          <w:color w:val="000000"/>
          <w:spacing w:val="0"/>
          <w:w w:val="100"/>
          <w:position w:val="0"/>
        </w:rPr>
        <w:t>14</w:t>
      </w:r>
      <w:r>
        <w:rPr>
          <w:color w:val="000000"/>
          <w:spacing w:val="0"/>
          <w:w w:val="100"/>
          <w:position w:val="0"/>
        </w:rPr>
        <w:t>号一收入》（以下简称“新收入准则”）， 本公司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年度财务报表按照新收入准则编制。根据新收入准则的相关规定，本公司对于首次 执行该准则的累积影响数调整</w:t>
      </w:r>
      <w:r>
        <w:rPr>
          <w:rFonts w:ascii="Times New Roman" w:eastAsia="Times New Roman" w:hAnsi="Times New Roman" w:cs="Times New Roman"/>
          <w:color w:val="000000"/>
          <w:spacing w:val="0"/>
          <w:w w:val="100"/>
          <w:position w:val="0"/>
        </w:rPr>
        <w:t>2020</w:t>
      </w:r>
      <w:r>
        <w:rPr>
          <w:color w:val="000000"/>
          <w:spacing w:val="0"/>
          <w:w w:val="100"/>
          <w:position w:val="0"/>
        </w:rPr>
        <w:t>年年初留存收益以及财务报表其他相关项目金额，不对比较 财务报表数据进行调整。执行新收入准则对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年期初报表项目影响如下：</w:t>
      </w:r>
    </w:p>
    <w:tbl>
      <w:tblPr>
        <w:tblOverlap w:val="never"/>
        <w:jc w:val="center"/>
        <w:tblLayout w:type="fixed"/>
      </w:tblPr>
      <w:tblGrid>
        <w:gridCol w:w="2875"/>
        <w:gridCol w:w="2938"/>
        <w:gridCol w:w="2986"/>
      </w:tblGrid>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报表项目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8,003,687.76</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8,752,844.32</w:t>
            </w: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749,156.56</w:t>
            </w:r>
          </w:p>
        </w:tc>
      </w:tr>
    </w:tbl>
    <w:p>
      <w:pPr>
        <w:widowControl w:val="0"/>
        <w:spacing w:after="199" w:line="1" w:lineRule="exact"/>
      </w:pPr>
    </w:p>
    <w:p>
      <w:pPr>
        <w:pStyle w:val="Style44"/>
        <w:keepNext w:val="0"/>
        <w:keepLines w:val="0"/>
        <w:widowControl w:val="0"/>
        <w:shd w:val="clear" w:color="auto" w:fill="auto"/>
        <w:bidi w:val="0"/>
        <w:spacing w:before="0" w:after="120" w:line="398" w:lineRule="exact"/>
        <w:ind w:left="860" w:right="0" w:firstLine="380"/>
        <w:jc w:val="left"/>
      </w:pPr>
      <w:r>
        <w:rPr>
          <w:color w:val="000000"/>
          <w:spacing w:val="0"/>
          <w:w w:val="100"/>
          <w:position w:val="0"/>
        </w:rPr>
        <w:t>与原收入准则相比，执行新收入准则对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年度财务报表相关项目的影响如下: 对合并资产负债表的影响：</w:t>
      </w:r>
    </w:p>
    <w:tbl>
      <w:tblPr>
        <w:tblOverlap w:val="never"/>
        <w:jc w:val="center"/>
        <w:tblLayout w:type="fixed"/>
      </w:tblPr>
      <w:tblGrid>
        <w:gridCol w:w="2837"/>
        <w:gridCol w:w="2976"/>
        <w:gridCol w:w="3134"/>
      </w:tblGrid>
      <w:tr>
        <w:trPr>
          <w:trHeight w:val="52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报表项目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b/>
                <w:bCs/>
                <w:color w:val="000000"/>
                <w:spacing w:val="0"/>
                <w:w w:val="100"/>
                <w:position w:val="0"/>
                <w:sz w:val="20"/>
                <w:szCs w:val="20"/>
              </w:rPr>
              <w:t>新准则下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原准则下</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8,092,035.13</w:t>
            </w: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8,700,746.32</w:t>
            </w:r>
          </w:p>
        </w:tc>
      </w:tr>
      <w:tr>
        <w:trPr>
          <w:trHeight w:val="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608,711.19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对合并利润表的影响:</w:t>
      </w:r>
    </w:p>
    <w:tbl>
      <w:tblPr>
        <w:tblOverlap w:val="never"/>
        <w:jc w:val="center"/>
        <w:tblLayout w:type="fixed"/>
      </w:tblPr>
      <w:tblGrid>
        <w:gridCol w:w="2837"/>
        <w:gridCol w:w="2976"/>
        <w:gridCol w:w="2990"/>
      </w:tblGrid>
      <w:tr>
        <w:trPr>
          <w:trHeight w:val="68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报表项目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20"/>
                <w:szCs w:val="20"/>
              </w:rPr>
            </w:pPr>
            <w:r>
              <w:rPr>
                <w:b/>
                <w:bCs/>
                <w:color w:val="000000"/>
                <w:spacing w:val="0"/>
                <w:w w:val="100"/>
                <w:position w:val="0"/>
                <w:sz w:val="20"/>
                <w:szCs w:val="20"/>
              </w:rPr>
              <w:t>新准则下 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20"/>
                <w:szCs w:val="20"/>
              </w:rPr>
            </w:pPr>
            <w:r>
              <w:rPr>
                <w:b/>
                <w:bCs/>
                <w:color w:val="000000"/>
                <w:spacing w:val="0"/>
                <w:w w:val="100"/>
                <w:position w:val="0"/>
                <w:sz w:val="20"/>
                <w:szCs w:val="20"/>
              </w:rPr>
              <w:t>原准则下 本期发生额</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220,379,284.65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214,997,413.76</w:t>
            </w:r>
          </w:p>
        </w:tc>
      </w:tr>
      <w:tr>
        <w:trPr>
          <w:trHeight w:val="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销售费用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31,352,619.82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36,734,490.71</w:t>
            </w:r>
          </w:p>
        </w:tc>
      </w:tr>
    </w:tbl>
    <w:p>
      <w:pPr>
        <w:pStyle w:val="Style42"/>
        <w:keepNext/>
        <w:keepLines/>
        <w:widowControl w:val="0"/>
        <w:shd w:val="clear" w:color="auto" w:fill="auto"/>
        <w:bidi w:val="0"/>
        <w:spacing w:before="0" w:after="180" w:line="240" w:lineRule="auto"/>
        <w:ind w:left="0" w:right="0" w:firstLine="980"/>
        <w:jc w:val="left"/>
      </w:pPr>
      <w:bookmarkStart w:id="323" w:name="bookmark323"/>
      <w:bookmarkStart w:id="324" w:name="bookmark324"/>
      <w:bookmarkStart w:id="325" w:name="bookmark325"/>
      <w:bookmarkStart w:id="326" w:name="bookmark326"/>
      <w:r>
        <w:rPr>
          <w:color w:val="000000"/>
          <w:spacing w:val="0"/>
          <w:w w:val="100"/>
          <w:position w:val="0"/>
        </w:rPr>
        <w:t>七</w:t>
      </w:r>
      <w:bookmarkEnd w:id="325"/>
      <w:r>
        <w:rPr>
          <w:color w:val="000000"/>
          <w:spacing w:val="0"/>
          <w:w w:val="100"/>
          <w:position w:val="0"/>
        </w:rPr>
        <w:t>、与上年度财务报告相比，合并报表范围发生变化的情况说明</w:t>
      </w:r>
      <w:bookmarkEnd w:id="323"/>
      <w:bookmarkEnd w:id="324"/>
      <w:bookmarkEnd w:id="326"/>
    </w:p>
    <w:p>
      <w:pPr>
        <w:pStyle w:val="Style44"/>
        <w:keepNext w:val="0"/>
        <w:keepLines w:val="0"/>
        <w:widowControl w:val="0"/>
        <w:shd w:val="clear" w:color="auto" w:fill="auto"/>
        <w:bidi w:val="0"/>
        <w:spacing w:before="0" w:after="80" w:line="494" w:lineRule="exact"/>
        <w:ind w:left="0" w:right="0" w:firstLine="9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val="0"/>
        <w:keepLines w:val="0"/>
        <w:widowControl w:val="0"/>
        <w:shd w:val="clear" w:color="auto" w:fill="auto"/>
        <w:bidi w:val="0"/>
        <w:spacing w:before="0" w:after="180" w:line="494" w:lineRule="exact"/>
        <w:ind w:left="740" w:right="0" w:firstLine="240"/>
        <w:jc w:val="left"/>
      </w:pPr>
      <w:r>
        <w:rPr>
          <w:color w:val="000000"/>
          <w:spacing w:val="0"/>
          <w:w w:val="100"/>
          <w:position w:val="0"/>
        </w:rPr>
        <w:t>本公司本年度合并范围比上年度增加</w:t>
      </w:r>
      <w:r>
        <w:rPr>
          <w:rFonts w:ascii="Times New Roman" w:eastAsia="Times New Roman" w:hAnsi="Times New Roman" w:cs="Times New Roman"/>
          <w:color w:val="000000"/>
          <w:spacing w:val="0"/>
          <w:w w:val="100"/>
          <w:position w:val="0"/>
        </w:rPr>
        <w:t>1</w:t>
      </w:r>
      <w:r>
        <w:rPr>
          <w:color w:val="000000"/>
          <w:spacing w:val="0"/>
          <w:w w:val="100"/>
          <w:position w:val="0"/>
        </w:rPr>
        <w:t>户，是国民科技（深圳）有限公司于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日成立全资子公司民昇智能（深圳）有限公司。</w:t>
      </w:r>
    </w:p>
    <w:p>
      <w:pPr>
        <w:pStyle w:val="Style42"/>
        <w:keepNext/>
        <w:keepLines/>
        <w:widowControl w:val="0"/>
        <w:shd w:val="clear" w:color="auto" w:fill="auto"/>
        <w:bidi w:val="0"/>
        <w:spacing w:before="0" w:after="380" w:line="494" w:lineRule="exact"/>
        <w:ind w:left="0" w:right="0" w:firstLine="740"/>
        <w:jc w:val="left"/>
      </w:pPr>
      <w:bookmarkStart w:id="327" w:name="bookmark327"/>
      <w:bookmarkStart w:id="328" w:name="bookmark328"/>
      <w:bookmarkStart w:id="329" w:name="bookmark329"/>
      <w:bookmarkStart w:id="330" w:name="bookmark330"/>
      <w:r>
        <w:rPr>
          <w:color w:val="000000"/>
          <w:spacing w:val="0"/>
          <w:w w:val="100"/>
          <w:position w:val="0"/>
        </w:rPr>
        <w:t>八</w:t>
      </w:r>
      <w:bookmarkEnd w:id="329"/>
      <w:r>
        <w:rPr>
          <w:color w:val="000000"/>
          <w:spacing w:val="0"/>
          <w:w w:val="100"/>
          <w:position w:val="0"/>
        </w:rPr>
        <w:t>、聘任、解聘会计师事务所情况</w:t>
      </w:r>
      <w:bookmarkEnd w:id="327"/>
      <w:bookmarkEnd w:id="328"/>
      <w:bookmarkEnd w:id="330"/>
    </w:p>
    <w:p>
      <w:pPr>
        <w:pStyle w:val="Style44"/>
        <w:keepNext w:val="0"/>
        <w:keepLines w:val="0"/>
        <w:widowControl w:val="0"/>
        <w:shd w:val="clear" w:color="auto" w:fill="auto"/>
        <w:bidi w:val="0"/>
        <w:spacing w:before="0" w:after="80" w:line="240" w:lineRule="auto"/>
        <w:ind w:left="0" w:right="0" w:firstLine="740"/>
        <w:jc w:val="left"/>
        <w:rPr>
          <w:sz w:val="20"/>
          <w:szCs w:val="20"/>
        </w:rPr>
      </w:pPr>
      <w:r>
        <w:rPr>
          <w:color w:val="000000"/>
          <w:spacing w:val="0"/>
          <w:w w:val="100"/>
          <w:position w:val="0"/>
          <w:sz w:val="20"/>
          <w:szCs w:val="20"/>
        </w:rPr>
        <w:t>现聘任的会计师事务所</w:t>
      </w:r>
    </w:p>
    <w:tbl>
      <w:tblPr>
        <w:tblOverlap w:val="never"/>
        <w:jc w:val="center"/>
        <w:tblLayout w:type="fixed"/>
      </w:tblPr>
      <w:tblGrid>
        <w:gridCol w:w="4968"/>
        <w:gridCol w:w="4618"/>
      </w:tblGrid>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333333"/>
                <w:spacing w:val="0"/>
                <w:w w:val="100"/>
                <w:position w:val="0"/>
                <w:sz w:val="20"/>
                <w:szCs w:val="2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中兴财光华会计师事务所（特殊普通合伙）</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333333"/>
                <w:spacing w:val="0"/>
                <w:w w:val="100"/>
                <w:position w:val="0"/>
                <w:sz w:val="20"/>
                <w:szCs w:val="2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333333"/>
                <w:spacing w:val="0"/>
                <w:w w:val="100"/>
                <w:position w:val="0"/>
                <w:sz w:val="20"/>
                <w:szCs w:val="2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年</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333333"/>
                <w:spacing w:val="0"/>
                <w:w w:val="100"/>
                <w:position w:val="0"/>
                <w:sz w:val="20"/>
                <w:szCs w:val="2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王焕军、马福珠</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333333"/>
                <w:spacing w:val="0"/>
                <w:w w:val="100"/>
                <w:position w:val="0"/>
                <w:sz w:val="20"/>
                <w:szCs w:val="20"/>
              </w:rPr>
              <w:t>境内会计师事务所注册会计师审计服务的连续年限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年</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333333"/>
                <w:spacing w:val="0"/>
                <w:w w:val="100"/>
                <w:position w:val="0"/>
                <w:sz w:val="20"/>
                <w:szCs w:val="20"/>
              </w:rPr>
              <w:t>境外会计师事务所名称（如有）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333333"/>
                <w:spacing w:val="0"/>
                <w:w w:val="100"/>
                <w:position w:val="0"/>
                <w:sz w:val="20"/>
                <w:szCs w:val="20"/>
              </w:rPr>
              <w:t>境外会计师事务所审计服务的连续年限（如有）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333333"/>
                <w:spacing w:val="0"/>
                <w:w w:val="100"/>
                <w:position w:val="0"/>
                <w:sz w:val="20"/>
                <w:szCs w:val="20"/>
              </w:rPr>
              <w:t>不适用</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333333"/>
                <w:spacing w:val="0"/>
                <w:w w:val="100"/>
                <w:position w:val="0"/>
                <w:sz w:val="20"/>
                <w:szCs w:val="20"/>
              </w:rPr>
              <w:t>境外会计师事务所注册会计师姓名（如有）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333333"/>
                <w:spacing w:val="0"/>
                <w:w w:val="100"/>
                <w:position w:val="0"/>
                <w:sz w:val="20"/>
                <w:szCs w:val="20"/>
              </w:rPr>
              <w:t>不适用</w:t>
            </w:r>
          </w:p>
        </w:tc>
      </w:tr>
      <w:tr>
        <w:trPr>
          <w:trHeight w:val="81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20"/>
                <w:szCs w:val="20"/>
              </w:rPr>
            </w:pPr>
            <w:r>
              <w:rPr>
                <w:color w:val="333333"/>
                <w:spacing w:val="0"/>
                <w:w w:val="100"/>
                <w:position w:val="0"/>
                <w:sz w:val="20"/>
                <w:szCs w:val="20"/>
              </w:rPr>
              <w:t>境外会计师事务所注册会计师审计服务的连续年限</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333333"/>
                <w:spacing w:val="0"/>
                <w:w w:val="100"/>
                <w:position w:val="0"/>
                <w:sz w:val="20"/>
                <w:szCs w:val="20"/>
              </w:rPr>
              <w:t>（如有）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333333"/>
                <w:spacing w:val="0"/>
                <w:w w:val="100"/>
                <w:position w:val="0"/>
                <w:sz w:val="20"/>
                <w:szCs w:val="20"/>
              </w:rPr>
              <w:t>不适用</w:t>
            </w:r>
          </w:p>
        </w:tc>
      </w:tr>
    </w:tbl>
    <w:p>
      <w:pPr>
        <w:widowControl w:val="0"/>
        <w:spacing w:after="79" w:line="1" w:lineRule="exact"/>
      </w:pPr>
    </w:p>
    <w:p>
      <w:pPr>
        <w:pStyle w:val="Style44"/>
        <w:keepNext w:val="0"/>
        <w:keepLines w:val="0"/>
        <w:widowControl w:val="0"/>
        <w:shd w:val="clear" w:color="auto" w:fill="auto"/>
        <w:bidi w:val="0"/>
        <w:spacing w:before="0" w:after="180" w:line="240" w:lineRule="auto"/>
        <w:ind w:left="0" w:right="0" w:firstLine="740"/>
        <w:jc w:val="left"/>
      </w:pPr>
      <w:r>
        <w:rPr>
          <w:color w:val="000000"/>
          <w:spacing w:val="0"/>
          <w:w w:val="100"/>
          <w:position w:val="0"/>
        </w:rPr>
        <w:t>是否改聘会计师事务所</w:t>
      </w:r>
    </w:p>
    <w:p>
      <w:pPr>
        <w:pStyle w:val="Style44"/>
        <w:keepNext w:val="0"/>
        <w:keepLines w:val="0"/>
        <w:widowControl w:val="0"/>
        <w:shd w:val="clear" w:color="auto" w:fill="auto"/>
        <w:bidi w:val="0"/>
        <w:spacing w:before="0" w:after="180" w:line="240" w:lineRule="auto"/>
        <w:ind w:left="0" w:right="0" w:firstLine="7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44"/>
        <w:keepNext w:val="0"/>
        <w:keepLines w:val="0"/>
        <w:widowControl w:val="0"/>
        <w:shd w:val="clear" w:color="auto" w:fill="auto"/>
        <w:bidi w:val="0"/>
        <w:spacing w:before="0" w:after="180" w:line="240" w:lineRule="auto"/>
        <w:ind w:left="0" w:right="0" w:firstLine="740"/>
        <w:jc w:val="left"/>
      </w:pPr>
      <w:r>
        <w:rPr>
          <w:color w:val="000000"/>
          <w:spacing w:val="0"/>
          <w:w w:val="100"/>
          <w:position w:val="0"/>
        </w:rPr>
        <w:t>聘请内部控制审计会计师事务所、财务顾问或保荐人情况</w:t>
      </w:r>
    </w:p>
    <w:p>
      <w:pPr>
        <w:pStyle w:val="Style44"/>
        <w:keepNext w:val="0"/>
        <w:keepLines w:val="0"/>
        <w:widowControl w:val="0"/>
        <w:shd w:val="clear" w:color="auto" w:fill="auto"/>
        <w:bidi w:val="0"/>
        <w:spacing w:before="0" w:after="340" w:line="240" w:lineRule="auto"/>
        <w:ind w:left="0" w:right="0" w:firstLine="7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2"/>
        <w:keepNext/>
        <w:keepLines/>
        <w:widowControl w:val="0"/>
        <w:shd w:val="clear" w:color="auto" w:fill="auto"/>
        <w:bidi w:val="0"/>
        <w:spacing w:before="0" w:after="340" w:line="240" w:lineRule="auto"/>
        <w:ind w:left="0" w:right="0" w:firstLine="740"/>
        <w:jc w:val="left"/>
      </w:pPr>
      <w:bookmarkStart w:id="331" w:name="bookmark331"/>
      <w:bookmarkStart w:id="332" w:name="bookmark332"/>
      <w:bookmarkStart w:id="333" w:name="bookmark333"/>
      <w:bookmarkStart w:id="334" w:name="bookmark334"/>
      <w:r>
        <w:rPr>
          <w:color w:val="000000"/>
          <w:spacing w:val="0"/>
          <w:w w:val="100"/>
          <w:position w:val="0"/>
        </w:rPr>
        <w:t>九</w:t>
      </w:r>
      <w:bookmarkEnd w:id="333"/>
      <w:r>
        <w:rPr>
          <w:color w:val="000000"/>
          <w:spacing w:val="0"/>
          <w:w w:val="100"/>
          <w:position w:val="0"/>
        </w:rPr>
        <w:t>、年度报告披露后面临暂停上市和终止上市情况</w:t>
      </w:r>
      <w:bookmarkEnd w:id="331"/>
      <w:bookmarkEnd w:id="332"/>
      <w:bookmarkEnd w:id="334"/>
    </w:p>
    <w:p>
      <w:pPr>
        <w:pStyle w:val="Style44"/>
        <w:keepNext w:val="0"/>
        <w:keepLines w:val="0"/>
        <w:widowControl w:val="0"/>
        <w:shd w:val="clear" w:color="auto" w:fill="auto"/>
        <w:bidi w:val="0"/>
        <w:spacing w:before="0" w:after="340" w:line="240" w:lineRule="auto"/>
        <w:ind w:left="0" w:right="0" w:firstLine="7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2"/>
        <w:keepNext/>
        <w:keepLines/>
        <w:widowControl w:val="0"/>
        <w:shd w:val="clear" w:color="auto" w:fill="auto"/>
        <w:bidi w:val="0"/>
        <w:spacing w:before="0" w:after="340" w:line="240" w:lineRule="auto"/>
        <w:ind w:left="0" w:right="0" w:firstLine="740"/>
        <w:jc w:val="left"/>
      </w:pPr>
      <w:bookmarkStart w:id="335" w:name="bookmark335"/>
      <w:bookmarkStart w:id="336" w:name="bookmark336"/>
      <w:bookmarkStart w:id="337" w:name="bookmark337"/>
      <w:r>
        <w:rPr>
          <w:color w:val="000000"/>
          <w:spacing w:val="0"/>
          <w:w w:val="100"/>
          <w:position w:val="0"/>
        </w:rPr>
        <w:t>十、破产重整相关事项</w:t>
      </w:r>
      <w:bookmarkEnd w:id="335"/>
      <w:bookmarkEnd w:id="336"/>
      <w:bookmarkEnd w:id="337"/>
    </w:p>
    <w:p>
      <w:pPr>
        <w:pStyle w:val="Style44"/>
        <w:keepNext w:val="0"/>
        <w:keepLines w:val="0"/>
        <w:widowControl w:val="0"/>
        <w:shd w:val="clear" w:color="auto" w:fill="auto"/>
        <w:bidi w:val="0"/>
        <w:spacing w:before="0" w:after="180" w:line="240" w:lineRule="auto"/>
        <w:ind w:left="0" w:right="0" w:firstLine="7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4"/>
        <w:keepNext w:val="0"/>
        <w:keepLines w:val="0"/>
        <w:widowControl w:val="0"/>
        <w:shd w:val="clear" w:color="auto" w:fill="auto"/>
        <w:bidi w:val="0"/>
        <w:spacing w:before="0" w:after="180" w:line="240" w:lineRule="auto"/>
        <w:ind w:left="0" w:right="0" w:firstLine="740"/>
        <w:jc w:val="left"/>
      </w:pPr>
      <w:r>
        <w:rPr>
          <w:color w:val="000000"/>
          <w:spacing w:val="0"/>
          <w:w w:val="100"/>
          <w:position w:val="0"/>
        </w:rPr>
        <w:t>公司报告期未发生破产重整相关事项。</w:t>
      </w:r>
    </w:p>
    <w:p>
      <w:pPr>
        <w:pStyle w:val="Style42"/>
        <w:keepNext/>
        <w:keepLines/>
        <w:widowControl w:val="0"/>
        <w:shd w:val="clear" w:color="auto" w:fill="auto"/>
        <w:bidi w:val="0"/>
        <w:spacing w:before="0" w:after="360" w:line="240" w:lineRule="auto"/>
        <w:ind w:left="0" w:right="0" w:firstLine="780"/>
        <w:jc w:val="both"/>
      </w:pPr>
      <w:bookmarkStart w:id="338" w:name="bookmark338"/>
      <w:bookmarkStart w:id="339" w:name="bookmark339"/>
      <w:bookmarkStart w:id="340" w:name="bookmark340"/>
      <w:r>
        <w:rPr>
          <w:color w:val="000000"/>
          <w:spacing w:val="0"/>
          <w:w w:val="100"/>
          <w:position w:val="0"/>
        </w:rPr>
        <w:t>十一、重大诉讼、仲裁事项</w:t>
      </w:r>
      <w:bookmarkEnd w:id="338"/>
      <w:bookmarkEnd w:id="339"/>
      <w:bookmarkEnd w:id="340"/>
    </w:p>
    <w:p>
      <w:pPr>
        <w:pStyle w:val="Style44"/>
        <w:keepNext w:val="0"/>
        <w:keepLines w:val="0"/>
        <w:widowControl w:val="0"/>
        <w:shd w:val="clear" w:color="auto" w:fill="auto"/>
        <w:bidi w:val="0"/>
        <w:spacing w:before="0" w:after="160" w:line="240" w:lineRule="auto"/>
        <w:ind w:left="0" w:right="0" w:firstLine="780"/>
        <w:jc w:val="both"/>
      </w:pPr>
      <w:r>
        <w:rPr>
          <w:color w:val="000000"/>
          <w:spacing w:val="0"/>
          <w:w w:val="100"/>
          <w:position w:val="0"/>
        </w:rPr>
        <w:t>重大诉讼、仲裁事项</w:t>
      </w:r>
    </w:p>
    <w:p>
      <w:pPr>
        <w:pStyle w:val="Style44"/>
        <w:keepNext w:val="0"/>
        <w:keepLines w:val="0"/>
        <w:widowControl w:val="0"/>
        <w:shd w:val="clear" w:color="auto" w:fill="auto"/>
        <w:bidi w:val="0"/>
        <w:spacing w:before="0" w:after="160" w:line="240" w:lineRule="auto"/>
        <w:ind w:left="0" w:right="0" w:firstLine="7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915"/>
        <w:gridCol w:w="926"/>
        <w:gridCol w:w="994"/>
        <w:gridCol w:w="1133"/>
        <w:gridCol w:w="1416"/>
        <w:gridCol w:w="1704"/>
        <w:gridCol w:w="989"/>
        <w:gridCol w:w="128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诉讼</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仲裁</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基本情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涉案金 额（万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是否形成 预计负债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sz w:val="20"/>
                <w:szCs w:val="20"/>
              </w:rPr>
              <w:t>诉讼</w:t>
            </w:r>
            <w:r>
              <w:rPr>
                <w:rFonts w:ascii="Times New Roman" w:eastAsia="Times New Roman" w:hAnsi="Times New Roman" w:cs="Times New Roman"/>
                <w:color w:val="000000"/>
                <w:spacing w:val="0"/>
                <w:w w:val="100"/>
                <w:position w:val="0"/>
              </w:rPr>
              <w:t>（</w:t>
            </w:r>
            <w:r>
              <w:rPr>
                <w:color w:val="000000"/>
                <w:spacing w:val="0"/>
                <w:w w:val="100"/>
                <w:position w:val="0"/>
                <w:sz w:val="20"/>
                <w:szCs w:val="20"/>
              </w:rPr>
              <w:t>仲裁</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诉讼</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仲裁</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审 理结果及影响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诉讼</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仲裁</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判决 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披露索引</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公司全资子公司国 民科技、国民投资 就要求斯诺实业业 绩承诺方鲍海友履 行相关业绩补偿承 诺事项向深圳市中 级人民法院提起诉 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亿元及 其相应 违约金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 xml:space="preserve">已收到《民 事调解 书》，并于 </w:t>
            </w:r>
            <w:r>
              <w:rPr>
                <w:rFonts w:ascii="Times New Roman" w:eastAsia="Times New Roman" w:hAnsi="Times New Roman" w:cs="Times New Roman"/>
                <w:color w:val="000000"/>
                <w:spacing w:val="0"/>
                <w:w w:val="100"/>
                <w:position w:val="0"/>
                <w:sz w:val="22"/>
                <w:szCs w:val="22"/>
              </w:rPr>
              <w:t xml:space="preserve">2019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2"/>
                <w:szCs w:val="22"/>
              </w:rPr>
              <w:t xml:space="preserve">11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15</w:t>
            </w:r>
            <w:r>
              <w:rPr>
                <w:color w:val="000000"/>
                <w:spacing w:val="0"/>
                <w:w w:val="100"/>
                <w:position w:val="0"/>
                <w:sz w:val="20"/>
                <w:szCs w:val="20"/>
              </w:rPr>
              <w:t>日生 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业绩承诺方应 自本案《民事 调解书》生效 之日起</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个工 作日内支付业 绩补偿款。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260"/>
              <w:jc w:val="both"/>
              <w:rPr>
                <w:sz w:val="20"/>
                <w:szCs w:val="20"/>
              </w:rPr>
            </w:pPr>
            <w:r>
              <w:rPr>
                <w:color w:val="000000"/>
                <w:spacing w:val="0"/>
                <w:w w:val="100"/>
                <w:position w:val="0"/>
                <w:sz w:val="20"/>
                <w:szCs w:val="20"/>
              </w:rPr>
              <w:t>深圳市中级人 民法院已对业绩 承诺方进行强制 执行，公开拍卖 其持股权资产， 用于抵偿业绩补 偿款及违约金。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2020-12-0</w:t>
            </w:r>
          </w:p>
          <w:p>
            <w:pPr>
              <w:pStyle w:val="Style2"/>
              <w:keepNext w:val="0"/>
              <w:keepLines w:val="0"/>
              <w:widowControl w:val="0"/>
              <w:shd w:val="clear" w:color="auto" w:fill="auto"/>
              <w:tabs>
                <w:tab w:pos="730" w:val="left"/>
              </w:tabs>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4</w:t>
              <w:tab/>
            </w:r>
            <w:r>
              <w:rPr>
                <w:color w:val="000000"/>
                <w:spacing w:val="0"/>
                <w:w w:val="100"/>
                <w:position w:val="0"/>
                <w:sz w:val="20"/>
                <w:szCs w:val="20"/>
              </w:rPr>
              <w:t>、</w:t>
            </w:r>
          </w:p>
          <w:p>
            <w:pPr>
              <w:pStyle w:val="Style2"/>
              <w:keepNext w:val="0"/>
              <w:keepLines w:val="0"/>
              <w:widowControl w:val="0"/>
              <w:numPr>
                <w:ilvl w:val="0"/>
                <w:numId w:val="5"/>
              </w:numPr>
              <w:shd w:val="clear" w:color="auto" w:fill="auto"/>
              <w:tabs>
                <w:tab w:pos="533" w:val="left"/>
              </w:tabs>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12-1</w:t>
            </w:r>
          </w:p>
          <w:p>
            <w:pPr>
              <w:pStyle w:val="Style2"/>
              <w:keepNext w:val="0"/>
              <w:keepLines w:val="0"/>
              <w:widowControl w:val="0"/>
              <w:shd w:val="clear" w:color="auto" w:fill="auto"/>
              <w:bidi w:val="0"/>
              <w:spacing w:before="0" w:after="1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0"/>
                <w:szCs w:val="20"/>
              </w:rPr>
              <w:t>、</w:t>
            </w:r>
          </w:p>
          <w:p>
            <w:pPr>
              <w:pStyle w:val="Style2"/>
              <w:keepNext w:val="0"/>
              <w:keepLines w:val="0"/>
              <w:widowControl w:val="0"/>
              <w:numPr>
                <w:ilvl w:val="0"/>
                <w:numId w:val="5"/>
              </w:numPr>
              <w:shd w:val="clear" w:color="auto" w:fill="auto"/>
              <w:tabs>
                <w:tab w:pos="514" w:val="left"/>
              </w:tabs>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01-2</w:t>
            </w:r>
          </w:p>
          <w:p>
            <w:pPr>
              <w:pStyle w:val="Style2"/>
              <w:keepNext w:val="0"/>
              <w:keepLines w:val="0"/>
              <w:widowControl w:val="0"/>
              <w:shd w:val="clear" w:color="auto" w:fill="auto"/>
              <w:tabs>
                <w:tab w:pos="725" w:val="left"/>
              </w:tabs>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6</w:t>
              <w:tab/>
            </w:r>
            <w:r>
              <w:rPr>
                <w:color w:val="000000"/>
                <w:spacing w:val="0"/>
                <w:w w:val="100"/>
                <w:position w:val="0"/>
                <w:sz w:val="20"/>
                <w:szCs w:val="20"/>
              </w:rPr>
              <w:t>、</w:t>
            </w:r>
          </w:p>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2021-4-14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05" w:lineRule="exact"/>
              <w:ind w:left="0" w:right="0" w:firstLine="0"/>
              <w:jc w:val="both"/>
              <w:rPr>
                <w:sz w:val="20"/>
                <w:szCs w:val="20"/>
              </w:rPr>
            </w:pPr>
            <w:r>
              <w:rPr>
                <w:color w:val="000000"/>
                <w:spacing w:val="0"/>
                <w:w w:val="100"/>
                <w:position w:val="0"/>
                <w:sz w:val="20"/>
                <w:szCs w:val="20"/>
              </w:rPr>
              <w:t xml:space="preserve">巨潮资讯网 公告编号： </w:t>
            </w:r>
            <w:r>
              <w:rPr>
                <w:rFonts w:ascii="Times New Roman" w:eastAsia="Times New Roman" w:hAnsi="Times New Roman" w:cs="Times New Roman"/>
                <w:color w:val="000000"/>
                <w:spacing w:val="0"/>
                <w:w w:val="100"/>
                <w:position w:val="0"/>
                <w:sz w:val="22"/>
                <w:szCs w:val="22"/>
              </w:rPr>
              <w:t>2020-074</w:t>
            </w:r>
            <w:r>
              <w:rPr>
                <w:color w:val="000000"/>
                <w:spacing w:val="0"/>
                <w:w w:val="100"/>
                <w:position w:val="0"/>
                <w:sz w:val="20"/>
                <w:szCs w:val="20"/>
              </w:rPr>
              <w:t>、</w:t>
            </w:r>
          </w:p>
          <w:p>
            <w:pPr>
              <w:pStyle w:val="Style2"/>
              <w:keepNext w:val="0"/>
              <w:keepLines w:val="0"/>
              <w:widowControl w:val="0"/>
              <w:numPr>
                <w:ilvl w:val="0"/>
                <w:numId w:val="7"/>
              </w:numPr>
              <w:shd w:val="clear" w:color="auto" w:fill="auto"/>
              <w:tabs>
                <w:tab w:pos="518" w:val="left"/>
              </w:tabs>
              <w:bidi w:val="0"/>
              <w:spacing w:before="0" w:after="0" w:line="29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076</w:t>
            </w:r>
            <w:r>
              <w:rPr>
                <w:color w:val="000000"/>
                <w:spacing w:val="0"/>
                <w:w w:val="100"/>
                <w:position w:val="0"/>
                <w:sz w:val="20"/>
                <w:szCs w:val="20"/>
              </w:rPr>
              <w:t>、</w:t>
            </w:r>
          </w:p>
          <w:p>
            <w:pPr>
              <w:pStyle w:val="Style2"/>
              <w:keepNext w:val="0"/>
              <w:keepLines w:val="0"/>
              <w:widowControl w:val="0"/>
              <w:numPr>
                <w:ilvl w:val="0"/>
                <w:numId w:val="7"/>
              </w:numPr>
              <w:shd w:val="clear" w:color="auto" w:fill="auto"/>
              <w:tabs>
                <w:tab w:pos="518" w:val="left"/>
                <w:tab w:pos="984" w:val="left"/>
              </w:tabs>
              <w:bidi w:val="0"/>
              <w:spacing w:before="0" w:after="0" w:line="29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005</w:t>
              <w:tab/>
            </w:r>
            <w:r>
              <w:rPr>
                <w:color w:val="000000"/>
                <w:spacing w:val="0"/>
                <w:w w:val="100"/>
                <w:position w:val="0"/>
                <w:sz w:val="20"/>
                <w:szCs w:val="20"/>
              </w:rPr>
              <w:t>、</w:t>
            </w:r>
          </w:p>
          <w:p>
            <w:pPr>
              <w:pStyle w:val="Style2"/>
              <w:keepNext w:val="0"/>
              <w:keepLines w:val="0"/>
              <w:widowControl w:val="0"/>
              <w:shd w:val="clear" w:color="auto" w:fill="auto"/>
              <w:bidi w:val="0"/>
              <w:spacing w:before="0" w:after="0" w:line="290" w:lineRule="auto"/>
              <w:ind w:left="0" w:right="0" w:firstLine="0"/>
              <w:jc w:val="both"/>
            </w:pPr>
            <w:r>
              <w:rPr>
                <w:rFonts w:ascii="Times New Roman" w:eastAsia="Times New Roman" w:hAnsi="Times New Roman" w:cs="Times New Roman"/>
                <w:color w:val="000000"/>
                <w:spacing w:val="0"/>
                <w:w w:val="100"/>
                <w:position w:val="0"/>
              </w:rPr>
              <w:t>2021-009</w:t>
            </w:r>
          </w:p>
        </w:tc>
      </w:tr>
    </w:tbl>
    <w:p>
      <w:pPr>
        <w:pStyle w:val="Style44"/>
        <w:keepNext w:val="0"/>
        <w:keepLines w:val="0"/>
        <w:widowControl w:val="0"/>
        <w:shd w:val="clear" w:color="auto" w:fill="auto"/>
        <w:bidi w:val="0"/>
        <w:spacing w:before="0" w:after="160" w:line="432" w:lineRule="exact"/>
        <w:ind w:left="780" w:right="0" w:firstLine="0"/>
        <w:jc w:val="both"/>
      </w:pPr>
      <w:r>
        <w:rPr>
          <w:color w:val="000000"/>
          <w:spacing w:val="0"/>
          <w:w w:val="100"/>
          <w:position w:val="0"/>
        </w:rPr>
        <w:t xml:space="preserve">其他诉讼事项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848"/>
        <w:gridCol w:w="994"/>
        <w:gridCol w:w="994"/>
        <w:gridCol w:w="1699"/>
        <w:gridCol w:w="1416"/>
        <w:gridCol w:w="1277"/>
        <w:gridCol w:w="994"/>
        <w:gridCol w:w="114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诉讼</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仲裁</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基本情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涉案金额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是否形成 预计负债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诉讼</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仲裁</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诉讼</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仲裁</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审 理结果及影响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诉讼</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仲裁</w:t>
            </w:r>
            <w:r>
              <w:rPr>
                <w:rFonts w:ascii="Times New Roman" w:eastAsia="Times New Roman" w:hAnsi="Times New Roman" w:cs="Times New Roman"/>
                <w:color w:val="000000"/>
                <w:spacing w:val="0"/>
                <w:w w:val="100"/>
                <w:position w:val="0"/>
                <w:sz w:val="22"/>
                <w:szCs w:val="22"/>
              </w:rPr>
              <w:t xml:space="preserve">） </w:t>
            </w:r>
            <w:r>
              <w:rPr>
                <w:color w:val="000000"/>
                <w:spacing w:val="0"/>
                <w:w w:val="100"/>
                <w:position w:val="0"/>
                <w:sz w:val="20"/>
                <w:szCs w:val="20"/>
              </w:rPr>
              <w:t>判决执行情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披露索引</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未达到重大的诉 讼、仲裁事项汇总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10,215.53</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其中</w:t>
            </w:r>
            <w:r>
              <w:rPr>
                <w:rFonts w:ascii="Times New Roman" w:eastAsia="Times New Roman" w:hAnsi="Times New Roman" w:cs="Times New Roman"/>
                <w:color w:val="000000"/>
                <w:spacing w:val="0"/>
                <w:w w:val="100"/>
                <w:position w:val="0"/>
                <w:sz w:val="22"/>
                <w:szCs w:val="22"/>
              </w:rPr>
              <w:t>5,656.99</w:t>
            </w:r>
            <w:r>
              <w:rPr>
                <w:color w:val="000000"/>
                <w:spacing w:val="0"/>
                <w:w w:val="100"/>
                <w:position w:val="0"/>
                <w:sz w:val="20"/>
                <w:szCs w:val="20"/>
              </w:rPr>
              <w:t xml:space="preserve">万 元已结案，未结 案件金额为 </w:t>
            </w:r>
            <w:r>
              <w:rPr>
                <w:rFonts w:ascii="Times New Roman" w:eastAsia="Times New Roman" w:hAnsi="Times New Roman" w:cs="Times New Roman"/>
                <w:color w:val="000000"/>
                <w:spacing w:val="0"/>
                <w:w w:val="100"/>
                <w:position w:val="0"/>
                <w:sz w:val="22"/>
                <w:szCs w:val="22"/>
              </w:rPr>
              <w:t xml:space="preserve">4,558.54 </w:t>
            </w:r>
            <w:r>
              <w:rPr>
                <w:color w:val="000000"/>
                <w:spacing w:val="0"/>
                <w:w w:val="100"/>
                <w:position w:val="0"/>
                <w:sz w:val="20"/>
                <w:szCs w:val="2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对公司无重大 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暂无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44"/>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报告期内，公司及子公司除重大诉讼事项外其他诉讼、仲裁事项金额合计</w:t>
      </w:r>
      <w:r>
        <w:rPr>
          <w:rFonts w:ascii="Times New Roman" w:eastAsia="Times New Roman" w:hAnsi="Times New Roman" w:cs="Times New Roman"/>
          <w:color w:val="000000"/>
          <w:spacing w:val="0"/>
          <w:w w:val="100"/>
          <w:position w:val="0"/>
        </w:rPr>
        <w:t>10,215.53</w:t>
      </w:r>
      <w:r>
        <w:rPr>
          <w:color w:val="000000"/>
          <w:spacing w:val="0"/>
          <w:w w:val="100"/>
          <w:position w:val="0"/>
        </w:rPr>
        <w:t>万元。</w:t>
      </w:r>
    </w:p>
    <w:p>
      <w:pPr>
        <w:pStyle w:val="Style44"/>
        <w:keepNext w:val="0"/>
        <w:keepLines w:val="0"/>
        <w:widowControl w:val="0"/>
        <w:shd w:val="clear" w:color="auto" w:fill="auto"/>
        <w:bidi w:val="0"/>
        <w:spacing w:before="0" w:after="160" w:line="240" w:lineRule="auto"/>
        <w:ind w:left="0" w:right="0" w:firstLine="780"/>
        <w:jc w:val="left"/>
      </w:pPr>
      <w:r>
        <w:rPr>
          <w:color w:val="000000"/>
          <w:spacing w:val="0"/>
          <w:w w:val="100"/>
          <w:position w:val="0"/>
        </w:rPr>
        <w:t>截至本报告期末，己结案件金额</w:t>
      </w:r>
      <w:r>
        <w:rPr>
          <w:rFonts w:ascii="Times New Roman" w:eastAsia="Times New Roman" w:hAnsi="Times New Roman" w:cs="Times New Roman"/>
          <w:color w:val="000000"/>
          <w:spacing w:val="0"/>
          <w:w w:val="100"/>
          <w:position w:val="0"/>
        </w:rPr>
        <w:t>5,656.99</w:t>
      </w:r>
      <w:r>
        <w:rPr>
          <w:color w:val="000000"/>
          <w:spacing w:val="0"/>
          <w:w w:val="100"/>
          <w:position w:val="0"/>
        </w:rPr>
        <w:t>万元，未结案件金额</w:t>
      </w:r>
      <w:r>
        <w:rPr>
          <w:rFonts w:ascii="Times New Roman" w:eastAsia="Times New Roman" w:hAnsi="Times New Roman" w:cs="Times New Roman"/>
          <w:color w:val="000000"/>
          <w:spacing w:val="0"/>
          <w:w w:val="100"/>
          <w:position w:val="0"/>
        </w:rPr>
        <w:t>4,558.54</w:t>
      </w:r>
      <w:r>
        <w:rPr>
          <w:color w:val="000000"/>
          <w:spacing w:val="0"/>
          <w:w w:val="100"/>
          <w:position w:val="0"/>
        </w:rPr>
        <w:t>万元。未结案件中我方</w:t>
      </w:r>
    </w:p>
    <w:p>
      <w:pPr>
        <w:pStyle w:val="Style44"/>
        <w:keepNext w:val="0"/>
        <w:keepLines w:val="0"/>
        <w:widowControl w:val="0"/>
        <w:shd w:val="clear" w:color="auto" w:fill="auto"/>
        <w:bidi w:val="0"/>
        <w:spacing w:before="0" w:after="500" w:line="240" w:lineRule="auto"/>
        <w:ind w:left="0" w:right="0" w:firstLine="780"/>
        <w:jc w:val="left"/>
      </w:pPr>
      <w:r>
        <w:rPr>
          <w:color w:val="000000"/>
          <w:spacing w:val="0"/>
          <w:w w:val="100"/>
          <w:position w:val="0"/>
        </w:rPr>
        <w:t>作为原告的案件涉及金额</w:t>
      </w:r>
      <w:r>
        <w:rPr>
          <w:rFonts w:ascii="Times New Roman" w:eastAsia="Times New Roman" w:hAnsi="Times New Roman" w:cs="Times New Roman"/>
          <w:color w:val="000000"/>
          <w:spacing w:val="0"/>
          <w:w w:val="100"/>
          <w:position w:val="0"/>
        </w:rPr>
        <w:t>3,541.04</w:t>
      </w:r>
      <w:r>
        <w:rPr>
          <w:color w:val="000000"/>
          <w:spacing w:val="0"/>
          <w:w w:val="100"/>
          <w:position w:val="0"/>
        </w:rPr>
        <w:t>万元，我方作为被告的案件涉及金额</w:t>
      </w:r>
      <w:r>
        <w:rPr>
          <w:rFonts w:ascii="Times New Roman" w:eastAsia="Times New Roman" w:hAnsi="Times New Roman" w:cs="Times New Roman"/>
          <w:color w:val="000000"/>
          <w:spacing w:val="0"/>
          <w:w w:val="100"/>
          <w:position w:val="0"/>
        </w:rPr>
        <w:t>1,017.50</w:t>
      </w:r>
      <w:r>
        <w:rPr>
          <w:color w:val="000000"/>
          <w:spacing w:val="0"/>
          <w:w w:val="100"/>
          <w:position w:val="0"/>
        </w:rPr>
        <w:t>元。</w:t>
      </w:r>
    </w:p>
    <w:p>
      <w:pPr>
        <w:pStyle w:val="Style42"/>
        <w:keepNext/>
        <w:keepLines/>
        <w:widowControl w:val="0"/>
        <w:shd w:val="clear" w:color="auto" w:fill="auto"/>
        <w:bidi w:val="0"/>
        <w:spacing w:before="0" w:after="420" w:line="240" w:lineRule="auto"/>
        <w:ind w:left="0" w:right="0" w:firstLine="780"/>
        <w:jc w:val="left"/>
      </w:pPr>
      <w:bookmarkStart w:id="341" w:name="bookmark341"/>
      <w:bookmarkStart w:id="342" w:name="bookmark342"/>
      <w:bookmarkStart w:id="343" w:name="bookmark343"/>
      <w:r>
        <w:rPr>
          <w:color w:val="000000"/>
          <w:spacing w:val="0"/>
          <w:w w:val="100"/>
          <w:position w:val="0"/>
        </w:rPr>
        <w:t>十二、处罚及整改情况</w:t>
      </w:r>
      <w:bookmarkEnd w:id="341"/>
      <w:bookmarkEnd w:id="342"/>
      <w:bookmarkEnd w:id="343"/>
    </w:p>
    <w:p>
      <w:pPr>
        <w:pStyle w:val="Style44"/>
        <w:keepNext w:val="0"/>
        <w:keepLines w:val="0"/>
        <w:widowControl w:val="0"/>
        <w:shd w:val="clear" w:color="auto" w:fill="auto"/>
        <w:bidi w:val="0"/>
        <w:spacing w:before="0" w:after="160" w:line="240" w:lineRule="auto"/>
        <w:ind w:left="0" w:right="0" w:firstLine="7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4"/>
        <w:keepNext w:val="0"/>
        <w:keepLines w:val="0"/>
        <w:widowControl w:val="0"/>
        <w:shd w:val="clear" w:color="auto" w:fill="auto"/>
        <w:bidi w:val="0"/>
        <w:spacing w:before="0" w:after="360" w:line="240" w:lineRule="auto"/>
        <w:ind w:left="0" w:right="0" w:firstLine="780"/>
        <w:jc w:val="both"/>
      </w:pPr>
      <w:r>
        <w:rPr>
          <w:color w:val="000000"/>
          <w:spacing w:val="0"/>
          <w:w w:val="100"/>
          <w:position w:val="0"/>
        </w:rPr>
        <w:t>公司报告期不存在处罚及整改情况。</w:t>
      </w:r>
    </w:p>
    <w:p>
      <w:pPr>
        <w:pStyle w:val="Style42"/>
        <w:keepNext/>
        <w:keepLines/>
        <w:widowControl w:val="0"/>
        <w:shd w:val="clear" w:color="auto" w:fill="auto"/>
        <w:bidi w:val="0"/>
        <w:spacing w:before="0" w:after="360" w:line="240" w:lineRule="auto"/>
        <w:ind w:left="0" w:right="0" w:firstLine="780"/>
        <w:jc w:val="both"/>
      </w:pPr>
      <w:bookmarkStart w:id="344" w:name="bookmark344"/>
      <w:bookmarkStart w:id="345" w:name="bookmark345"/>
      <w:bookmarkStart w:id="346" w:name="bookmark346"/>
      <w:r>
        <w:rPr>
          <w:color w:val="000000"/>
          <w:spacing w:val="0"/>
          <w:w w:val="100"/>
          <w:position w:val="0"/>
        </w:rPr>
        <w:t>十三、公司及其控股股东、实际控制人的诚信状况</w:t>
      </w:r>
      <w:bookmarkEnd w:id="344"/>
      <w:bookmarkEnd w:id="345"/>
      <w:bookmarkEnd w:id="346"/>
    </w:p>
    <w:p>
      <w:pPr>
        <w:pStyle w:val="Style44"/>
        <w:keepNext w:val="0"/>
        <w:keepLines w:val="0"/>
        <w:widowControl w:val="0"/>
        <w:shd w:val="clear" w:color="auto" w:fill="auto"/>
        <w:bidi w:val="0"/>
        <w:spacing w:before="0" w:after="160" w:line="240" w:lineRule="auto"/>
        <w:ind w:left="0" w:right="0" w:firstLine="7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2"/>
        <w:keepNext/>
        <w:keepLines/>
        <w:widowControl w:val="0"/>
        <w:shd w:val="clear" w:color="auto" w:fill="auto"/>
        <w:bidi w:val="0"/>
        <w:spacing w:before="0" w:after="340" w:line="240" w:lineRule="auto"/>
        <w:ind w:left="0" w:right="0" w:firstLine="780"/>
        <w:jc w:val="left"/>
      </w:pPr>
      <w:bookmarkStart w:id="347" w:name="bookmark347"/>
      <w:bookmarkStart w:id="348" w:name="bookmark348"/>
      <w:bookmarkStart w:id="349" w:name="bookmark349"/>
      <w:r>
        <w:rPr>
          <w:color w:val="000000"/>
          <w:spacing w:val="0"/>
          <w:w w:val="100"/>
          <w:position w:val="0"/>
        </w:rPr>
        <w:t>十四、公司股权激励计划、员工持股计划或其他员工激励措施的实施情况</w:t>
      </w:r>
      <w:bookmarkEnd w:id="347"/>
      <w:bookmarkEnd w:id="348"/>
      <w:bookmarkEnd w:id="349"/>
    </w:p>
    <w:p>
      <w:pPr>
        <w:pStyle w:val="Style44"/>
        <w:keepNext w:val="0"/>
        <w:keepLines w:val="0"/>
        <w:widowControl w:val="0"/>
        <w:shd w:val="clear" w:color="auto" w:fill="auto"/>
        <w:bidi w:val="0"/>
        <w:spacing w:before="0" w:after="160" w:line="240" w:lineRule="auto"/>
        <w:ind w:left="0" w:right="0" w:firstLine="7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4"/>
        <w:keepNext w:val="0"/>
        <w:keepLines w:val="0"/>
        <w:widowControl w:val="0"/>
        <w:shd w:val="clear" w:color="auto" w:fill="auto"/>
        <w:bidi w:val="0"/>
        <w:spacing w:before="0" w:after="340" w:line="240" w:lineRule="auto"/>
        <w:ind w:left="0" w:right="0" w:firstLine="780"/>
        <w:jc w:val="left"/>
      </w:pPr>
      <w:r>
        <w:rPr>
          <w:color w:val="000000"/>
          <w:spacing w:val="0"/>
          <w:w w:val="100"/>
          <w:position w:val="0"/>
        </w:rPr>
        <w:t>公司报告期无股权激励计划、员工持股计划或其他员工激励措施及其实施情况。</w:t>
      </w:r>
    </w:p>
    <w:p>
      <w:pPr>
        <w:pStyle w:val="Style42"/>
        <w:keepNext/>
        <w:keepLines/>
        <w:widowControl w:val="0"/>
        <w:shd w:val="clear" w:color="auto" w:fill="auto"/>
        <w:bidi w:val="0"/>
        <w:spacing w:before="0" w:after="340" w:line="240" w:lineRule="auto"/>
        <w:ind w:left="0" w:right="0" w:firstLine="780"/>
        <w:jc w:val="both"/>
      </w:pPr>
      <w:bookmarkStart w:id="350" w:name="bookmark350"/>
      <w:bookmarkStart w:id="351" w:name="bookmark351"/>
      <w:bookmarkStart w:id="352" w:name="bookmark352"/>
      <w:r>
        <w:rPr>
          <w:color w:val="000000"/>
          <w:spacing w:val="0"/>
          <w:w w:val="100"/>
          <w:position w:val="0"/>
        </w:rPr>
        <w:t>十五、重大关联交易</w:t>
      </w:r>
      <w:bookmarkEnd w:id="350"/>
      <w:bookmarkEnd w:id="351"/>
      <w:bookmarkEnd w:id="352"/>
    </w:p>
    <w:p>
      <w:pPr>
        <w:pStyle w:val="Style52"/>
        <w:keepNext/>
        <w:keepLines/>
        <w:widowControl w:val="0"/>
        <w:shd w:val="clear" w:color="auto" w:fill="auto"/>
        <w:tabs>
          <w:tab w:pos="1158" w:val="left"/>
        </w:tabs>
        <w:bidi w:val="0"/>
        <w:spacing w:before="0" w:after="340" w:line="240" w:lineRule="auto"/>
        <w:ind w:left="0" w:right="0" w:firstLine="78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1</w:t>
      </w:r>
      <w:bookmarkEnd w:id="355"/>
      <w:r>
        <w:rPr>
          <w:color w:val="000000"/>
          <w:spacing w:val="0"/>
          <w:w w:val="100"/>
          <w:position w:val="0"/>
        </w:rPr>
        <w:t>、</w:t>
        <w:tab/>
        <w:t>与日常经营相关的关联交易</w:t>
      </w:r>
      <w:bookmarkEnd w:id="353"/>
      <w:bookmarkEnd w:id="354"/>
      <w:bookmarkEnd w:id="356"/>
    </w:p>
    <w:p>
      <w:pPr>
        <w:pStyle w:val="Style44"/>
        <w:keepNext w:val="0"/>
        <w:keepLines w:val="0"/>
        <w:widowControl w:val="0"/>
        <w:shd w:val="clear" w:color="auto" w:fill="auto"/>
        <w:bidi w:val="0"/>
        <w:spacing w:before="0" w:after="160" w:line="240" w:lineRule="auto"/>
        <w:ind w:left="0" w:right="0" w:firstLine="7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4"/>
        <w:keepNext w:val="0"/>
        <w:keepLines w:val="0"/>
        <w:widowControl w:val="0"/>
        <w:shd w:val="clear" w:color="auto" w:fill="auto"/>
        <w:bidi w:val="0"/>
        <w:spacing w:before="0" w:after="340" w:line="240" w:lineRule="auto"/>
        <w:ind w:left="0" w:right="0" w:firstLine="780"/>
        <w:jc w:val="left"/>
      </w:pPr>
      <w:r>
        <w:rPr>
          <w:color w:val="000000"/>
          <w:spacing w:val="0"/>
          <w:w w:val="100"/>
          <w:position w:val="0"/>
        </w:rPr>
        <w:t>公司报告期未发生与日常经营相关的关联交易。</w:t>
      </w:r>
    </w:p>
    <w:p>
      <w:pPr>
        <w:pStyle w:val="Style52"/>
        <w:keepNext/>
        <w:keepLines/>
        <w:widowControl w:val="0"/>
        <w:shd w:val="clear" w:color="auto" w:fill="auto"/>
        <w:tabs>
          <w:tab w:pos="1172" w:val="left"/>
        </w:tabs>
        <w:bidi w:val="0"/>
        <w:spacing w:before="0" w:after="340" w:line="240" w:lineRule="auto"/>
        <w:ind w:left="0" w:right="0" w:firstLine="78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2</w:t>
      </w:r>
      <w:bookmarkEnd w:id="359"/>
      <w:r>
        <w:rPr>
          <w:color w:val="000000"/>
          <w:spacing w:val="0"/>
          <w:w w:val="100"/>
          <w:position w:val="0"/>
        </w:rPr>
        <w:t>、</w:t>
        <w:tab/>
        <w:t>资产或股权收购、出售发生的关联交易</w:t>
      </w:r>
      <w:bookmarkEnd w:id="357"/>
      <w:bookmarkEnd w:id="358"/>
      <w:bookmarkEnd w:id="360"/>
    </w:p>
    <w:p>
      <w:pPr>
        <w:pStyle w:val="Style44"/>
        <w:keepNext w:val="0"/>
        <w:keepLines w:val="0"/>
        <w:widowControl w:val="0"/>
        <w:shd w:val="clear" w:color="auto" w:fill="auto"/>
        <w:bidi w:val="0"/>
        <w:spacing w:before="0" w:after="160" w:line="240" w:lineRule="auto"/>
        <w:ind w:left="0" w:right="0" w:firstLine="7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4"/>
        <w:keepNext w:val="0"/>
        <w:keepLines w:val="0"/>
        <w:widowControl w:val="0"/>
        <w:shd w:val="clear" w:color="auto" w:fill="auto"/>
        <w:bidi w:val="0"/>
        <w:spacing w:before="0" w:after="340" w:line="240" w:lineRule="auto"/>
        <w:ind w:left="0" w:right="0" w:firstLine="780"/>
        <w:jc w:val="left"/>
      </w:pPr>
      <w:r>
        <w:rPr>
          <w:color w:val="000000"/>
          <w:spacing w:val="0"/>
          <w:w w:val="100"/>
          <w:position w:val="0"/>
        </w:rPr>
        <w:t>公司报告期未发生资产或股权收购、出售的关联交易。</w:t>
      </w:r>
    </w:p>
    <w:p>
      <w:pPr>
        <w:pStyle w:val="Style52"/>
        <w:keepNext/>
        <w:keepLines/>
        <w:widowControl w:val="0"/>
        <w:shd w:val="clear" w:color="auto" w:fill="auto"/>
        <w:tabs>
          <w:tab w:pos="1172" w:val="left"/>
        </w:tabs>
        <w:bidi w:val="0"/>
        <w:spacing w:before="0" w:after="340" w:line="240" w:lineRule="auto"/>
        <w:ind w:left="0" w:right="0" w:firstLine="78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3</w:t>
      </w:r>
      <w:bookmarkEnd w:id="363"/>
      <w:r>
        <w:rPr>
          <w:color w:val="000000"/>
          <w:spacing w:val="0"/>
          <w:w w:val="100"/>
          <w:position w:val="0"/>
        </w:rPr>
        <w:t>、</w:t>
        <w:tab/>
        <w:t>共同对外投资的关联交易</w:t>
      </w:r>
      <w:bookmarkEnd w:id="361"/>
      <w:bookmarkEnd w:id="362"/>
      <w:bookmarkEnd w:id="364"/>
    </w:p>
    <w:p>
      <w:pPr>
        <w:pStyle w:val="Style44"/>
        <w:keepNext w:val="0"/>
        <w:keepLines w:val="0"/>
        <w:widowControl w:val="0"/>
        <w:shd w:val="clear" w:color="auto" w:fill="auto"/>
        <w:bidi w:val="0"/>
        <w:spacing w:before="0" w:after="160" w:line="240" w:lineRule="auto"/>
        <w:ind w:left="0" w:right="0" w:firstLine="7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4"/>
        <w:keepNext w:val="0"/>
        <w:keepLines w:val="0"/>
        <w:widowControl w:val="0"/>
        <w:shd w:val="clear" w:color="auto" w:fill="auto"/>
        <w:bidi w:val="0"/>
        <w:spacing w:before="0" w:after="340" w:line="240" w:lineRule="auto"/>
        <w:ind w:left="0" w:right="0" w:firstLine="780"/>
        <w:jc w:val="left"/>
      </w:pPr>
      <w:r>
        <w:rPr>
          <w:color w:val="000000"/>
          <w:spacing w:val="0"/>
          <w:w w:val="100"/>
          <w:position w:val="0"/>
        </w:rPr>
        <w:t>公司报告期未发生共同对外投资的关联交易。</w:t>
      </w:r>
    </w:p>
    <w:p>
      <w:pPr>
        <w:pStyle w:val="Style52"/>
        <w:keepNext/>
        <w:keepLines/>
        <w:widowControl w:val="0"/>
        <w:shd w:val="clear" w:color="auto" w:fill="auto"/>
        <w:tabs>
          <w:tab w:pos="1172" w:val="left"/>
        </w:tabs>
        <w:bidi w:val="0"/>
        <w:spacing w:before="0" w:after="340" w:line="240" w:lineRule="auto"/>
        <w:ind w:left="0" w:right="0" w:firstLine="78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4</w:t>
      </w:r>
      <w:bookmarkEnd w:id="367"/>
      <w:r>
        <w:rPr>
          <w:color w:val="000000"/>
          <w:spacing w:val="0"/>
          <w:w w:val="100"/>
          <w:position w:val="0"/>
        </w:rPr>
        <w:t>、</w:t>
        <w:tab/>
        <w:t>关联债权债务往来</w:t>
      </w:r>
      <w:bookmarkEnd w:id="365"/>
      <w:bookmarkEnd w:id="366"/>
      <w:bookmarkEnd w:id="368"/>
    </w:p>
    <w:p>
      <w:pPr>
        <w:pStyle w:val="Style44"/>
        <w:keepNext w:val="0"/>
        <w:keepLines w:val="0"/>
        <w:widowControl w:val="0"/>
        <w:shd w:val="clear" w:color="auto" w:fill="auto"/>
        <w:bidi w:val="0"/>
        <w:spacing w:before="0" w:after="160" w:line="240" w:lineRule="auto"/>
        <w:ind w:left="0" w:right="0" w:firstLine="7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4"/>
        <w:keepNext w:val="0"/>
        <w:keepLines w:val="0"/>
        <w:widowControl w:val="0"/>
        <w:shd w:val="clear" w:color="auto" w:fill="auto"/>
        <w:bidi w:val="0"/>
        <w:spacing w:before="0" w:after="340" w:line="240" w:lineRule="auto"/>
        <w:ind w:left="0" w:right="0" w:firstLine="780"/>
        <w:jc w:val="left"/>
      </w:pPr>
      <w:r>
        <w:rPr>
          <w:color w:val="000000"/>
          <w:spacing w:val="0"/>
          <w:w w:val="100"/>
          <w:position w:val="0"/>
        </w:rPr>
        <w:t>公司报告期不存在关联债权债务往来。</w:t>
      </w:r>
    </w:p>
    <w:p>
      <w:pPr>
        <w:pStyle w:val="Style52"/>
        <w:keepNext/>
        <w:keepLines/>
        <w:widowControl w:val="0"/>
        <w:shd w:val="clear" w:color="auto" w:fill="auto"/>
        <w:tabs>
          <w:tab w:pos="1172" w:val="left"/>
        </w:tabs>
        <w:bidi w:val="0"/>
        <w:spacing w:before="0" w:after="340" w:line="240" w:lineRule="auto"/>
        <w:ind w:left="0" w:right="0" w:firstLine="78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5</w:t>
      </w:r>
      <w:bookmarkEnd w:id="371"/>
      <w:r>
        <w:rPr>
          <w:color w:val="000000"/>
          <w:spacing w:val="0"/>
          <w:w w:val="100"/>
          <w:position w:val="0"/>
        </w:rPr>
        <w:t>、</w:t>
        <w:tab/>
        <w:t>其他重大关联交易</w:t>
      </w:r>
      <w:bookmarkEnd w:id="369"/>
      <w:bookmarkEnd w:id="370"/>
      <w:bookmarkEnd w:id="372"/>
    </w:p>
    <w:p>
      <w:pPr>
        <w:pStyle w:val="Style44"/>
        <w:keepNext w:val="0"/>
        <w:keepLines w:val="0"/>
        <w:widowControl w:val="0"/>
        <w:shd w:val="clear" w:color="auto" w:fill="auto"/>
        <w:bidi w:val="0"/>
        <w:spacing w:before="0" w:after="160" w:line="240" w:lineRule="auto"/>
        <w:ind w:left="0" w:right="0" w:firstLine="7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4"/>
        <w:keepNext w:val="0"/>
        <w:keepLines w:val="0"/>
        <w:widowControl w:val="0"/>
        <w:shd w:val="clear" w:color="auto" w:fill="auto"/>
        <w:bidi w:val="0"/>
        <w:spacing w:before="0" w:after="340" w:line="240" w:lineRule="auto"/>
        <w:ind w:left="0" w:right="0" w:firstLine="780"/>
        <w:jc w:val="left"/>
      </w:pPr>
      <w:r>
        <w:rPr>
          <w:color w:val="000000"/>
          <w:spacing w:val="0"/>
          <w:w w:val="100"/>
          <w:position w:val="0"/>
        </w:rPr>
        <w:t>公司报告期无其他重大关联交易。</w:t>
      </w:r>
    </w:p>
    <w:p>
      <w:pPr>
        <w:pStyle w:val="Style42"/>
        <w:keepNext/>
        <w:keepLines/>
        <w:widowControl w:val="0"/>
        <w:shd w:val="clear" w:color="auto" w:fill="auto"/>
        <w:bidi w:val="0"/>
        <w:spacing w:before="0" w:after="340" w:line="240" w:lineRule="auto"/>
        <w:ind w:left="0" w:right="0" w:firstLine="780"/>
        <w:jc w:val="left"/>
      </w:pPr>
      <w:bookmarkStart w:id="373" w:name="bookmark373"/>
      <w:bookmarkStart w:id="374" w:name="bookmark374"/>
      <w:bookmarkStart w:id="375" w:name="bookmark375"/>
      <w:r>
        <w:rPr>
          <w:color w:val="000000"/>
          <w:spacing w:val="0"/>
          <w:w w:val="100"/>
          <w:position w:val="0"/>
        </w:rPr>
        <w:t>十六、重大合同及其履行情况</w:t>
      </w:r>
      <w:bookmarkEnd w:id="373"/>
      <w:bookmarkEnd w:id="374"/>
      <w:bookmarkEnd w:id="375"/>
    </w:p>
    <w:p>
      <w:pPr>
        <w:pStyle w:val="Style52"/>
        <w:keepNext/>
        <w:keepLines/>
        <w:widowControl w:val="0"/>
        <w:shd w:val="clear" w:color="auto" w:fill="auto"/>
        <w:bidi w:val="0"/>
        <w:spacing w:before="0" w:after="340" w:line="240" w:lineRule="auto"/>
        <w:ind w:left="0" w:right="0" w:firstLine="78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1</w:t>
      </w:r>
      <w:bookmarkEnd w:id="378"/>
      <w:r>
        <w:rPr>
          <w:color w:val="000000"/>
          <w:spacing w:val="0"/>
          <w:w w:val="100"/>
          <w:position w:val="0"/>
        </w:rPr>
        <w:t>、托管、承包、租赁事项情况</w:t>
      </w:r>
      <w:bookmarkEnd w:id="376"/>
      <w:bookmarkEnd w:id="377"/>
      <w:bookmarkEnd w:id="379"/>
    </w:p>
    <w:p>
      <w:pPr>
        <w:pStyle w:val="Style71"/>
        <w:keepNext/>
        <w:keepLines/>
        <w:widowControl w:val="0"/>
        <w:shd w:val="clear" w:color="auto" w:fill="auto"/>
        <w:bidi w:val="0"/>
        <w:spacing w:before="0" w:after="340" w:line="240" w:lineRule="auto"/>
        <w:ind w:left="0" w:right="0" w:firstLine="780"/>
        <w:jc w:val="both"/>
      </w:pPr>
      <w:bookmarkStart w:id="380" w:name="bookmark380"/>
      <w:bookmarkStart w:id="381" w:name="bookmark381"/>
      <w:bookmarkStart w:id="382" w:name="bookmark382"/>
      <w:bookmarkStart w:id="383" w:name="bookmark383"/>
      <w:r>
        <w:rPr>
          <w:color w:val="000000"/>
          <w:spacing w:val="0"/>
          <w:w w:val="100"/>
          <w:position w:val="0"/>
        </w:rPr>
        <w:t>（</w:t>
      </w:r>
      <w:bookmarkEnd w:id="382"/>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380"/>
      <w:bookmarkEnd w:id="381"/>
      <w:bookmarkEnd w:id="383"/>
    </w:p>
    <w:p>
      <w:pPr>
        <w:pStyle w:val="Style44"/>
        <w:keepNext w:val="0"/>
        <w:keepLines w:val="0"/>
        <w:widowControl w:val="0"/>
        <w:shd w:val="clear" w:color="auto" w:fill="auto"/>
        <w:bidi w:val="0"/>
        <w:spacing w:before="0" w:after="160" w:line="240" w:lineRule="auto"/>
        <w:ind w:left="0" w:right="0" w:firstLine="7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4"/>
        <w:keepNext w:val="0"/>
        <w:keepLines w:val="0"/>
        <w:widowControl w:val="0"/>
        <w:shd w:val="clear" w:color="auto" w:fill="auto"/>
        <w:bidi w:val="0"/>
        <w:spacing w:before="0" w:after="340" w:line="240" w:lineRule="auto"/>
        <w:ind w:left="0" w:right="0" w:firstLine="780"/>
        <w:jc w:val="both"/>
      </w:pPr>
      <w:r>
        <w:rPr>
          <w:color w:val="000000"/>
          <w:spacing w:val="0"/>
          <w:w w:val="100"/>
          <w:position w:val="0"/>
        </w:rPr>
        <w:t>公司报告期不存在托管情况。</w:t>
      </w:r>
      <w:r>
        <w:br w:type="page"/>
      </w:r>
    </w:p>
    <w:p>
      <w:pPr>
        <w:pStyle w:val="Style71"/>
        <w:keepNext/>
        <w:keepLines/>
        <w:widowControl w:val="0"/>
        <w:shd w:val="clear" w:color="auto" w:fill="auto"/>
        <w:tabs>
          <w:tab w:pos="1297" w:val="left"/>
        </w:tabs>
        <w:bidi w:val="0"/>
        <w:spacing w:before="0" w:after="320" w:line="240" w:lineRule="auto"/>
        <w:ind w:left="0" w:right="0" w:firstLine="780"/>
        <w:jc w:val="both"/>
      </w:pPr>
      <w:bookmarkStart w:id="384" w:name="bookmark384"/>
      <w:bookmarkStart w:id="385" w:name="bookmark385"/>
      <w:bookmarkStart w:id="386" w:name="bookmark386"/>
      <w:bookmarkStart w:id="387" w:name="bookmark387"/>
      <w:r>
        <w:rPr>
          <w:color w:val="000000"/>
          <w:spacing w:val="0"/>
          <w:w w:val="100"/>
          <w:position w:val="0"/>
        </w:rPr>
        <w:t>（</w:t>
      </w:r>
      <w:bookmarkEnd w:id="38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84"/>
      <w:bookmarkEnd w:id="385"/>
      <w:bookmarkEnd w:id="387"/>
    </w:p>
    <w:p>
      <w:pPr>
        <w:pStyle w:val="Style44"/>
        <w:keepNext w:val="0"/>
        <w:keepLines w:val="0"/>
        <w:widowControl w:val="0"/>
        <w:shd w:val="clear" w:color="auto" w:fill="auto"/>
        <w:bidi w:val="0"/>
        <w:spacing w:before="0" w:after="160" w:line="240" w:lineRule="auto"/>
        <w:ind w:left="0" w:right="0" w:firstLine="7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4"/>
        <w:keepNext w:val="0"/>
        <w:keepLines w:val="0"/>
        <w:widowControl w:val="0"/>
        <w:shd w:val="clear" w:color="auto" w:fill="auto"/>
        <w:bidi w:val="0"/>
        <w:spacing w:before="0" w:after="320" w:line="240" w:lineRule="auto"/>
        <w:ind w:left="0" w:right="0" w:firstLine="780"/>
        <w:jc w:val="left"/>
      </w:pPr>
      <w:r>
        <w:rPr>
          <w:color w:val="000000"/>
          <w:spacing w:val="0"/>
          <w:w w:val="100"/>
          <w:position w:val="0"/>
        </w:rPr>
        <w:t>公司报告期不存在承包情况。</w:t>
      </w:r>
    </w:p>
    <w:p>
      <w:pPr>
        <w:pStyle w:val="Style71"/>
        <w:keepNext/>
        <w:keepLines/>
        <w:widowControl w:val="0"/>
        <w:shd w:val="clear" w:color="auto" w:fill="auto"/>
        <w:tabs>
          <w:tab w:pos="1297" w:val="left"/>
        </w:tabs>
        <w:bidi w:val="0"/>
        <w:spacing w:before="0" w:after="320" w:line="240" w:lineRule="auto"/>
        <w:ind w:left="0" w:right="0" w:firstLine="780"/>
        <w:jc w:val="left"/>
      </w:pPr>
      <w:bookmarkStart w:id="388" w:name="bookmark388"/>
      <w:bookmarkStart w:id="389" w:name="bookmark389"/>
      <w:bookmarkStart w:id="390" w:name="bookmark390"/>
      <w:bookmarkStart w:id="391" w:name="bookmark391"/>
      <w:r>
        <w:rPr>
          <w:color w:val="000000"/>
          <w:spacing w:val="0"/>
          <w:w w:val="100"/>
          <w:position w:val="0"/>
        </w:rPr>
        <w:t>（</w:t>
      </w:r>
      <w:bookmarkEnd w:id="39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88"/>
      <w:bookmarkEnd w:id="389"/>
      <w:bookmarkEnd w:id="391"/>
    </w:p>
    <w:p>
      <w:pPr>
        <w:pStyle w:val="Style44"/>
        <w:keepNext w:val="0"/>
        <w:keepLines w:val="0"/>
        <w:widowControl w:val="0"/>
        <w:shd w:val="clear" w:color="auto" w:fill="auto"/>
        <w:bidi w:val="0"/>
        <w:spacing w:before="0" w:after="160" w:line="240" w:lineRule="auto"/>
        <w:ind w:left="0" w:right="0" w:firstLine="7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val="0"/>
        <w:keepLines w:val="0"/>
        <w:widowControl w:val="0"/>
        <w:shd w:val="clear" w:color="auto" w:fill="auto"/>
        <w:bidi w:val="0"/>
        <w:spacing w:before="0" w:after="160" w:line="240" w:lineRule="auto"/>
        <w:ind w:left="0" w:right="0" w:firstLine="780"/>
        <w:jc w:val="left"/>
      </w:pPr>
      <w:r>
        <w:rPr>
          <w:color w:val="000000"/>
          <w:spacing w:val="0"/>
          <w:w w:val="100"/>
          <w:position w:val="0"/>
        </w:rPr>
        <w:t>租赁情况说明</w:t>
      </w:r>
    </w:p>
    <w:tbl>
      <w:tblPr>
        <w:tblOverlap w:val="never"/>
        <w:jc w:val="center"/>
        <w:tblLayout w:type="fixed"/>
      </w:tblPr>
      <w:tblGrid>
        <w:gridCol w:w="566"/>
        <w:gridCol w:w="3264"/>
        <w:gridCol w:w="2410"/>
        <w:gridCol w:w="2126"/>
        <w:gridCol w:w="1282"/>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20"/>
                <w:szCs w:val="20"/>
              </w:rPr>
            </w:pPr>
            <w:r>
              <w:rPr>
                <w:color w:val="000000"/>
                <w:spacing w:val="0"/>
                <w:w w:val="100"/>
                <w:position w:val="0"/>
                <w:sz w:val="20"/>
                <w:szCs w:val="20"/>
              </w:rPr>
              <w:t>序</w:t>
            </w:r>
          </w:p>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租赁房产地址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出租方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物业用途</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00"/>
              <w:jc w:val="left"/>
              <w:rPr>
                <w:sz w:val="20"/>
                <w:szCs w:val="20"/>
              </w:rPr>
            </w:pPr>
            <w:r>
              <w:rPr>
                <w:color w:val="000000"/>
                <w:spacing w:val="0"/>
                <w:w w:val="100"/>
                <w:position w:val="0"/>
                <w:sz w:val="20"/>
                <w:szCs w:val="20"/>
              </w:rPr>
              <w:t>出租面积</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（平方米）</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both"/>
              <w:rPr>
                <w:sz w:val="20"/>
                <w:szCs w:val="20"/>
              </w:rPr>
            </w:pPr>
            <w:r>
              <w:rPr>
                <w:color w:val="000000"/>
                <w:spacing w:val="0"/>
                <w:w w:val="100"/>
                <w:position w:val="0"/>
                <w:sz w:val="20"/>
                <w:szCs w:val="20"/>
              </w:rPr>
              <w:t>深圳市南山区高新区高新中三道 软件园一期</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栋</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国民技术股份有限公司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1,584.55</w:t>
            </w:r>
          </w:p>
        </w:tc>
      </w:tr>
      <w:tr>
        <w:trPr>
          <w:trHeight w:val="109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20"/>
                <w:szCs w:val="20"/>
              </w:rPr>
            </w:pPr>
            <w:r>
              <w:rPr>
                <w:color w:val="000000"/>
                <w:spacing w:val="0"/>
                <w:w w:val="100"/>
                <w:position w:val="0"/>
                <w:sz w:val="20"/>
                <w:szCs w:val="20"/>
              </w:rPr>
              <w:t>深圳市南山区高新北区宝深路</w:t>
            </w:r>
          </w:p>
          <w:p>
            <w:pPr>
              <w:pStyle w:val="Style2"/>
              <w:keepNext w:val="0"/>
              <w:keepLines w:val="0"/>
              <w:widowControl w:val="0"/>
              <w:shd w:val="clear" w:color="auto" w:fill="auto"/>
              <w:bidi w:val="0"/>
              <w:spacing w:before="0" w:after="12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109</w:t>
            </w:r>
            <w:r>
              <w:rPr>
                <w:color w:val="000000"/>
                <w:spacing w:val="0"/>
                <w:w w:val="100"/>
                <w:position w:val="0"/>
                <w:sz w:val="20"/>
                <w:szCs w:val="20"/>
              </w:rPr>
              <w:t>号国民技术大厦</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层、</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层、</w:t>
            </w:r>
          </w:p>
          <w:p>
            <w:pPr>
              <w:pStyle w:val="Style2"/>
              <w:keepNext w:val="0"/>
              <w:keepLines w:val="0"/>
              <w:widowControl w:val="0"/>
              <w:shd w:val="clear" w:color="auto" w:fill="auto"/>
              <w:bidi w:val="0"/>
              <w:spacing w:before="0" w:after="12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8-16 </w:t>
            </w:r>
            <w:r>
              <w:rPr>
                <w:color w:val="000000"/>
                <w:spacing w:val="0"/>
                <w:w w:val="100"/>
                <w:position w:val="0"/>
                <w:sz w:val="20"/>
                <w:szCs w:val="20"/>
              </w:rPr>
              <w:t>层</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国民技术股份有限公司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办公</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13,718.05</w:t>
            </w:r>
          </w:p>
        </w:tc>
      </w:tr>
    </w:tbl>
    <w:p>
      <w:pPr>
        <w:widowControl w:val="0"/>
        <w:spacing w:after="419" w:line="1" w:lineRule="exact"/>
      </w:pPr>
    </w:p>
    <w:tbl>
      <w:tblPr>
        <w:tblOverlap w:val="never"/>
        <w:jc w:val="center"/>
        <w:tblLayout w:type="fixed"/>
      </w:tblPr>
      <w:tblGrid>
        <w:gridCol w:w="566"/>
        <w:gridCol w:w="3264"/>
        <w:gridCol w:w="2266"/>
        <w:gridCol w:w="2270"/>
        <w:gridCol w:w="1282"/>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20"/>
                <w:szCs w:val="20"/>
              </w:rPr>
            </w:pPr>
            <w:r>
              <w:rPr>
                <w:color w:val="000000"/>
                <w:spacing w:val="0"/>
                <w:w w:val="100"/>
                <w:position w:val="0"/>
                <w:sz w:val="20"/>
                <w:szCs w:val="20"/>
              </w:rPr>
              <w:t>序</w:t>
            </w:r>
          </w:p>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租赁房产地址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出租方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用途</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00"/>
              <w:jc w:val="left"/>
              <w:rPr>
                <w:sz w:val="20"/>
                <w:szCs w:val="20"/>
              </w:rPr>
            </w:pPr>
            <w:r>
              <w:rPr>
                <w:color w:val="000000"/>
                <w:spacing w:val="0"/>
                <w:w w:val="100"/>
                <w:position w:val="0"/>
                <w:sz w:val="20"/>
                <w:szCs w:val="20"/>
              </w:rPr>
              <w:t>租赁面积</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（平方米）</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rPr>
                <w:sz w:val="20"/>
                <w:szCs w:val="20"/>
              </w:rPr>
            </w:pPr>
            <w:r>
              <w:rPr>
                <w:color w:val="000000"/>
                <w:spacing w:val="0"/>
                <w:w w:val="100"/>
                <w:position w:val="0"/>
                <w:sz w:val="20"/>
                <w:szCs w:val="20"/>
              </w:rPr>
              <w:t>深圳市宝安区西乡街道鹤洲恒丰 工业城</w:t>
            </w:r>
            <w:r>
              <w:rPr>
                <w:rFonts w:ascii="Times New Roman" w:eastAsia="Times New Roman" w:hAnsi="Times New Roman" w:cs="Times New Roman"/>
                <w:color w:val="000000"/>
                <w:spacing w:val="0"/>
                <w:w w:val="100"/>
                <w:position w:val="0"/>
                <w:sz w:val="20"/>
                <w:szCs w:val="20"/>
              </w:rPr>
              <w:t>C4</w:t>
            </w:r>
            <w:r>
              <w:rPr>
                <w:color w:val="000000"/>
                <w:spacing w:val="0"/>
                <w:w w:val="100"/>
                <w:position w:val="0"/>
                <w:sz w:val="20"/>
                <w:szCs w:val="20"/>
              </w:rPr>
              <w:t>栋六层东边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秦小军、陈国原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1,620</w:t>
            </w:r>
          </w:p>
        </w:tc>
      </w:tr>
      <w:tr>
        <w:trPr>
          <w:trHeight w:val="14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both"/>
              <w:rPr>
                <w:sz w:val="20"/>
                <w:szCs w:val="20"/>
              </w:rPr>
            </w:pPr>
            <w:r>
              <w:rPr>
                <w:color w:val="000000"/>
                <w:spacing w:val="0"/>
                <w:w w:val="100"/>
                <w:position w:val="0"/>
                <w:sz w:val="20"/>
                <w:szCs w:val="20"/>
              </w:rPr>
              <w:t>北京市海淀区北四环西路</w:t>
            </w:r>
            <w:r>
              <w:rPr>
                <w:rFonts w:ascii="Times New Roman" w:eastAsia="Times New Roman" w:hAnsi="Times New Roman" w:cs="Times New Roman"/>
                <w:color w:val="000000"/>
                <w:spacing w:val="0"/>
                <w:w w:val="100"/>
                <w:position w:val="0"/>
                <w:sz w:val="20"/>
                <w:szCs w:val="20"/>
              </w:rPr>
              <w:t>66</w:t>
            </w:r>
            <w:r>
              <w:rPr>
                <w:color w:val="000000"/>
                <w:spacing w:val="0"/>
                <w:w w:val="100"/>
                <w:position w:val="0"/>
                <w:sz w:val="20"/>
                <w:szCs w:val="20"/>
              </w:rPr>
              <w:t>号中 国技术交易大厦</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座</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both"/>
              <w:rPr>
                <w:sz w:val="20"/>
                <w:szCs w:val="20"/>
              </w:rPr>
            </w:pPr>
            <w:r>
              <w:rPr>
                <w:color w:val="000000"/>
                <w:spacing w:val="0"/>
                <w:w w:val="100"/>
                <w:position w:val="0"/>
                <w:sz w:val="20"/>
                <w:szCs w:val="20"/>
              </w:rPr>
              <w:t>北京海淀置业集团有 限公司、北京海置第一 太平戴维斯物业服务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北京分公司办公场地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2,438</w:t>
            </w:r>
          </w:p>
        </w:tc>
      </w:tr>
      <w:tr>
        <w:trPr>
          <w:trHeight w:val="14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8" w:lineRule="exact"/>
              <w:ind w:left="0" w:right="0" w:firstLine="0"/>
              <w:jc w:val="both"/>
              <w:rPr>
                <w:sz w:val="20"/>
                <w:szCs w:val="20"/>
              </w:rPr>
            </w:pPr>
            <w:r>
              <w:rPr>
                <w:color w:val="000000"/>
                <w:spacing w:val="0"/>
                <w:w w:val="100"/>
                <w:position w:val="0"/>
                <w:sz w:val="20"/>
                <w:szCs w:val="20"/>
              </w:rPr>
              <w:t xml:space="preserve">北京市海淀区北四环西路 </w:t>
            </w:r>
            <w:r>
              <w:rPr>
                <w:rFonts w:ascii="Times New Roman" w:eastAsia="Times New Roman" w:hAnsi="Times New Roman" w:cs="Times New Roman"/>
                <w:color w:val="000000"/>
                <w:spacing w:val="0"/>
                <w:w w:val="100"/>
                <w:position w:val="0"/>
                <w:sz w:val="20"/>
                <w:szCs w:val="20"/>
              </w:rPr>
              <w:t xml:space="preserve">66 </w:t>
            </w:r>
            <w:r>
              <w:rPr>
                <w:color w:val="000000"/>
                <w:spacing w:val="0"/>
                <w:w w:val="100"/>
                <w:position w:val="0"/>
                <w:sz w:val="20"/>
                <w:szCs w:val="20"/>
              </w:rPr>
              <w:t xml:space="preserve">号 中国技术交易大厦 </w:t>
            </w:r>
            <w:r>
              <w:rPr>
                <w:rFonts w:ascii="Times New Roman" w:eastAsia="Times New Roman" w:hAnsi="Times New Roman" w:cs="Times New Roman"/>
                <w:color w:val="000000"/>
                <w:spacing w:val="0"/>
                <w:w w:val="100"/>
                <w:position w:val="0"/>
                <w:sz w:val="20"/>
                <w:szCs w:val="20"/>
              </w:rPr>
              <w:t xml:space="preserve">A </w:t>
            </w:r>
            <w:r>
              <w:rPr>
                <w:color w:val="000000"/>
                <w:spacing w:val="0"/>
                <w:w w:val="100"/>
                <w:position w:val="0"/>
                <w:sz w:val="20"/>
                <w:szCs w:val="20"/>
              </w:rPr>
              <w:t xml:space="preserve">座 </w:t>
            </w:r>
            <w:r>
              <w:rPr>
                <w:rFonts w:ascii="Times New Roman" w:eastAsia="Times New Roman" w:hAnsi="Times New Roman" w:cs="Times New Roman"/>
                <w:color w:val="000000"/>
                <w:spacing w:val="0"/>
                <w:w w:val="100"/>
                <w:position w:val="0"/>
                <w:sz w:val="20"/>
                <w:szCs w:val="20"/>
              </w:rPr>
              <w:t xml:space="preserve">20 </w:t>
            </w:r>
            <w:r>
              <w:rPr>
                <w:color w:val="000000"/>
                <w:spacing w:val="0"/>
                <w:w w:val="100"/>
                <w:position w:val="0"/>
                <w:sz w:val="20"/>
                <w:szCs w:val="20"/>
              </w:rPr>
              <w:t xml:space="preserve">层 </w:t>
            </w:r>
            <w:r>
              <w:rPr>
                <w:rFonts w:ascii="Times New Roman" w:eastAsia="Times New Roman" w:hAnsi="Times New Roman" w:cs="Times New Roman"/>
                <w:color w:val="000000"/>
                <w:spacing w:val="0"/>
                <w:w w:val="100"/>
                <w:position w:val="0"/>
                <w:sz w:val="20"/>
                <w:szCs w:val="20"/>
              </w:rPr>
              <w:t xml:space="preserve">2001 </w:t>
            </w:r>
            <w:r>
              <w:rPr>
                <w:color w:val="000000"/>
                <w:spacing w:val="0"/>
                <w:w w:val="100"/>
                <w:position w:val="0"/>
                <w:sz w:val="20"/>
                <w:szCs w:val="2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2" w:lineRule="exact"/>
              <w:ind w:left="0" w:right="0" w:firstLine="0"/>
              <w:jc w:val="both"/>
              <w:rPr>
                <w:sz w:val="20"/>
                <w:szCs w:val="20"/>
              </w:rPr>
            </w:pPr>
            <w:r>
              <w:rPr>
                <w:color w:val="000000"/>
                <w:spacing w:val="0"/>
                <w:w w:val="100"/>
                <w:position w:val="0"/>
                <w:sz w:val="20"/>
                <w:szCs w:val="20"/>
              </w:rPr>
              <w:t>北京海淀置业集团有 限公司、北京海置第一 太平戴维斯物业服务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北京分公司办公场地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195</w:t>
            </w: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both"/>
              <w:rPr>
                <w:sz w:val="20"/>
                <w:szCs w:val="20"/>
              </w:rPr>
            </w:pPr>
            <w:r>
              <w:rPr>
                <w:color w:val="000000"/>
                <w:spacing w:val="0"/>
                <w:w w:val="100"/>
                <w:position w:val="0"/>
                <w:sz w:val="20"/>
                <w:szCs w:val="20"/>
              </w:rPr>
              <w:t>上海市浦东新区申江路</w:t>
            </w:r>
            <w:r>
              <w:rPr>
                <w:rFonts w:ascii="Times New Roman" w:eastAsia="Times New Roman" w:hAnsi="Times New Roman" w:cs="Times New Roman"/>
                <w:color w:val="000000"/>
                <w:spacing w:val="0"/>
                <w:w w:val="100"/>
                <w:position w:val="0"/>
                <w:sz w:val="20"/>
                <w:szCs w:val="20"/>
              </w:rPr>
              <w:t>5709</w:t>
            </w:r>
            <w:r>
              <w:rPr>
                <w:color w:val="000000"/>
                <w:spacing w:val="0"/>
                <w:w w:val="100"/>
                <w:position w:val="0"/>
                <w:sz w:val="20"/>
                <w:szCs w:val="20"/>
              </w:rPr>
              <w:t>号、 秋月路</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幢</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层</w:t>
            </w:r>
            <w:r>
              <w:rPr>
                <w:rFonts w:ascii="Times New Roman" w:eastAsia="Times New Roman" w:hAnsi="Times New Roman" w:cs="Times New Roman"/>
                <w:color w:val="000000"/>
                <w:spacing w:val="0"/>
                <w:w w:val="100"/>
                <w:position w:val="0"/>
                <w:sz w:val="20"/>
                <w:szCs w:val="20"/>
              </w:rPr>
              <w:t>1106</w:t>
            </w:r>
            <w:r>
              <w:rPr>
                <w:color w:val="000000"/>
                <w:spacing w:val="0"/>
                <w:w w:val="100"/>
                <w:position w:val="0"/>
                <w:sz w:val="20"/>
                <w:szCs w:val="2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5" w:lineRule="exact"/>
              <w:ind w:left="0" w:right="0" w:firstLine="0"/>
              <w:jc w:val="both"/>
              <w:rPr>
                <w:sz w:val="20"/>
                <w:szCs w:val="20"/>
              </w:rPr>
            </w:pPr>
            <w:r>
              <w:rPr>
                <w:color w:val="000000"/>
                <w:spacing w:val="0"/>
                <w:w w:val="100"/>
                <w:position w:val="0"/>
                <w:sz w:val="20"/>
                <w:szCs w:val="20"/>
              </w:rPr>
              <w:t>上海江程资产管理有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上海分公司办公场地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w:t>
            </w:r>
          </w:p>
        </w:tc>
      </w:tr>
      <w:tr>
        <w:trPr>
          <w:trHeight w:val="10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both"/>
              <w:rPr>
                <w:sz w:val="20"/>
                <w:szCs w:val="20"/>
              </w:rPr>
            </w:pPr>
            <w:r>
              <w:rPr>
                <w:color w:val="000000"/>
                <w:spacing w:val="0"/>
                <w:w w:val="100"/>
                <w:position w:val="0"/>
                <w:sz w:val="20"/>
                <w:szCs w:val="20"/>
              </w:rPr>
              <w:t>湖北省武汉市东湖开发区佳园路</w:t>
            </w:r>
          </w:p>
          <w:p>
            <w:pPr>
              <w:pStyle w:val="Style2"/>
              <w:keepNext w:val="0"/>
              <w:keepLines w:val="0"/>
              <w:widowControl w:val="0"/>
              <w:shd w:val="clear" w:color="auto" w:fill="auto"/>
              <w:bidi w:val="0"/>
              <w:spacing w:before="0" w:after="0" w:line="355"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关东科技园</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C+Work</w:t>
            </w:r>
            <w:r>
              <w:rPr>
                <w:color w:val="000000"/>
                <w:spacing w:val="0"/>
                <w:w w:val="100"/>
                <w:position w:val="0"/>
                <w:sz w:val="20"/>
                <w:szCs w:val="20"/>
              </w:rPr>
              <w:t>同亨大 厦</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层</w:t>
            </w:r>
            <w:r>
              <w:rPr>
                <w:rFonts w:ascii="Times New Roman" w:eastAsia="Times New Roman" w:hAnsi="Times New Roman" w:cs="Times New Roman"/>
                <w:color w:val="000000"/>
                <w:spacing w:val="0"/>
                <w:w w:val="100"/>
                <w:position w:val="0"/>
                <w:sz w:val="20"/>
                <w:szCs w:val="20"/>
              </w:rPr>
              <w:t>702</w:t>
            </w:r>
            <w:r>
              <w:rPr>
                <w:color w:val="000000"/>
                <w:spacing w:val="0"/>
                <w:w w:val="100"/>
                <w:position w:val="0"/>
                <w:sz w:val="20"/>
                <w:szCs w:val="2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20"/>
                <w:szCs w:val="20"/>
              </w:rPr>
            </w:pPr>
            <w:r>
              <w:rPr>
                <w:color w:val="000000"/>
                <w:spacing w:val="0"/>
                <w:w w:val="100"/>
                <w:position w:val="0"/>
                <w:sz w:val="20"/>
                <w:szCs w:val="20"/>
              </w:rPr>
              <w:t>武汉指极星网络科技</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武汉分公司办公场地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220</w:t>
            </w:r>
          </w:p>
        </w:tc>
      </w:tr>
      <w:tr>
        <w:trPr>
          <w:trHeight w:val="10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3" w:lineRule="exact"/>
              <w:ind w:left="0" w:right="0" w:firstLine="0"/>
              <w:jc w:val="both"/>
              <w:rPr>
                <w:sz w:val="20"/>
                <w:szCs w:val="20"/>
              </w:rPr>
            </w:pPr>
            <w:r>
              <w:rPr>
                <w:color w:val="000000"/>
                <w:spacing w:val="0"/>
                <w:w w:val="100"/>
                <w:position w:val="0"/>
                <w:sz w:val="20"/>
                <w:szCs w:val="20"/>
              </w:rPr>
              <w:t>湖北省武汉市东湖新技术开发区 吴家湾邮科中路民营高科技综合 楼第一栋</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层</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号房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20"/>
                <w:szCs w:val="20"/>
              </w:rPr>
            </w:pPr>
            <w:r>
              <w:rPr>
                <w:color w:val="000000"/>
                <w:spacing w:val="0"/>
                <w:w w:val="100"/>
                <w:position w:val="0"/>
                <w:sz w:val="20"/>
                <w:szCs w:val="20"/>
              </w:rPr>
              <w:t>格雷斯众创空间管理</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（武汉）有些公司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武汉分公司办公场地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330</w:t>
            </w:r>
          </w:p>
        </w:tc>
      </w:tr>
      <w:tr>
        <w:trPr>
          <w:trHeight w:val="7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20"/>
                <w:szCs w:val="20"/>
              </w:rPr>
              <w:t>陕西西安市高新区沣惠南路</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号</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（泰华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金贸国际</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号楼中电彩虹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20"/>
                <w:szCs w:val="20"/>
              </w:rPr>
            </w:pPr>
            <w:r>
              <w:rPr>
                <w:color w:val="000000"/>
                <w:spacing w:val="0"/>
                <w:w w:val="100"/>
                <w:position w:val="0"/>
                <w:sz w:val="20"/>
                <w:szCs w:val="20"/>
              </w:rPr>
              <w:t>陕西昇昱不动产运营</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西安分公司办公场地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318</w:t>
            </w:r>
          </w:p>
        </w:tc>
      </w:tr>
    </w:tbl>
    <w:p>
      <w:pPr>
        <w:spacing w:lineRule="exact" w:line="1"/>
        <w:rPr>
          <w:sz w:val="2"/>
          <w:szCs w:val="2"/>
        </w:rPr>
      </w:pPr>
      <w:r>
        <w:br w:type="page"/>
      </w:r>
    </w:p>
    <w:tbl>
      <w:tblPr>
        <w:tblOverlap w:val="never"/>
        <w:jc w:val="center"/>
        <w:tblLayout w:type="fixed"/>
      </w:tblPr>
      <w:tblGrid>
        <w:gridCol w:w="566"/>
        <w:gridCol w:w="3264"/>
        <w:gridCol w:w="2266"/>
        <w:gridCol w:w="2270"/>
        <w:gridCol w:w="1282"/>
      </w:tblGrid>
      <w:tr>
        <w:trPr>
          <w:trHeight w:val="5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大厦）</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层</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both"/>
              <w:rPr>
                <w:sz w:val="20"/>
                <w:szCs w:val="20"/>
              </w:rPr>
            </w:pPr>
            <w:r>
              <w:rPr>
                <w:color w:val="000000"/>
                <w:spacing w:val="0"/>
                <w:w w:val="100"/>
                <w:position w:val="0"/>
                <w:sz w:val="20"/>
                <w:szCs w:val="20"/>
              </w:rPr>
              <w:t>北京市朝阳区望京东园四区</w:t>
            </w:r>
            <w:r>
              <w:rPr>
                <w:rFonts w:ascii="Times New Roman" w:eastAsia="Times New Roman" w:hAnsi="Times New Roman" w:cs="Times New Roman"/>
                <w:color w:val="000000"/>
                <w:spacing w:val="0"/>
                <w:w w:val="100"/>
                <w:position w:val="0"/>
                <w:sz w:val="20"/>
                <w:szCs w:val="20"/>
              </w:rPr>
              <w:t xml:space="preserve">13 </w:t>
            </w:r>
            <w:r>
              <w:rPr>
                <w:color w:val="000000"/>
                <w:spacing w:val="0"/>
                <w:w w:val="100"/>
                <w:position w:val="0"/>
                <w:sz w:val="20"/>
                <w:szCs w:val="20"/>
              </w:rPr>
              <w:t>号楼浦项中心</w:t>
            </w:r>
            <w:r>
              <w:rPr>
                <w:rFonts w:ascii="Times New Roman" w:eastAsia="Times New Roman" w:hAnsi="Times New Roman" w:cs="Times New Roman"/>
                <w:color w:val="000000"/>
                <w:spacing w:val="0"/>
                <w:w w:val="100"/>
                <w:position w:val="0"/>
                <w:sz w:val="20"/>
                <w:szCs w:val="20"/>
              </w:rPr>
              <w:t>B</w:t>
            </w:r>
            <w:r>
              <w:rPr>
                <w:color w:val="000000"/>
                <w:spacing w:val="0"/>
                <w:w w:val="100"/>
                <w:position w:val="0"/>
                <w:sz w:val="20"/>
                <w:szCs w:val="20"/>
              </w:rPr>
              <w:t>座</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层</w:t>
            </w:r>
            <w:r>
              <w:rPr>
                <w:rFonts w:ascii="Times New Roman" w:eastAsia="Times New Roman" w:hAnsi="Times New Roman" w:cs="Times New Roman"/>
                <w:color w:val="000000"/>
                <w:spacing w:val="0"/>
                <w:w w:val="100"/>
                <w:position w:val="0"/>
                <w:sz w:val="20"/>
                <w:szCs w:val="20"/>
              </w:rPr>
              <w:t xml:space="preserve">201 </w:t>
            </w:r>
            <w:r>
              <w:rPr>
                <w:color w:val="000000"/>
                <w:spacing w:val="0"/>
                <w:w w:val="100"/>
                <w:position w:val="0"/>
                <w:sz w:val="20"/>
                <w:szCs w:val="2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0" w:lineRule="exact"/>
              <w:ind w:left="0" w:right="0" w:firstLine="0"/>
              <w:jc w:val="both"/>
              <w:rPr>
                <w:sz w:val="20"/>
                <w:szCs w:val="20"/>
              </w:rPr>
            </w:pPr>
            <w:r>
              <w:rPr>
                <w:color w:val="000000"/>
                <w:spacing w:val="0"/>
                <w:w w:val="100"/>
                <w:position w:val="0"/>
                <w:sz w:val="20"/>
                <w:szCs w:val="20"/>
              </w:rPr>
              <w:t>浦项置业（北京）有限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北京分公司办公场地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1,047</w:t>
            </w: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20"/>
                <w:szCs w:val="20"/>
              </w:rPr>
            </w:pPr>
            <w:r>
              <w:rPr>
                <w:color w:val="000000"/>
                <w:spacing w:val="0"/>
                <w:w w:val="100"/>
                <w:position w:val="0"/>
                <w:sz w:val="20"/>
                <w:szCs w:val="20"/>
              </w:rPr>
              <w:t>东莞市清溪镇罗马金山一街三巷</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101</w:t>
            </w:r>
            <w:r>
              <w:rPr>
                <w:color w:val="000000"/>
                <w:spacing w:val="0"/>
                <w:w w:val="100"/>
                <w:position w:val="0"/>
                <w:sz w:val="20"/>
                <w:szCs w:val="2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5" w:lineRule="exact"/>
              <w:ind w:left="0" w:right="0" w:firstLine="0"/>
              <w:jc w:val="both"/>
              <w:rPr>
                <w:sz w:val="20"/>
                <w:szCs w:val="20"/>
              </w:rPr>
            </w:pPr>
            <w:r>
              <w:rPr>
                <w:color w:val="000000"/>
                <w:spacing w:val="0"/>
                <w:w w:val="100"/>
                <w:position w:val="0"/>
                <w:sz w:val="20"/>
                <w:szCs w:val="20"/>
              </w:rPr>
              <w:t>东莞市永航机械设备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深圳斯诺仓储场地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900</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both"/>
              <w:rPr>
                <w:sz w:val="20"/>
                <w:szCs w:val="20"/>
              </w:rPr>
            </w:pPr>
            <w:r>
              <w:rPr>
                <w:color w:val="000000"/>
                <w:spacing w:val="0"/>
                <w:w w:val="100"/>
                <w:position w:val="0"/>
                <w:sz w:val="20"/>
                <w:szCs w:val="20"/>
              </w:rPr>
              <w:t>深圳市南山区北环路南头第五工 业区</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栋</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楼东、</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楼东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5" w:lineRule="exact"/>
              <w:ind w:left="0" w:right="0" w:firstLine="0"/>
              <w:jc w:val="both"/>
              <w:rPr>
                <w:sz w:val="20"/>
                <w:szCs w:val="20"/>
              </w:rPr>
            </w:pPr>
            <w:r>
              <w:rPr>
                <w:color w:val="000000"/>
                <w:spacing w:val="0"/>
                <w:w w:val="100"/>
                <w:position w:val="0"/>
                <w:sz w:val="20"/>
                <w:szCs w:val="20"/>
              </w:rPr>
              <w:t>深圳市通产科技发展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rPr>
                <w:sz w:val="20"/>
                <w:szCs w:val="20"/>
              </w:rPr>
            </w:pPr>
            <w:r>
              <w:rPr>
                <w:color w:val="000000"/>
                <w:spacing w:val="0"/>
                <w:w w:val="100"/>
                <w:position w:val="0"/>
                <w:sz w:val="20"/>
                <w:szCs w:val="20"/>
              </w:rPr>
              <w:t>深圳斯诺研发办公场 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1,828</w:t>
            </w: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江西新余市渝水区下村工业基地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20"/>
                <w:szCs w:val="20"/>
              </w:rPr>
              <w:t>新余市渝水区下村工</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业基地管理处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江西斯诺生产场地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12,000</w:t>
            </w:r>
          </w:p>
        </w:tc>
      </w:tr>
      <w:tr>
        <w:trPr>
          <w:trHeight w:val="10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both"/>
              <w:rPr>
                <w:sz w:val="20"/>
                <w:szCs w:val="20"/>
              </w:rPr>
            </w:pPr>
            <w:r>
              <w:rPr>
                <w:color w:val="000000"/>
                <w:spacing w:val="0"/>
                <w:w w:val="100"/>
                <w:position w:val="0"/>
                <w:sz w:val="20"/>
                <w:szCs w:val="20"/>
              </w:rPr>
              <w:t>呼和浩特金山开发区高新区新能 源汽车产业园厂房和生活配套区 一期、二期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both"/>
              <w:rPr>
                <w:sz w:val="20"/>
                <w:szCs w:val="20"/>
              </w:rPr>
            </w:pPr>
            <w:r>
              <w:rPr>
                <w:color w:val="000000"/>
                <w:spacing w:val="0"/>
                <w:w w:val="100"/>
                <w:position w:val="0"/>
                <w:sz w:val="20"/>
                <w:szCs w:val="20"/>
              </w:rPr>
              <w:t>呼和浩特金盛投资有 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内蒙斯诺生产场地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64,870</w:t>
            </w:r>
          </w:p>
        </w:tc>
      </w:tr>
    </w:tbl>
    <w:p>
      <w:pPr>
        <w:pStyle w:val="Style44"/>
        <w:keepNext w:val="0"/>
        <w:keepLines w:val="0"/>
        <w:widowControl w:val="0"/>
        <w:shd w:val="clear" w:color="auto" w:fill="auto"/>
        <w:bidi w:val="0"/>
        <w:spacing w:before="0" w:after="540" w:line="360" w:lineRule="exact"/>
        <w:ind w:left="740" w:right="0" w:firstLine="40"/>
        <w:jc w:val="both"/>
        <w:rPr>
          <w:sz w:val="20"/>
          <w:szCs w:val="20"/>
        </w:rPr>
      </w:pPr>
      <w:r>
        <w:rPr>
          <w:color w:val="000000"/>
          <w:spacing w:val="0"/>
          <w:w w:val="100"/>
          <w:position w:val="0"/>
          <w:sz w:val="20"/>
          <w:szCs w:val="20"/>
        </w:rPr>
        <w:t>注：序号</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租赁房产地址报告期内租赁期间为</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月，序号</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租赁房产地址报告期内租赁 期间为</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月。序号</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租赁房产地址报告期内租赁期间为</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月，序号</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租 赁房产地址租赁期起始时间为</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p>
    <w:p>
      <w:pPr>
        <w:pStyle w:val="Style44"/>
        <w:keepNext w:val="0"/>
        <w:keepLines w:val="0"/>
        <w:widowControl w:val="0"/>
        <w:shd w:val="clear" w:color="auto" w:fill="auto"/>
        <w:bidi w:val="0"/>
        <w:spacing w:before="0" w:after="220" w:line="240" w:lineRule="auto"/>
        <w:ind w:left="740" w:right="0" w:firstLine="4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44"/>
        <w:keepNext w:val="0"/>
        <w:keepLines w:val="0"/>
        <w:widowControl w:val="0"/>
        <w:shd w:val="clear" w:color="auto" w:fill="auto"/>
        <w:bidi w:val="0"/>
        <w:spacing w:before="0" w:after="140" w:line="240" w:lineRule="auto"/>
        <w:ind w:left="0" w:right="0" w:firstLine="7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val="0"/>
        <w:keepLines w:val="0"/>
        <w:widowControl w:val="0"/>
        <w:shd w:val="clear" w:color="auto" w:fill="auto"/>
        <w:bidi w:val="0"/>
        <w:spacing w:before="0" w:after="140" w:line="240" w:lineRule="auto"/>
        <w:ind w:left="0" w:right="0" w:firstLine="740"/>
        <w:jc w:val="both"/>
      </w:pPr>
      <w:r>
        <w:rPr>
          <w:color w:val="000000"/>
          <w:spacing w:val="0"/>
          <w:w w:val="100"/>
          <w:position w:val="0"/>
        </w:rPr>
        <w:t>公司报告期存在为公司带来的损益达到公司报告期利润总额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tbl>
      <w:tblPr>
        <w:tblOverlap w:val="never"/>
        <w:jc w:val="center"/>
        <w:tblLayout w:type="fixed"/>
      </w:tblPr>
      <w:tblGrid>
        <w:gridCol w:w="965"/>
        <w:gridCol w:w="1133"/>
        <w:gridCol w:w="1373"/>
        <w:gridCol w:w="898"/>
        <w:gridCol w:w="850"/>
        <w:gridCol w:w="850"/>
        <w:gridCol w:w="706"/>
        <w:gridCol w:w="710"/>
        <w:gridCol w:w="994"/>
        <w:gridCol w:w="566"/>
        <w:gridCol w:w="576"/>
      </w:tblGrid>
      <w:tr>
        <w:trPr>
          <w:trHeight w:val="119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出租方名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租赁资产情况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租赁资产 涉及金额</w:t>
            </w:r>
          </w:p>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租赁起</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租赁终</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租赁收 益（万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租赁收 益确定 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租赁收益 对公司影 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是否 关联 交易</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关联 关系</w:t>
            </w:r>
          </w:p>
        </w:tc>
      </w:tr>
      <w:tr>
        <w:trPr>
          <w:trHeight w:val="181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国民技术 股份有限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深圳市中龙 泰商业运营 管理有限公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深圳市南山区 高新北区宝深 路</w:t>
            </w:r>
            <w:r>
              <w:rPr>
                <w:rFonts w:ascii="Times New Roman" w:eastAsia="Times New Roman" w:hAnsi="Times New Roman" w:cs="Times New Roman"/>
                <w:color w:val="000000"/>
                <w:spacing w:val="0"/>
                <w:w w:val="100"/>
                <w:position w:val="0"/>
                <w:sz w:val="20"/>
                <w:szCs w:val="20"/>
              </w:rPr>
              <w:t>109</w:t>
            </w:r>
            <w:r>
              <w:rPr>
                <w:color w:val="000000"/>
                <w:spacing w:val="0"/>
                <w:w w:val="100"/>
                <w:position w:val="0"/>
                <w:sz w:val="20"/>
                <w:szCs w:val="20"/>
              </w:rPr>
              <w:t>号国民 技术大厦</w:t>
            </w:r>
            <w:r>
              <w:rPr>
                <w:rFonts w:ascii="Times New Roman" w:eastAsia="Times New Roman" w:hAnsi="Times New Roman" w:cs="Times New Roman"/>
                <w:color w:val="000000"/>
                <w:spacing w:val="0"/>
                <w:w w:val="100"/>
                <w:position w:val="0"/>
                <w:sz w:val="20"/>
                <w:szCs w:val="20"/>
              </w:rPr>
              <w:t xml:space="preserve">8-16 </w:t>
            </w:r>
            <w:r>
              <w:rPr>
                <w:color w:val="000000"/>
                <w:spacing w:val="0"/>
                <w:w w:val="100"/>
                <w:position w:val="0"/>
                <w:sz w:val="20"/>
                <w:szCs w:val="20"/>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25,593.53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7</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2030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9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871.75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增加公司 运营收入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bl>
    <w:p>
      <w:pPr>
        <w:pStyle w:val="Style38"/>
        <w:keepNext w:val="0"/>
        <w:keepLines w:val="0"/>
        <w:widowControl w:val="0"/>
        <w:shd w:val="clear" w:color="auto" w:fill="auto"/>
        <w:bidi w:val="0"/>
        <w:spacing w:before="0" w:after="0" w:line="240" w:lineRule="auto"/>
        <w:ind w:left="0" w:right="0" w:firstLine="0"/>
        <w:jc w:val="left"/>
      </w:pPr>
      <w:bookmarkStart w:id="392" w:name="bookmark392"/>
      <w:r>
        <w:rPr>
          <w:rFonts w:ascii="Times New Roman" w:eastAsia="Times New Roman" w:hAnsi="Times New Roman" w:cs="Times New Roman"/>
          <w:b/>
          <w:bCs/>
          <w:color w:val="000000"/>
          <w:spacing w:val="0"/>
          <w:w w:val="100"/>
          <w:position w:val="0"/>
        </w:rPr>
        <w:t>2</w:t>
      </w:r>
      <w:r>
        <w:rPr>
          <w:b/>
          <w:bCs/>
          <w:color w:val="000000"/>
          <w:spacing w:val="0"/>
          <w:w w:val="100"/>
          <w:position w:val="0"/>
        </w:rPr>
        <w:t>、重大担保</w:t>
      </w:r>
      <w:bookmarkEnd w:id="392"/>
    </w:p>
    <w:p>
      <w:pPr>
        <w:widowControl w:val="0"/>
        <w:spacing w:after="319" w:line="1" w:lineRule="exact"/>
      </w:pPr>
    </w:p>
    <w:p>
      <w:pPr>
        <w:pStyle w:val="Style44"/>
        <w:keepNext w:val="0"/>
        <w:keepLines w:val="0"/>
        <w:widowControl w:val="0"/>
        <w:shd w:val="clear" w:color="auto" w:fill="auto"/>
        <w:bidi w:val="0"/>
        <w:spacing w:before="0" w:after="140" w:line="240" w:lineRule="auto"/>
        <w:ind w:left="0" w:right="0" w:firstLine="7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4"/>
        <w:keepNext w:val="0"/>
        <w:keepLines w:val="0"/>
        <w:widowControl w:val="0"/>
        <w:shd w:val="clear" w:color="auto" w:fill="auto"/>
        <w:bidi w:val="0"/>
        <w:spacing w:before="0" w:after="360" w:line="240" w:lineRule="auto"/>
        <w:ind w:left="0" w:right="0" w:firstLine="740"/>
        <w:jc w:val="both"/>
      </w:pPr>
      <w:r>
        <w:rPr>
          <w:color w:val="000000"/>
          <w:spacing w:val="0"/>
          <w:w w:val="100"/>
          <w:position w:val="0"/>
        </w:rPr>
        <w:t>公司报告期不存在重大担保情况。</w:t>
      </w:r>
    </w:p>
    <w:p>
      <w:pPr>
        <w:pStyle w:val="Style44"/>
        <w:keepNext w:val="0"/>
        <w:keepLines w:val="0"/>
        <w:widowControl w:val="0"/>
        <w:shd w:val="clear" w:color="auto" w:fill="auto"/>
        <w:bidi w:val="0"/>
        <w:spacing w:before="0" w:after="220" w:line="240" w:lineRule="auto"/>
        <w:ind w:left="0" w:right="0" w:firstLine="740"/>
        <w:jc w:val="both"/>
      </w:pPr>
      <w:r>
        <w:rPr>
          <w:color w:val="000000"/>
          <w:spacing w:val="0"/>
          <w:w w:val="100"/>
          <w:position w:val="0"/>
        </w:rPr>
        <w:t>其他担保情况</w:t>
      </w:r>
    </w:p>
    <w:p>
      <w:pPr>
        <w:pStyle w:val="Style44"/>
        <w:keepNext w:val="0"/>
        <w:keepLines w:val="0"/>
        <w:widowControl w:val="0"/>
        <w:shd w:val="clear" w:color="auto" w:fill="auto"/>
        <w:bidi w:val="0"/>
        <w:spacing w:before="0" w:after="22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月，国民科技、国民投资为公司向中信银行股份有限公司深圳分行申请的人民币</w:t>
      </w:r>
      <w:r>
        <w:rPr>
          <w:rFonts w:ascii="Times New Roman" w:eastAsia="Times New Roman" w:hAnsi="Times New Roman" w:cs="Times New Roman"/>
          <w:color w:val="000000"/>
          <w:spacing w:val="0"/>
          <w:w w:val="100"/>
          <w:position w:val="0"/>
        </w:rPr>
        <w:t>3</w:t>
      </w:r>
    </w:p>
    <w:p>
      <w:pPr>
        <w:pStyle w:val="Style44"/>
        <w:keepNext w:val="0"/>
        <w:keepLines w:val="0"/>
        <w:widowControl w:val="0"/>
        <w:shd w:val="clear" w:color="auto" w:fill="auto"/>
        <w:bidi w:val="0"/>
        <w:spacing w:before="0" w:after="0" w:line="485" w:lineRule="exact"/>
        <w:ind w:left="0" w:right="0" w:firstLine="720"/>
        <w:jc w:val="both"/>
      </w:pPr>
      <w:r>
        <w:rPr>
          <w:color w:val="000000"/>
          <w:spacing w:val="0"/>
          <w:w w:val="100"/>
          <w:position w:val="0"/>
        </w:rPr>
        <w:t>亿元整、期限为</w:t>
      </w:r>
      <w:r>
        <w:rPr>
          <w:rFonts w:ascii="Times New Roman" w:eastAsia="Times New Roman" w:hAnsi="Times New Roman" w:cs="Times New Roman"/>
          <w:color w:val="000000"/>
          <w:spacing w:val="0"/>
          <w:w w:val="100"/>
          <w:position w:val="0"/>
        </w:rPr>
        <w:t>15</w:t>
      </w:r>
      <w:r>
        <w:rPr>
          <w:color w:val="000000"/>
          <w:spacing w:val="0"/>
          <w:w w:val="100"/>
          <w:position w:val="0"/>
        </w:rPr>
        <w:t>年的贷款提供连带责任保证。</w:t>
      </w:r>
    </w:p>
    <w:p>
      <w:pPr>
        <w:pStyle w:val="Style44"/>
        <w:keepNext w:val="0"/>
        <w:keepLines w:val="0"/>
        <w:widowControl w:val="0"/>
        <w:shd w:val="clear" w:color="auto" w:fill="auto"/>
        <w:bidi w:val="0"/>
        <w:spacing w:before="0" w:after="0" w:line="485" w:lineRule="exact"/>
        <w:ind w:left="720" w:right="0" w:firstLine="50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月，斯诺实业、国民科技、内蒙斯诺为公司向中国光大银行股份有限公司深圳分 行申请的人民币</w:t>
      </w:r>
      <w:r>
        <w:rPr>
          <w:rFonts w:ascii="Times New Roman" w:eastAsia="Times New Roman" w:hAnsi="Times New Roman" w:cs="Times New Roman"/>
          <w:color w:val="000000"/>
          <w:spacing w:val="0"/>
          <w:w w:val="100"/>
          <w:position w:val="0"/>
        </w:rPr>
        <w:t>1</w:t>
      </w:r>
      <w:r>
        <w:rPr>
          <w:color w:val="000000"/>
          <w:spacing w:val="0"/>
          <w:w w:val="100"/>
          <w:position w:val="0"/>
        </w:rPr>
        <w:t>亿元整、期限为</w:t>
      </w:r>
      <w:r>
        <w:rPr>
          <w:rFonts w:ascii="Times New Roman" w:eastAsia="Times New Roman" w:hAnsi="Times New Roman" w:cs="Times New Roman"/>
          <w:color w:val="000000"/>
          <w:spacing w:val="0"/>
          <w:w w:val="100"/>
          <w:position w:val="0"/>
        </w:rPr>
        <w:t>1</w:t>
      </w:r>
      <w:r>
        <w:rPr>
          <w:color w:val="000000"/>
          <w:spacing w:val="0"/>
          <w:w w:val="100"/>
          <w:position w:val="0"/>
        </w:rPr>
        <w:t>年的综合授信额度提供连带责任保证。</w:t>
      </w:r>
    </w:p>
    <w:p>
      <w:pPr>
        <w:pStyle w:val="Style44"/>
        <w:keepNext w:val="0"/>
        <w:keepLines w:val="0"/>
        <w:widowControl w:val="0"/>
        <w:shd w:val="clear" w:color="auto" w:fill="auto"/>
        <w:bidi w:val="0"/>
        <w:spacing w:before="0" w:after="100" w:line="485" w:lineRule="exact"/>
        <w:ind w:left="720" w:right="0" w:firstLine="50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月，公司及深圳斯诺为内蒙斯诺向银行机构申请的人民币</w:t>
      </w:r>
      <w:r>
        <w:rPr>
          <w:rFonts w:ascii="Times New Roman" w:eastAsia="Times New Roman" w:hAnsi="Times New Roman" w:cs="Times New Roman"/>
          <w:color w:val="000000"/>
          <w:spacing w:val="0"/>
          <w:w w:val="100"/>
          <w:position w:val="0"/>
        </w:rPr>
        <w:t>6,700</w:t>
      </w:r>
      <w:r>
        <w:rPr>
          <w:color w:val="000000"/>
          <w:spacing w:val="0"/>
          <w:w w:val="100"/>
          <w:position w:val="0"/>
        </w:rPr>
        <w:t>万元、期限为</w:t>
      </w:r>
      <w:r>
        <w:rPr>
          <w:rFonts w:ascii="Times New Roman" w:eastAsia="Times New Roman" w:hAnsi="Times New Roman" w:cs="Times New Roman"/>
          <w:color w:val="000000"/>
          <w:spacing w:val="0"/>
          <w:w w:val="100"/>
          <w:position w:val="0"/>
        </w:rPr>
        <w:t>3.5</w:t>
      </w:r>
      <w:r>
        <w:rPr>
          <w:color w:val="000000"/>
          <w:spacing w:val="0"/>
          <w:w w:val="100"/>
          <w:position w:val="0"/>
        </w:rPr>
        <w:t>年 的贷款提供连带责任担保。</w:t>
      </w:r>
    </w:p>
    <w:p>
      <w:pPr>
        <w:pStyle w:val="Style44"/>
        <w:keepNext w:val="0"/>
        <w:keepLines w:val="0"/>
        <w:widowControl w:val="0"/>
        <w:shd w:val="clear" w:color="auto" w:fill="auto"/>
        <w:bidi w:val="0"/>
        <w:spacing w:before="0" w:after="200" w:line="422" w:lineRule="exact"/>
        <w:ind w:left="720" w:right="0" w:firstLine="500"/>
        <w:jc w:val="left"/>
      </w:pPr>
      <w:r>
        <w:rPr>
          <w:color w:val="000000"/>
          <w:spacing w:val="0"/>
          <w:w w:val="100"/>
          <w:position w:val="0"/>
        </w:rPr>
        <w:t>除上述担保外，公司及控股子公司没有发生其它为控股股东及其他关联方、任何其它法人 或非法人单位或个人提供担保情况。不存在逾期担保及涉及诉讼的担保情况。</w:t>
      </w:r>
    </w:p>
    <w:p>
      <w:pPr>
        <w:pStyle w:val="Style52"/>
        <w:keepNext/>
        <w:keepLines/>
        <w:widowControl w:val="0"/>
        <w:shd w:val="clear" w:color="auto" w:fill="auto"/>
        <w:bidi w:val="0"/>
        <w:spacing w:before="0" w:after="100" w:line="485" w:lineRule="exact"/>
        <w:ind w:left="0" w:right="0" w:firstLine="72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3</w:t>
      </w:r>
      <w:bookmarkEnd w:id="395"/>
      <w:r>
        <w:rPr>
          <w:color w:val="000000"/>
          <w:spacing w:val="0"/>
          <w:w w:val="100"/>
          <w:position w:val="0"/>
        </w:rPr>
        <w:t>、委托他人进行现金资产管理情况</w:t>
      </w:r>
      <w:bookmarkEnd w:id="393"/>
      <w:bookmarkEnd w:id="394"/>
      <w:bookmarkEnd w:id="396"/>
    </w:p>
    <w:p>
      <w:pPr>
        <w:pStyle w:val="Style71"/>
        <w:keepNext/>
        <w:keepLines/>
        <w:widowControl w:val="0"/>
        <w:shd w:val="clear" w:color="auto" w:fill="auto"/>
        <w:bidi w:val="0"/>
        <w:spacing w:before="0" w:after="100" w:line="485" w:lineRule="exact"/>
        <w:ind w:left="0" w:right="0" w:firstLine="720"/>
        <w:jc w:val="left"/>
      </w:pPr>
      <w:bookmarkStart w:id="397" w:name="bookmark397"/>
      <w:bookmarkStart w:id="398" w:name="bookmark398"/>
      <w:bookmarkStart w:id="399" w:name="bookmark399"/>
      <w:bookmarkStart w:id="400" w:name="bookmark400"/>
      <w:r>
        <w:rPr>
          <w:color w:val="000000"/>
          <w:spacing w:val="0"/>
          <w:w w:val="100"/>
          <w:position w:val="0"/>
        </w:rPr>
        <w:t>（</w:t>
      </w:r>
      <w:bookmarkEnd w:id="399"/>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97"/>
      <w:bookmarkEnd w:id="398"/>
      <w:bookmarkEnd w:id="400"/>
    </w:p>
    <w:p>
      <w:pPr>
        <w:pStyle w:val="Style44"/>
        <w:keepNext w:val="0"/>
        <w:keepLines w:val="0"/>
        <w:widowControl w:val="0"/>
        <w:shd w:val="clear" w:color="auto" w:fill="auto"/>
        <w:bidi w:val="0"/>
        <w:spacing w:before="0" w:after="200" w:line="485" w:lineRule="exact"/>
        <w:ind w:left="0" w:right="0" w:firstLine="7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val="0"/>
        <w:keepLines w:val="0"/>
        <w:widowControl w:val="0"/>
        <w:shd w:val="clear" w:color="auto" w:fill="auto"/>
        <w:bidi w:val="0"/>
        <w:spacing w:before="0" w:after="100" w:line="485" w:lineRule="exact"/>
        <w:ind w:left="0" w:right="0" w:firstLine="720"/>
        <w:jc w:val="left"/>
      </w:pPr>
      <w:r>
        <w:rPr>
          <w:color w:val="000000"/>
          <w:spacing w:val="0"/>
          <w:w w:val="100"/>
          <w:position w:val="0"/>
        </w:rPr>
        <w:t>报告期内委托理财概况</w:t>
      </w:r>
    </w:p>
    <w:p>
      <w:pPr>
        <w:pStyle w:val="Style38"/>
        <w:keepNext w:val="0"/>
        <w:keepLines w:val="0"/>
        <w:widowControl w:val="0"/>
        <w:shd w:val="clear" w:color="auto" w:fill="auto"/>
        <w:bidi w:val="0"/>
        <w:spacing w:before="0" w:after="0" w:line="240" w:lineRule="auto"/>
        <w:ind w:left="8011"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1877"/>
        <w:gridCol w:w="1958"/>
        <w:gridCol w:w="1982"/>
        <w:gridCol w:w="1910"/>
        <w:gridCol w:w="1858"/>
      </w:tblGrid>
      <w:tr>
        <w:trPr>
          <w:trHeight w:val="52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未到期余额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逾期未收回的金额</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超募资金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券商理财产品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52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bl>
    <w:p>
      <w:pPr>
        <w:widowControl w:val="0"/>
        <w:spacing w:after="199" w:line="1" w:lineRule="exact"/>
      </w:pPr>
    </w:p>
    <w:p>
      <w:pPr>
        <w:pStyle w:val="Style44"/>
        <w:keepNext w:val="0"/>
        <w:keepLines w:val="0"/>
        <w:widowControl w:val="0"/>
        <w:shd w:val="clear" w:color="auto" w:fill="auto"/>
        <w:bidi w:val="0"/>
        <w:spacing w:before="0" w:after="200" w:line="240" w:lineRule="auto"/>
        <w:ind w:left="0" w:right="0" w:firstLine="720"/>
        <w:jc w:val="left"/>
      </w:pPr>
      <w:r>
        <w:rPr>
          <w:color w:val="000000"/>
          <w:spacing w:val="0"/>
          <w:w w:val="100"/>
          <w:position w:val="0"/>
        </w:rPr>
        <w:t>单项金额重大或安全性较低、流动性较差、不保本的高风险委托理财具体情况</w:t>
      </w:r>
    </w:p>
    <w:p>
      <w:pPr>
        <w:pStyle w:val="Style44"/>
        <w:keepNext w:val="0"/>
        <w:keepLines w:val="0"/>
        <w:widowControl w:val="0"/>
        <w:shd w:val="clear" w:color="auto" w:fill="auto"/>
        <w:bidi w:val="0"/>
        <w:spacing w:before="0" w:after="200" w:line="240" w:lineRule="auto"/>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4"/>
        <w:keepNext w:val="0"/>
        <w:keepLines w:val="0"/>
        <w:widowControl w:val="0"/>
        <w:shd w:val="clear" w:color="auto" w:fill="auto"/>
        <w:bidi w:val="0"/>
        <w:spacing w:before="0" w:after="200" w:line="240" w:lineRule="auto"/>
        <w:ind w:left="0" w:right="0" w:firstLine="720"/>
        <w:jc w:val="both"/>
      </w:pPr>
      <w:r>
        <w:rPr>
          <w:color w:val="000000"/>
          <w:spacing w:val="0"/>
          <w:w w:val="100"/>
          <w:position w:val="0"/>
        </w:rPr>
        <w:t>委托理财出现预期无法收回本金或存在其他可能导致减值的情形</w:t>
      </w:r>
    </w:p>
    <w:p>
      <w:pPr>
        <w:pStyle w:val="Style44"/>
        <w:keepNext w:val="0"/>
        <w:keepLines w:val="0"/>
        <w:widowControl w:val="0"/>
        <w:shd w:val="clear" w:color="auto" w:fill="auto"/>
        <w:bidi w:val="0"/>
        <w:spacing w:before="0" w:after="340" w:line="240" w:lineRule="auto"/>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71"/>
        <w:keepNext/>
        <w:keepLines/>
        <w:widowControl w:val="0"/>
        <w:shd w:val="clear" w:color="auto" w:fill="auto"/>
        <w:bidi w:val="0"/>
        <w:spacing w:before="0" w:after="340" w:line="240" w:lineRule="auto"/>
        <w:ind w:left="0" w:right="0" w:firstLine="720"/>
        <w:jc w:val="both"/>
      </w:pPr>
      <w:bookmarkStart w:id="401" w:name="bookmark401"/>
      <w:bookmarkStart w:id="402" w:name="bookmark402"/>
      <w:bookmarkStart w:id="403" w:name="bookmark403"/>
      <w:bookmarkStart w:id="404" w:name="bookmark404"/>
      <w:r>
        <w:rPr>
          <w:color w:val="000000"/>
          <w:spacing w:val="0"/>
          <w:w w:val="100"/>
          <w:position w:val="0"/>
        </w:rPr>
        <w:t>（</w:t>
      </w:r>
      <w:bookmarkEnd w:id="403"/>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01"/>
      <w:bookmarkEnd w:id="402"/>
      <w:bookmarkEnd w:id="404"/>
    </w:p>
    <w:p>
      <w:pPr>
        <w:pStyle w:val="Style44"/>
        <w:keepNext w:val="0"/>
        <w:keepLines w:val="0"/>
        <w:widowControl w:val="0"/>
        <w:shd w:val="clear" w:color="auto" w:fill="auto"/>
        <w:bidi w:val="0"/>
        <w:spacing w:before="0" w:after="200" w:line="240" w:lineRule="auto"/>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4"/>
        <w:keepNext w:val="0"/>
        <w:keepLines w:val="0"/>
        <w:widowControl w:val="0"/>
        <w:shd w:val="clear" w:color="auto" w:fill="auto"/>
        <w:bidi w:val="0"/>
        <w:spacing w:before="0" w:after="340" w:line="240" w:lineRule="auto"/>
        <w:ind w:left="0" w:right="0" w:firstLine="720"/>
        <w:jc w:val="left"/>
      </w:pPr>
      <w:r>
        <w:rPr>
          <w:color w:val="000000"/>
          <w:spacing w:val="0"/>
          <w:w w:val="100"/>
          <w:position w:val="0"/>
        </w:rPr>
        <w:t>公司报告期不存在委托贷款。</w:t>
      </w:r>
    </w:p>
    <w:p>
      <w:pPr>
        <w:pStyle w:val="Style52"/>
        <w:keepNext/>
        <w:keepLines/>
        <w:widowControl w:val="0"/>
        <w:shd w:val="clear" w:color="auto" w:fill="auto"/>
        <w:bidi w:val="0"/>
        <w:spacing w:before="0" w:after="340" w:line="240" w:lineRule="auto"/>
        <w:ind w:left="0" w:right="0" w:firstLine="720"/>
        <w:jc w:val="both"/>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4</w:t>
      </w:r>
      <w:bookmarkEnd w:id="407"/>
      <w:r>
        <w:rPr>
          <w:color w:val="000000"/>
          <w:spacing w:val="0"/>
          <w:w w:val="100"/>
          <w:position w:val="0"/>
        </w:rPr>
        <w:t>、其他重大合同</w:t>
      </w:r>
      <w:bookmarkEnd w:id="405"/>
      <w:bookmarkEnd w:id="406"/>
      <w:bookmarkEnd w:id="408"/>
    </w:p>
    <w:p>
      <w:pPr>
        <w:pStyle w:val="Style44"/>
        <w:keepNext w:val="0"/>
        <w:keepLines w:val="0"/>
        <w:widowControl w:val="0"/>
        <w:shd w:val="clear" w:color="auto" w:fill="auto"/>
        <w:bidi w:val="0"/>
        <w:spacing w:before="0" w:after="200" w:line="240" w:lineRule="auto"/>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4"/>
        <w:keepNext w:val="0"/>
        <w:keepLines w:val="0"/>
        <w:widowControl w:val="0"/>
        <w:shd w:val="clear" w:color="auto" w:fill="auto"/>
        <w:bidi w:val="0"/>
        <w:spacing w:before="0" w:after="360" w:line="240" w:lineRule="auto"/>
        <w:ind w:left="0" w:right="0" w:firstLine="780"/>
        <w:jc w:val="left"/>
      </w:pPr>
      <w:r>
        <w:rPr>
          <w:color w:val="000000"/>
          <w:spacing w:val="0"/>
          <w:w w:val="100"/>
          <w:position w:val="0"/>
        </w:rPr>
        <w:t>公司报告期不存在其他重大合同。</w:t>
      </w:r>
    </w:p>
    <w:p>
      <w:pPr>
        <w:pStyle w:val="Style42"/>
        <w:keepNext/>
        <w:keepLines/>
        <w:widowControl w:val="0"/>
        <w:shd w:val="clear" w:color="auto" w:fill="auto"/>
        <w:bidi w:val="0"/>
        <w:spacing w:before="0" w:after="360" w:line="240" w:lineRule="auto"/>
        <w:ind w:left="0" w:right="0" w:firstLine="780"/>
        <w:jc w:val="both"/>
      </w:pPr>
      <w:bookmarkStart w:id="409" w:name="bookmark409"/>
      <w:bookmarkStart w:id="410" w:name="bookmark410"/>
      <w:bookmarkStart w:id="411" w:name="bookmark411"/>
      <w:r>
        <w:rPr>
          <w:color w:val="000000"/>
          <w:spacing w:val="0"/>
          <w:w w:val="100"/>
          <w:position w:val="0"/>
        </w:rPr>
        <w:t>十七、社会责任情况</w:t>
      </w:r>
      <w:bookmarkEnd w:id="409"/>
      <w:bookmarkEnd w:id="410"/>
      <w:bookmarkEnd w:id="411"/>
    </w:p>
    <w:p>
      <w:pPr>
        <w:pStyle w:val="Style52"/>
        <w:keepNext/>
        <w:keepLines/>
        <w:widowControl w:val="0"/>
        <w:shd w:val="clear" w:color="auto" w:fill="auto"/>
        <w:tabs>
          <w:tab w:pos="1158" w:val="left"/>
        </w:tabs>
        <w:bidi w:val="0"/>
        <w:spacing w:before="0" w:after="360" w:line="240" w:lineRule="auto"/>
        <w:ind w:left="0" w:right="0" w:firstLine="780"/>
        <w:jc w:val="both"/>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1</w:t>
      </w:r>
      <w:bookmarkEnd w:id="414"/>
      <w:r>
        <w:rPr>
          <w:color w:val="000000"/>
          <w:spacing w:val="0"/>
          <w:w w:val="100"/>
          <w:position w:val="0"/>
        </w:rPr>
        <w:t>、</w:t>
        <w:tab/>
        <w:t>履行社会责任情况</w:t>
      </w:r>
      <w:bookmarkEnd w:id="412"/>
      <w:bookmarkEnd w:id="413"/>
      <w:bookmarkEnd w:id="415"/>
    </w:p>
    <w:p>
      <w:pPr>
        <w:pStyle w:val="Style44"/>
        <w:keepNext w:val="0"/>
        <w:keepLines w:val="0"/>
        <w:widowControl w:val="0"/>
        <w:shd w:val="clear" w:color="auto" w:fill="auto"/>
        <w:bidi w:val="0"/>
        <w:spacing w:before="0" w:after="360" w:line="240" w:lineRule="auto"/>
        <w:ind w:left="0" w:right="0" w:firstLine="780"/>
        <w:jc w:val="both"/>
      </w:pPr>
      <w:r>
        <w:rPr>
          <w:color w:val="000000"/>
          <w:spacing w:val="0"/>
          <w:w w:val="100"/>
          <w:position w:val="0"/>
        </w:rPr>
        <w:t>公司报告年度并未制定社会责任情况报告。</w:t>
      </w:r>
    </w:p>
    <w:p>
      <w:pPr>
        <w:pStyle w:val="Style52"/>
        <w:keepNext/>
        <w:keepLines/>
        <w:widowControl w:val="0"/>
        <w:shd w:val="clear" w:color="auto" w:fill="auto"/>
        <w:tabs>
          <w:tab w:pos="1172" w:val="left"/>
        </w:tabs>
        <w:bidi w:val="0"/>
        <w:spacing w:before="0" w:after="360" w:line="240" w:lineRule="auto"/>
        <w:ind w:left="0" w:right="0" w:firstLine="780"/>
        <w:jc w:val="both"/>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2</w:t>
      </w:r>
      <w:bookmarkEnd w:id="418"/>
      <w:r>
        <w:rPr>
          <w:color w:val="000000"/>
          <w:spacing w:val="0"/>
          <w:w w:val="100"/>
          <w:position w:val="0"/>
        </w:rPr>
        <w:t>、</w:t>
        <w:tab/>
        <w:t>履行精准扶贫社会责任的情况</w:t>
      </w:r>
      <w:bookmarkEnd w:id="416"/>
      <w:bookmarkEnd w:id="417"/>
      <w:bookmarkEnd w:id="419"/>
    </w:p>
    <w:p>
      <w:pPr>
        <w:pStyle w:val="Style44"/>
        <w:keepNext w:val="0"/>
        <w:keepLines w:val="0"/>
        <w:widowControl w:val="0"/>
        <w:shd w:val="clear" w:color="auto" w:fill="auto"/>
        <w:bidi w:val="0"/>
        <w:spacing w:before="0" w:after="360" w:line="240" w:lineRule="auto"/>
        <w:ind w:left="0" w:right="0" w:firstLine="780"/>
        <w:jc w:val="both"/>
      </w:pPr>
      <w:r>
        <w:rPr>
          <w:color w:val="000000"/>
          <w:spacing w:val="0"/>
          <w:w w:val="100"/>
          <w:position w:val="0"/>
        </w:rPr>
        <w:t>公司报告年度暂未开展精准扶贫工作，也暂无后续精准扶贫计划。</w:t>
      </w:r>
    </w:p>
    <w:p>
      <w:pPr>
        <w:pStyle w:val="Style52"/>
        <w:keepNext/>
        <w:keepLines/>
        <w:widowControl w:val="0"/>
        <w:shd w:val="clear" w:color="auto" w:fill="auto"/>
        <w:tabs>
          <w:tab w:pos="1172" w:val="left"/>
        </w:tabs>
        <w:bidi w:val="0"/>
        <w:spacing w:before="0" w:after="360" w:line="240" w:lineRule="auto"/>
        <w:ind w:left="0" w:right="0" w:firstLine="780"/>
        <w:jc w:val="both"/>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3</w:t>
      </w:r>
      <w:bookmarkEnd w:id="422"/>
      <w:r>
        <w:rPr>
          <w:color w:val="000000"/>
          <w:spacing w:val="0"/>
          <w:w w:val="100"/>
          <w:position w:val="0"/>
        </w:rPr>
        <w:t>、</w:t>
        <w:tab/>
        <w:t>环境保护相关的情况</w:t>
      </w:r>
      <w:bookmarkEnd w:id="420"/>
      <w:bookmarkEnd w:id="421"/>
      <w:bookmarkEnd w:id="423"/>
    </w:p>
    <w:p>
      <w:pPr>
        <w:pStyle w:val="Style44"/>
        <w:keepNext w:val="0"/>
        <w:keepLines w:val="0"/>
        <w:widowControl w:val="0"/>
        <w:shd w:val="clear" w:color="auto" w:fill="auto"/>
        <w:bidi w:val="0"/>
        <w:spacing w:before="0" w:after="200" w:line="240" w:lineRule="auto"/>
        <w:ind w:left="0" w:right="0" w:firstLine="780"/>
        <w:jc w:val="both"/>
      </w:pPr>
      <w:r>
        <w:rPr>
          <w:color w:val="000000"/>
          <w:spacing w:val="0"/>
          <w:w w:val="100"/>
          <w:position w:val="0"/>
        </w:rPr>
        <w:t>上市公司及其子公司是否环境保护部门公布的重度污染单位</w:t>
      </w:r>
    </w:p>
    <w:p>
      <w:pPr>
        <w:pStyle w:val="Style44"/>
        <w:keepNext w:val="0"/>
        <w:keepLines w:val="0"/>
        <w:widowControl w:val="0"/>
        <w:shd w:val="clear" w:color="auto" w:fill="auto"/>
        <w:bidi w:val="0"/>
        <w:spacing w:before="0" w:after="360" w:line="240" w:lineRule="auto"/>
        <w:ind w:left="0" w:right="0" w:firstLine="78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寸</w:t>
      </w:r>
      <w:r>
        <w:rPr>
          <w:color w:val="000000"/>
          <w:spacing w:val="0"/>
          <w:w w:val="100"/>
          <w:position w:val="0"/>
        </w:rPr>
        <w:t>不适用</w:t>
      </w:r>
    </w:p>
    <w:p>
      <w:pPr>
        <w:pStyle w:val="Style42"/>
        <w:keepNext/>
        <w:keepLines/>
        <w:widowControl w:val="0"/>
        <w:shd w:val="clear" w:color="auto" w:fill="auto"/>
        <w:bidi w:val="0"/>
        <w:spacing w:before="0" w:after="360" w:line="240" w:lineRule="auto"/>
        <w:ind w:left="0" w:right="0" w:firstLine="780"/>
        <w:jc w:val="left"/>
      </w:pPr>
      <w:bookmarkStart w:id="424" w:name="bookmark424"/>
      <w:bookmarkStart w:id="425" w:name="bookmark425"/>
      <w:bookmarkStart w:id="426" w:name="bookmark426"/>
      <w:r>
        <w:rPr>
          <w:color w:val="000000"/>
          <w:spacing w:val="0"/>
          <w:w w:val="100"/>
          <w:position w:val="0"/>
        </w:rPr>
        <w:t>十八、其他重大事项的说明</w:t>
      </w:r>
      <w:bookmarkEnd w:id="424"/>
      <w:bookmarkEnd w:id="425"/>
      <w:bookmarkEnd w:id="426"/>
    </w:p>
    <w:p>
      <w:pPr>
        <w:pStyle w:val="Style44"/>
        <w:keepNext w:val="0"/>
        <w:keepLines w:val="0"/>
        <w:widowControl w:val="0"/>
        <w:shd w:val="clear" w:color="auto" w:fill="auto"/>
        <w:bidi w:val="0"/>
        <w:spacing w:before="0" w:after="140" w:line="240" w:lineRule="auto"/>
        <w:ind w:left="0" w:right="0" w:firstLine="7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142"/>
        <w:gridCol w:w="6240"/>
        <w:gridCol w:w="1416"/>
        <w:gridCol w:w="1570"/>
      </w:tblGrid>
      <w:tr>
        <w:trPr>
          <w:trHeight w:val="69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文件编号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80" w:right="0" w:firstLine="0"/>
              <w:jc w:val="left"/>
              <w:rPr>
                <w:sz w:val="20"/>
                <w:szCs w:val="20"/>
              </w:rPr>
            </w:pPr>
            <w:r>
              <w:rPr>
                <w:color w:val="000000"/>
                <w:spacing w:val="0"/>
                <w:w w:val="100"/>
                <w:position w:val="0"/>
                <w:sz w:val="20"/>
                <w:szCs w:val="20"/>
              </w:rPr>
              <w:t>重大事项披露情况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刊载日期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披露索引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《关于改聘公司</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年度财务报告审计机构的公告》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2020-01-18</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巨潮资讯网</w:t>
            </w:r>
          </w:p>
        </w:tc>
      </w:tr>
      <w:tr>
        <w:trPr>
          <w:trHeight w:val="7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《关于董事、监事辞职暨增补董事、监事的公告》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2020-04-24</w:t>
            </w: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2020-054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《关于董事会秘书辞职及聘任董事会秘书的公告》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2020-06-13</w:t>
            </w:r>
          </w:p>
        </w:tc>
        <w:tc>
          <w:tcPr>
            <w:vMerge/>
            <w:tcBorders>
              <w:left w:val="single" w:sz="4"/>
              <w:bottom w:val="single" w:sz="4"/>
              <w:right w:val="single" w:sz="4"/>
            </w:tcBorders>
            <w:shd w:val="clear" w:color="auto" w:fill="FFFFFF"/>
            <w:vAlign w:val="center"/>
          </w:tcPr>
          <w:p>
            <w:pP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780"/>
        <w:jc w:val="left"/>
        <w:rPr>
          <w:sz w:val="20"/>
          <w:szCs w:val="20"/>
        </w:rPr>
      </w:pPr>
      <w:bookmarkStart w:id="427" w:name="bookmark427"/>
      <w:bookmarkStart w:id="428" w:name="bookmark428"/>
      <w:bookmarkStart w:id="429" w:name="bookmark429"/>
      <w:r>
        <w:rPr>
          <w:color w:val="000000"/>
          <w:spacing w:val="0"/>
          <w:w w:val="100"/>
          <w:position w:val="0"/>
          <w:sz w:val="20"/>
          <w:szCs w:val="20"/>
        </w:rPr>
        <w:t>十九、公司子公司重大事项</w:t>
      </w:r>
      <w:bookmarkEnd w:id="427"/>
      <w:bookmarkEnd w:id="428"/>
      <w:bookmarkEnd w:id="429"/>
    </w:p>
    <w:p>
      <w:pPr>
        <w:pStyle w:val="Style44"/>
        <w:keepNext w:val="0"/>
        <w:keepLines w:val="0"/>
        <w:widowControl w:val="0"/>
        <w:shd w:val="clear" w:color="auto" w:fill="auto"/>
        <w:bidi w:val="0"/>
        <w:spacing w:before="0" w:after="580" w:line="240" w:lineRule="auto"/>
        <w:ind w:left="0" w:right="0" w:firstLine="780"/>
        <w:jc w:val="both"/>
      </w:pPr>
      <w:r>
        <w:rPr>
          <w:color w:val="000000"/>
          <w:spacing w:val="0"/>
          <w:w w:val="100"/>
          <w:position w:val="0"/>
        </w:rPr>
        <w:t>寸</w:t>
      </w:r>
      <w:r>
        <w:rPr>
          <w:color w:val="000000"/>
          <w:spacing w:val="0"/>
          <w:w w:val="100"/>
          <w:position w:val="0"/>
        </w:rPr>
        <w:t>适用口不适用</w:t>
      </w:r>
    </w:p>
    <w:tbl>
      <w:tblPr>
        <w:tblOverlap w:val="never"/>
        <w:jc w:val="center"/>
        <w:tblLayout w:type="fixed"/>
      </w:tblPr>
      <w:tblGrid>
        <w:gridCol w:w="1142"/>
        <w:gridCol w:w="6240"/>
        <w:gridCol w:w="1416"/>
        <w:gridCol w:w="1570"/>
      </w:tblGrid>
      <w:tr>
        <w:trPr>
          <w:trHeight w:val="69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文件编号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80" w:right="0" w:firstLine="0"/>
              <w:jc w:val="left"/>
              <w:rPr>
                <w:sz w:val="20"/>
                <w:szCs w:val="20"/>
              </w:rPr>
            </w:pPr>
            <w:r>
              <w:rPr>
                <w:color w:val="000000"/>
                <w:spacing w:val="0"/>
                <w:w w:val="100"/>
                <w:position w:val="0"/>
                <w:sz w:val="20"/>
                <w:szCs w:val="20"/>
              </w:rPr>
              <w:t>重大事项披露情况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刊载日期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披露索引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《关于签署〈补偿及股权转让协议〉的公告》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2020-08-28</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巨潮资讯网</w:t>
            </w:r>
          </w:p>
        </w:tc>
      </w:tr>
      <w:tr>
        <w:trPr>
          <w:trHeight w:val="7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《关于〈补偿及股权转让协议〉履行进展的公告》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2020-09-14</w:t>
            </w: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《关于重大诉讼进展的公告》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2020-12-05</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142"/>
        <w:gridCol w:w="6240"/>
        <w:gridCol w:w="1416"/>
        <w:gridCol w:w="1570"/>
      </w:tblGrid>
      <w:tr>
        <w:trPr>
          <w:trHeight w:val="7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《关于〈补偿及股权转让协议〉履行进展的公告》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2020-12-17</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2020-076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《关于重大诉讼进展的公告》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2020-12-17</w:t>
            </w:r>
          </w:p>
        </w:tc>
        <w:tc>
          <w:tcPr>
            <w:vMerge/>
            <w:tcBorders>
              <w:left w:val="single" w:sz="4"/>
              <w:bottom w:val="single" w:sz="4"/>
              <w:right w:val="single" w:sz="4"/>
            </w:tcBorders>
            <w:shd w:val="clear" w:color="auto" w:fill="FFFFFF"/>
            <w:vAlign w:val="top"/>
          </w:tcPr>
          <w:p>
            <w:pPr/>
          </w:p>
        </w:tc>
      </w:tr>
    </w:tbl>
    <w:p>
      <w:pPr>
        <w:sectPr>
          <w:headerReference w:type="default" r:id="rId59"/>
          <w:footerReference w:type="default" r:id="rId60"/>
          <w:headerReference w:type="even" r:id="rId61"/>
          <w:footerReference w:type="even" r:id="rId62"/>
          <w:footnotePr>
            <w:pos w:val="pageBottom"/>
            <w:numFmt w:val="decimal"/>
            <w:numRestart w:val="continuous"/>
          </w:footnotePr>
          <w:pgSz w:w="11900" w:h="16840"/>
          <w:pgMar w:top="1268" w:right="347" w:bottom="1585" w:left="489" w:header="0" w:footer="3" w:gutter="0"/>
          <w:cols w:space="720"/>
          <w:noEndnote/>
          <w:rtlGutter w:val="0"/>
          <w:docGrid w:linePitch="360"/>
        </w:sectPr>
      </w:pPr>
    </w:p>
    <w:p>
      <w:pPr>
        <w:pStyle w:val="Style22"/>
        <w:keepNext/>
        <w:keepLines/>
        <w:widowControl w:val="0"/>
        <w:shd w:val="clear" w:color="auto" w:fill="auto"/>
        <w:bidi w:val="0"/>
        <w:spacing w:before="480" w:after="540" w:line="240" w:lineRule="auto"/>
        <w:ind w:left="0" w:right="0" w:firstLine="0"/>
        <w:jc w:val="center"/>
      </w:pPr>
      <w:bookmarkStart w:id="430" w:name="bookmark430"/>
      <w:bookmarkStart w:id="431" w:name="bookmark431"/>
      <w:bookmarkStart w:id="432" w:name="bookmark432"/>
      <w:r>
        <w:rPr>
          <w:color w:val="000000"/>
          <w:spacing w:val="0"/>
          <w:w w:val="100"/>
          <w:position w:val="0"/>
        </w:rPr>
        <w:t>第六节股份变动及股东情况</w:t>
      </w:r>
      <w:bookmarkEnd w:id="430"/>
      <w:bookmarkEnd w:id="431"/>
      <w:bookmarkEnd w:id="432"/>
    </w:p>
    <w:p>
      <w:pPr>
        <w:pStyle w:val="Style42"/>
        <w:keepNext/>
        <w:keepLines/>
        <w:widowControl w:val="0"/>
        <w:shd w:val="clear" w:color="auto" w:fill="auto"/>
        <w:bidi w:val="0"/>
        <w:spacing w:before="0" w:after="340" w:line="240" w:lineRule="auto"/>
        <w:ind w:left="0" w:right="0" w:firstLine="640"/>
        <w:jc w:val="both"/>
      </w:pPr>
      <w:bookmarkStart w:id="433" w:name="bookmark433"/>
      <w:bookmarkStart w:id="434" w:name="bookmark434"/>
      <w:bookmarkStart w:id="435" w:name="bookmark435"/>
      <w:bookmarkStart w:id="436" w:name="bookmark436"/>
      <w:r>
        <w:rPr>
          <w:color w:val="000000"/>
          <w:spacing w:val="0"/>
          <w:w w:val="100"/>
          <w:position w:val="0"/>
        </w:rPr>
        <w:t>一</w:t>
      </w:r>
      <w:bookmarkEnd w:id="435"/>
      <w:r>
        <w:rPr>
          <w:color w:val="000000"/>
          <w:spacing w:val="0"/>
          <w:w w:val="100"/>
          <w:position w:val="0"/>
        </w:rPr>
        <w:t>、股份变动情况</w:t>
      </w:r>
      <w:bookmarkEnd w:id="433"/>
      <w:bookmarkEnd w:id="434"/>
      <w:bookmarkEnd w:id="436"/>
    </w:p>
    <w:p>
      <w:pPr>
        <w:pStyle w:val="Style52"/>
        <w:keepNext/>
        <w:keepLines/>
        <w:widowControl w:val="0"/>
        <w:shd w:val="clear" w:color="auto" w:fill="auto"/>
        <w:bidi w:val="0"/>
        <w:spacing w:before="0" w:after="340" w:line="240" w:lineRule="auto"/>
        <w:ind w:left="0" w:right="0" w:firstLine="640"/>
        <w:jc w:val="both"/>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sz w:val="24"/>
          <w:szCs w:val="24"/>
        </w:rPr>
        <w:t>1</w:t>
      </w:r>
      <w:bookmarkEnd w:id="439"/>
      <w:r>
        <w:rPr>
          <w:color w:val="000000"/>
          <w:spacing w:val="0"/>
          <w:w w:val="100"/>
          <w:position w:val="0"/>
        </w:rPr>
        <w:t>、股份变动情况</w:t>
      </w:r>
      <w:bookmarkEnd w:id="437"/>
      <w:bookmarkEnd w:id="438"/>
      <w:bookmarkEnd w:id="440"/>
    </w:p>
    <w:p>
      <w:pPr>
        <w:pStyle w:val="Style3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单位：股</w:t>
      </w:r>
    </w:p>
    <w:tbl>
      <w:tblPr>
        <w:tblOverlap w:val="never"/>
        <w:jc w:val="center"/>
        <w:tblLayout w:type="fixed"/>
      </w:tblPr>
      <w:tblGrid>
        <w:gridCol w:w="2198"/>
        <w:gridCol w:w="1171"/>
        <w:gridCol w:w="869"/>
        <w:gridCol w:w="658"/>
        <w:gridCol w:w="658"/>
        <w:gridCol w:w="1166"/>
        <w:gridCol w:w="1022"/>
        <w:gridCol w:w="1166"/>
        <w:gridCol w:w="1171"/>
        <w:gridCol w:w="82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w:t>
            </w:r>
            <w:r>
              <w:rPr>
                <w:color w:val="000000"/>
                <w:spacing w:val="0"/>
                <w:w w:val="100"/>
                <w:position w:val="0"/>
                <w:sz w:val="20"/>
                <w:szCs w:val="2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发行 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12,558,300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12,560,625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2.25%</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12,558,300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12,560,625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2.25%</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12,558,300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12,560,625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2.25%</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545,056,700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545,054,375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97.75%</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545,056,700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545,054,375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97.75%</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557,615,000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557,615,000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100%</w:t>
            </w:r>
          </w:p>
        </w:tc>
      </w:tr>
    </w:tbl>
    <w:p>
      <w:pPr>
        <w:widowControl w:val="0"/>
        <w:spacing w:after="159" w:line="1" w:lineRule="exact"/>
      </w:pPr>
    </w:p>
    <w:p>
      <w:pPr>
        <w:pStyle w:val="Style44"/>
        <w:keepNext w:val="0"/>
        <w:keepLines w:val="0"/>
        <w:widowControl w:val="0"/>
        <w:shd w:val="clear" w:color="auto" w:fill="auto"/>
        <w:bidi w:val="0"/>
        <w:spacing w:before="0" w:after="240" w:line="240" w:lineRule="auto"/>
        <w:ind w:left="0" w:right="0" w:firstLine="640"/>
        <w:jc w:val="both"/>
      </w:pPr>
      <w:r>
        <w:rPr>
          <w:color w:val="000000"/>
          <w:spacing w:val="0"/>
          <w:w w:val="100"/>
          <w:position w:val="0"/>
        </w:rPr>
        <w:t>股份变动的原因</w:t>
      </w:r>
    </w:p>
    <w:p>
      <w:pPr>
        <w:pStyle w:val="Style44"/>
        <w:keepNext w:val="0"/>
        <w:keepLines w:val="0"/>
        <w:widowControl w:val="0"/>
        <w:shd w:val="clear" w:color="auto" w:fill="auto"/>
        <w:bidi w:val="0"/>
        <w:spacing w:before="0" w:after="240" w:line="240" w:lineRule="auto"/>
        <w:ind w:left="0" w:right="0" w:firstLine="6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val="0"/>
        <w:keepLines w:val="0"/>
        <w:widowControl w:val="0"/>
        <w:shd w:val="clear" w:color="auto" w:fill="auto"/>
        <w:bidi w:val="0"/>
        <w:spacing w:before="0" w:after="160" w:line="240" w:lineRule="auto"/>
        <w:ind w:left="0" w:right="0" w:firstLine="640"/>
        <w:jc w:val="both"/>
      </w:pPr>
      <w:r>
        <w:rPr>
          <w:color w:val="000000"/>
          <w:spacing w:val="0"/>
          <w:w w:val="100"/>
          <w:position w:val="0"/>
        </w:rPr>
        <w:t>股东林玉华为公司新任非职工监事，报告期内增加高管锁定股</w:t>
      </w:r>
      <w:r>
        <w:rPr>
          <w:rFonts w:ascii="Times New Roman" w:eastAsia="Times New Roman" w:hAnsi="Times New Roman" w:cs="Times New Roman"/>
          <w:color w:val="000000"/>
          <w:spacing w:val="0"/>
          <w:w w:val="100"/>
          <w:position w:val="0"/>
        </w:rPr>
        <w:t>1,500</w:t>
      </w:r>
      <w:r>
        <w:rPr>
          <w:color w:val="000000"/>
          <w:spacing w:val="0"/>
          <w:w w:val="100"/>
          <w:position w:val="0"/>
        </w:rPr>
        <w:t>股。</w:t>
      </w:r>
    </w:p>
    <w:p>
      <w:pPr>
        <w:pStyle w:val="Style44"/>
        <w:keepNext w:val="0"/>
        <w:keepLines w:val="0"/>
        <w:widowControl w:val="0"/>
        <w:shd w:val="clear" w:color="auto" w:fill="auto"/>
        <w:bidi w:val="0"/>
        <w:spacing w:before="0" w:after="380" w:line="240" w:lineRule="auto"/>
        <w:ind w:left="0" w:right="0" w:firstLine="640"/>
        <w:jc w:val="both"/>
      </w:pPr>
      <w:r>
        <w:rPr>
          <w:color w:val="000000"/>
          <w:spacing w:val="0"/>
          <w:w w:val="100"/>
          <w:position w:val="0"/>
        </w:rPr>
        <w:t>股东黄巧玲为公司离任非职工监事(仍在虚拟任期内)，报告期内增加高管锁定股</w:t>
      </w:r>
      <w:r>
        <w:rPr>
          <w:rFonts w:ascii="Times New Roman" w:eastAsia="Times New Roman" w:hAnsi="Times New Roman" w:cs="Times New Roman"/>
          <w:color w:val="000000"/>
          <w:spacing w:val="0"/>
          <w:w w:val="100"/>
          <w:position w:val="0"/>
        </w:rPr>
        <w:t>825</w:t>
      </w:r>
      <w:r>
        <w:rPr>
          <w:color w:val="000000"/>
          <w:spacing w:val="0"/>
          <w:w w:val="100"/>
          <w:position w:val="0"/>
        </w:rPr>
        <w:t>股。</w:t>
      </w:r>
    </w:p>
    <w:p>
      <w:pPr>
        <w:pStyle w:val="Style44"/>
        <w:keepNext w:val="0"/>
        <w:keepLines w:val="0"/>
        <w:widowControl w:val="0"/>
        <w:shd w:val="clear" w:color="auto" w:fill="auto"/>
        <w:bidi w:val="0"/>
        <w:spacing w:before="0" w:after="280" w:line="240" w:lineRule="auto"/>
        <w:ind w:left="0" w:right="0" w:firstLine="640"/>
        <w:jc w:val="both"/>
      </w:pPr>
      <w:r>
        <w:rPr>
          <w:color w:val="000000"/>
          <w:spacing w:val="0"/>
          <w:w w:val="100"/>
          <w:position w:val="0"/>
        </w:rPr>
        <w:t>股份变动的批准情况</w:t>
      </w:r>
    </w:p>
    <w:p>
      <w:pPr>
        <w:pStyle w:val="Style44"/>
        <w:keepNext w:val="0"/>
        <w:keepLines w:val="0"/>
        <w:widowControl w:val="0"/>
        <w:shd w:val="clear" w:color="auto" w:fill="auto"/>
        <w:bidi w:val="0"/>
        <w:spacing w:before="0" w:after="240" w:line="382" w:lineRule="exact"/>
        <w:ind w:left="0" w:right="0" w:firstLine="6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4"/>
        <w:keepNext w:val="0"/>
        <w:keepLines w:val="0"/>
        <w:widowControl w:val="0"/>
        <w:shd w:val="clear" w:color="auto" w:fill="auto"/>
        <w:bidi w:val="0"/>
        <w:spacing w:before="0" w:after="120" w:line="382" w:lineRule="exact"/>
        <w:ind w:left="0" w:right="0" w:firstLine="640"/>
        <w:jc w:val="left"/>
      </w:pPr>
      <w:r>
        <w:rPr>
          <w:color w:val="000000"/>
          <w:spacing w:val="0"/>
          <w:w w:val="100"/>
          <w:position w:val="0"/>
        </w:rPr>
        <w:t>股份变动的过户情况</w:t>
      </w:r>
    </w:p>
    <w:p>
      <w:pPr>
        <w:pStyle w:val="Style44"/>
        <w:keepNext w:val="0"/>
        <w:keepLines w:val="0"/>
        <w:widowControl w:val="0"/>
        <w:shd w:val="clear" w:color="auto" w:fill="auto"/>
        <w:bidi w:val="0"/>
        <w:spacing w:before="0" w:after="240" w:line="382" w:lineRule="exact"/>
        <w:ind w:left="0" w:right="0" w:firstLine="6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4"/>
        <w:keepNext w:val="0"/>
        <w:keepLines w:val="0"/>
        <w:widowControl w:val="0"/>
        <w:shd w:val="clear" w:color="auto" w:fill="auto"/>
        <w:bidi w:val="0"/>
        <w:spacing w:before="0" w:after="120" w:line="382" w:lineRule="exact"/>
        <w:ind w:left="0" w:right="0" w:firstLine="640"/>
        <w:jc w:val="left"/>
      </w:pPr>
      <w:r>
        <w:rPr>
          <w:color w:val="000000"/>
          <w:spacing w:val="0"/>
          <w:w w:val="100"/>
          <w:position w:val="0"/>
        </w:rPr>
        <w:t>股份回购的实施进展情况</w:t>
      </w:r>
    </w:p>
    <w:p>
      <w:pPr>
        <w:pStyle w:val="Style44"/>
        <w:keepNext w:val="0"/>
        <w:keepLines w:val="0"/>
        <w:widowControl w:val="0"/>
        <w:shd w:val="clear" w:color="auto" w:fill="auto"/>
        <w:bidi w:val="0"/>
        <w:spacing w:before="0" w:after="320" w:line="382" w:lineRule="exact"/>
        <w:ind w:left="0" w:right="0" w:firstLine="6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4"/>
        <w:keepNext w:val="0"/>
        <w:keepLines w:val="0"/>
        <w:widowControl w:val="0"/>
        <w:shd w:val="clear" w:color="auto" w:fill="auto"/>
        <w:bidi w:val="0"/>
        <w:spacing w:before="0" w:after="120" w:line="382" w:lineRule="exact"/>
        <w:ind w:left="0" w:right="0" w:firstLine="640"/>
        <w:jc w:val="left"/>
      </w:pPr>
      <w:r>
        <w:rPr>
          <w:color w:val="000000"/>
          <w:spacing w:val="0"/>
          <w:w w:val="100"/>
          <w:position w:val="0"/>
        </w:rPr>
        <w:t>采用集中竞价方式减持回购股份的实施进展情况</w:t>
      </w:r>
    </w:p>
    <w:p>
      <w:pPr>
        <w:pStyle w:val="Style44"/>
        <w:keepNext w:val="0"/>
        <w:keepLines w:val="0"/>
        <w:widowControl w:val="0"/>
        <w:shd w:val="clear" w:color="auto" w:fill="auto"/>
        <w:bidi w:val="0"/>
        <w:spacing w:before="0" w:after="240" w:line="382" w:lineRule="exact"/>
        <w:ind w:left="0" w:right="0" w:firstLine="6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4"/>
        <w:keepNext w:val="0"/>
        <w:keepLines w:val="0"/>
        <w:widowControl w:val="0"/>
        <w:shd w:val="clear" w:color="auto" w:fill="auto"/>
        <w:bidi w:val="0"/>
        <w:spacing w:before="0" w:after="0" w:line="360" w:lineRule="exact"/>
        <w:ind w:left="640" w:right="0" w:firstLine="0"/>
        <w:jc w:val="left"/>
      </w:pPr>
      <w:r>
        <w:rPr>
          <w:color w:val="000000"/>
          <w:spacing w:val="0"/>
          <w:w w:val="100"/>
          <w:position w:val="0"/>
        </w:rPr>
        <w:t>股份变动对最近一年和最近一期基本每股收益和稀释每股收益、归属于公司普通股股东的每股 净资产等财务指标的影响</w:t>
      </w:r>
    </w:p>
    <w:p>
      <w:pPr>
        <w:pStyle w:val="Style44"/>
        <w:keepNext w:val="0"/>
        <w:keepLines w:val="0"/>
        <w:widowControl w:val="0"/>
        <w:shd w:val="clear" w:color="auto" w:fill="auto"/>
        <w:bidi w:val="0"/>
        <w:spacing w:before="0" w:after="360" w:line="382" w:lineRule="exact"/>
        <w:ind w:left="0" w:right="0" w:firstLine="6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4"/>
        <w:keepNext w:val="0"/>
        <w:keepLines w:val="0"/>
        <w:widowControl w:val="0"/>
        <w:shd w:val="clear" w:color="auto" w:fill="auto"/>
        <w:bidi w:val="0"/>
        <w:spacing w:before="0" w:after="240" w:line="403" w:lineRule="exact"/>
        <w:ind w:left="640" w:right="0" w:firstLine="0"/>
        <w:jc w:val="left"/>
      </w:pPr>
      <w:r>
        <w:rPr>
          <w:color w:val="000000"/>
          <w:spacing w:val="0"/>
          <w:w w:val="100"/>
          <w:position w:val="0"/>
        </w:rPr>
        <w:t xml:space="preserve">公司认为必要或证券监管机构要求披露的其他内容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2"/>
        <w:keepNext/>
        <w:keepLines/>
        <w:widowControl w:val="0"/>
        <w:shd w:val="clear" w:color="auto" w:fill="auto"/>
        <w:bidi w:val="0"/>
        <w:spacing w:before="0" w:after="320" w:line="382" w:lineRule="exact"/>
        <w:ind w:left="0" w:right="0" w:firstLine="64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sz w:val="24"/>
          <w:szCs w:val="24"/>
        </w:rPr>
        <w:t>2</w:t>
      </w:r>
      <w:bookmarkEnd w:id="443"/>
      <w:r>
        <w:rPr>
          <w:color w:val="000000"/>
          <w:spacing w:val="0"/>
          <w:w w:val="100"/>
          <w:position w:val="0"/>
        </w:rPr>
        <w:t>、限售股份变动情况</w:t>
      </w:r>
      <w:bookmarkEnd w:id="441"/>
      <w:bookmarkEnd w:id="442"/>
      <w:bookmarkEnd w:id="444"/>
    </w:p>
    <w:tbl>
      <w:tblPr>
        <w:tblOverlap w:val="never"/>
        <w:jc w:val="center"/>
        <w:tblLayout w:type="fixed"/>
      </w:tblPr>
      <w:tblGrid>
        <w:gridCol w:w="1142"/>
        <w:gridCol w:w="1416"/>
        <w:gridCol w:w="1421"/>
        <w:gridCol w:w="1416"/>
        <w:gridCol w:w="1450"/>
        <w:gridCol w:w="1210"/>
        <w:gridCol w:w="1853"/>
      </w:tblGrid>
      <w:tr>
        <w:trPr>
          <w:trHeight w:val="7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rPr>
                <w:sz w:val="20"/>
                <w:szCs w:val="20"/>
              </w:rPr>
            </w:pPr>
            <w:r>
              <w:rPr>
                <w:color w:val="000000"/>
                <w:spacing w:val="0"/>
                <w:w w:val="100"/>
                <w:position w:val="0"/>
                <w:sz w:val="20"/>
                <w:szCs w:val="20"/>
              </w:rPr>
              <w:t>本期解除 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rPr>
                <w:sz w:val="20"/>
                <w:szCs w:val="20"/>
              </w:rPr>
            </w:pPr>
            <w:r>
              <w:rPr>
                <w:color w:val="000000"/>
                <w:spacing w:val="0"/>
                <w:w w:val="100"/>
                <w:position w:val="0"/>
                <w:sz w:val="20"/>
                <w:szCs w:val="20"/>
              </w:rPr>
              <w:t>本期增加 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解除限售日期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孙迎彤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12,558,300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12,558,300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每年按持股总数的</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75%</w:t>
            </w:r>
            <w:r>
              <w:rPr>
                <w:color w:val="000000"/>
                <w:spacing w:val="0"/>
                <w:w w:val="100"/>
                <w:position w:val="0"/>
                <w:sz w:val="20"/>
                <w:szCs w:val="20"/>
              </w:rPr>
              <w:t>锁定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黄巧玲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虚拟任期内 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虚拟任期内，按持 股总数的</w:t>
            </w:r>
            <w:r>
              <w:rPr>
                <w:rFonts w:ascii="Times New Roman" w:eastAsia="Times New Roman" w:hAnsi="Times New Roman" w:cs="Times New Roman"/>
                <w:color w:val="000000"/>
                <w:spacing w:val="0"/>
                <w:w w:val="100"/>
                <w:position w:val="0"/>
                <w:sz w:val="22"/>
                <w:szCs w:val="22"/>
              </w:rPr>
              <w:t>75%</w:t>
            </w:r>
            <w:r>
              <w:rPr>
                <w:color w:val="000000"/>
                <w:spacing w:val="0"/>
                <w:w w:val="100"/>
                <w:position w:val="0"/>
                <w:sz w:val="20"/>
                <w:szCs w:val="20"/>
              </w:rPr>
              <w:t>锁定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林玉华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每年按持股总数的</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75%</w:t>
            </w:r>
            <w:r>
              <w:rPr>
                <w:color w:val="000000"/>
                <w:spacing w:val="0"/>
                <w:w w:val="100"/>
                <w:position w:val="0"/>
                <w:sz w:val="20"/>
                <w:szCs w:val="20"/>
              </w:rPr>
              <w:t>锁定</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12,558,300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12,560,625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42"/>
        <w:keepNext/>
        <w:keepLines/>
        <w:widowControl w:val="0"/>
        <w:shd w:val="clear" w:color="auto" w:fill="auto"/>
        <w:bidi w:val="0"/>
        <w:spacing w:before="0" w:after="360" w:line="240" w:lineRule="auto"/>
        <w:ind w:left="0" w:right="0" w:firstLine="640"/>
        <w:jc w:val="left"/>
      </w:pPr>
      <w:bookmarkStart w:id="445" w:name="bookmark445"/>
      <w:bookmarkStart w:id="446" w:name="bookmark446"/>
      <w:bookmarkStart w:id="447" w:name="bookmark447"/>
      <w:bookmarkStart w:id="448" w:name="bookmark448"/>
      <w:r>
        <w:rPr>
          <w:color w:val="000000"/>
          <w:spacing w:val="0"/>
          <w:w w:val="100"/>
          <w:position w:val="0"/>
        </w:rPr>
        <w:t>二</w:t>
      </w:r>
      <w:bookmarkEnd w:id="447"/>
      <w:r>
        <w:rPr>
          <w:color w:val="000000"/>
          <w:spacing w:val="0"/>
          <w:w w:val="100"/>
          <w:position w:val="0"/>
        </w:rPr>
        <w:t>、证券发行与上市情况</w:t>
      </w:r>
      <w:bookmarkEnd w:id="445"/>
      <w:bookmarkEnd w:id="446"/>
      <w:bookmarkEnd w:id="448"/>
    </w:p>
    <w:p>
      <w:pPr>
        <w:pStyle w:val="Style52"/>
        <w:keepNext/>
        <w:keepLines/>
        <w:widowControl w:val="0"/>
        <w:shd w:val="clear" w:color="auto" w:fill="auto"/>
        <w:tabs>
          <w:tab w:pos="1027" w:val="left"/>
        </w:tabs>
        <w:bidi w:val="0"/>
        <w:spacing w:before="0" w:after="320" w:line="240" w:lineRule="auto"/>
        <w:ind w:left="0" w:right="0" w:firstLine="64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sz w:val="24"/>
          <w:szCs w:val="24"/>
        </w:rPr>
        <w:t>1</w:t>
      </w:r>
      <w:bookmarkEnd w:id="451"/>
      <w:r>
        <w:rPr>
          <w:color w:val="000000"/>
          <w:spacing w:val="0"/>
          <w:w w:val="100"/>
          <w:position w:val="0"/>
        </w:rPr>
        <w:t>、</w:t>
        <w:tab/>
        <w:t>报告期内证券发行（不含优先股）情况</w:t>
      </w:r>
      <w:bookmarkEnd w:id="449"/>
      <w:bookmarkEnd w:id="450"/>
      <w:bookmarkEnd w:id="452"/>
    </w:p>
    <w:p>
      <w:pPr>
        <w:pStyle w:val="Style44"/>
        <w:keepNext w:val="0"/>
        <w:keepLines w:val="0"/>
        <w:widowControl w:val="0"/>
        <w:shd w:val="clear" w:color="auto" w:fill="auto"/>
        <w:bidi w:val="0"/>
        <w:spacing w:before="0" w:after="320" w:line="240" w:lineRule="auto"/>
        <w:ind w:left="0" w:right="0" w:firstLine="6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2"/>
        <w:keepNext/>
        <w:keepLines/>
        <w:widowControl w:val="0"/>
        <w:shd w:val="clear" w:color="auto" w:fill="auto"/>
        <w:tabs>
          <w:tab w:pos="1042" w:val="left"/>
        </w:tabs>
        <w:bidi w:val="0"/>
        <w:spacing w:before="0" w:after="320" w:line="240" w:lineRule="auto"/>
        <w:ind w:left="0" w:right="0" w:firstLine="64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sz w:val="24"/>
          <w:szCs w:val="24"/>
        </w:rPr>
        <w:t>2</w:t>
      </w:r>
      <w:bookmarkEnd w:id="455"/>
      <w:r>
        <w:rPr>
          <w:color w:val="000000"/>
          <w:spacing w:val="0"/>
          <w:w w:val="100"/>
          <w:position w:val="0"/>
        </w:rPr>
        <w:t>、</w:t>
        <w:tab/>
        <w:t>公司股份总数及股东结构的变动、公司资产和负债结构的变动情况说明</w:t>
      </w:r>
      <w:bookmarkEnd w:id="453"/>
      <w:bookmarkEnd w:id="454"/>
      <w:bookmarkEnd w:id="456"/>
    </w:p>
    <w:p>
      <w:pPr>
        <w:pStyle w:val="Style44"/>
        <w:keepNext w:val="0"/>
        <w:keepLines w:val="0"/>
        <w:widowControl w:val="0"/>
        <w:shd w:val="clear" w:color="auto" w:fill="auto"/>
        <w:bidi w:val="0"/>
        <w:spacing w:before="0" w:after="280" w:line="240" w:lineRule="auto"/>
        <w:ind w:left="0" w:right="0" w:firstLine="6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52"/>
        <w:keepNext/>
        <w:keepLines/>
        <w:widowControl w:val="0"/>
        <w:shd w:val="clear" w:color="auto" w:fill="auto"/>
        <w:bidi w:val="0"/>
        <w:spacing w:before="0" w:after="340" w:line="240" w:lineRule="auto"/>
        <w:ind w:left="0" w:right="0" w:firstLine="64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sz w:val="24"/>
          <w:szCs w:val="24"/>
        </w:rPr>
        <w:t>3</w:t>
      </w:r>
      <w:bookmarkEnd w:id="459"/>
      <w:r>
        <w:rPr>
          <w:color w:val="000000"/>
          <w:spacing w:val="0"/>
          <w:w w:val="100"/>
          <w:position w:val="0"/>
        </w:rPr>
        <w:t>、现存的内部职工股情况</w:t>
      </w:r>
      <w:bookmarkEnd w:id="457"/>
      <w:bookmarkEnd w:id="458"/>
      <w:bookmarkEnd w:id="460"/>
    </w:p>
    <w:p>
      <w:pPr>
        <w:pStyle w:val="Style44"/>
        <w:keepNext w:val="0"/>
        <w:keepLines w:val="0"/>
        <w:widowControl w:val="0"/>
        <w:shd w:val="clear" w:color="auto" w:fill="auto"/>
        <w:bidi w:val="0"/>
        <w:spacing w:before="0" w:after="340" w:line="240" w:lineRule="auto"/>
        <w:ind w:left="0" w:right="0" w:firstLine="6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2"/>
        <w:keepNext/>
        <w:keepLines/>
        <w:widowControl w:val="0"/>
        <w:shd w:val="clear" w:color="auto" w:fill="auto"/>
        <w:bidi w:val="0"/>
        <w:spacing w:before="0" w:after="340" w:line="240" w:lineRule="auto"/>
        <w:ind w:left="0" w:right="0" w:firstLine="640"/>
        <w:jc w:val="left"/>
      </w:pPr>
      <w:bookmarkStart w:id="461" w:name="bookmark461"/>
      <w:bookmarkStart w:id="462" w:name="bookmark462"/>
      <w:bookmarkStart w:id="463" w:name="bookmark463"/>
      <w:bookmarkStart w:id="464" w:name="bookmark464"/>
      <w:r>
        <w:rPr>
          <w:color w:val="000000"/>
          <w:spacing w:val="0"/>
          <w:w w:val="100"/>
          <w:position w:val="0"/>
        </w:rPr>
        <w:t>三</w:t>
      </w:r>
      <w:bookmarkEnd w:id="463"/>
      <w:r>
        <w:rPr>
          <w:color w:val="000000"/>
          <w:spacing w:val="0"/>
          <w:w w:val="100"/>
          <w:position w:val="0"/>
        </w:rPr>
        <w:t>、股东和实际控制人情况</w:t>
      </w:r>
      <w:bookmarkEnd w:id="461"/>
      <w:bookmarkEnd w:id="462"/>
      <w:bookmarkEnd w:id="464"/>
    </w:p>
    <w:p>
      <w:pPr>
        <w:pStyle w:val="Style52"/>
        <w:keepNext/>
        <w:keepLines/>
        <w:widowControl w:val="0"/>
        <w:shd w:val="clear" w:color="auto" w:fill="auto"/>
        <w:bidi w:val="0"/>
        <w:spacing w:before="0" w:after="340" w:line="240" w:lineRule="auto"/>
        <w:ind w:left="0" w:right="0" w:firstLine="64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sz w:val="24"/>
          <w:szCs w:val="24"/>
        </w:rPr>
        <w:t>1</w:t>
      </w:r>
      <w:bookmarkEnd w:id="467"/>
      <w:r>
        <w:rPr>
          <w:color w:val="000000"/>
          <w:spacing w:val="0"/>
          <w:w w:val="100"/>
          <w:position w:val="0"/>
        </w:rPr>
        <w:t>、公司股东数量及持股情况</w:t>
      </w:r>
      <w:bookmarkEnd w:id="465"/>
      <w:bookmarkEnd w:id="466"/>
      <w:bookmarkEnd w:id="468"/>
    </w:p>
    <w:p>
      <w:pPr>
        <w:pStyle w:val="Style38"/>
        <w:keepNext w:val="0"/>
        <w:keepLines w:val="0"/>
        <w:widowControl w:val="0"/>
        <w:shd w:val="clear" w:color="auto" w:fill="auto"/>
        <w:bidi w:val="0"/>
        <w:spacing w:before="0" w:after="0" w:line="240" w:lineRule="auto"/>
        <w:ind w:left="8434" w:right="0" w:firstLine="0"/>
        <w:jc w:val="left"/>
        <w:rPr>
          <w:sz w:val="20"/>
          <w:szCs w:val="20"/>
        </w:rPr>
      </w:pPr>
      <w:r>
        <w:rPr>
          <w:color w:val="000000"/>
          <w:spacing w:val="0"/>
          <w:w w:val="100"/>
          <w:position w:val="0"/>
          <w:sz w:val="20"/>
          <w:szCs w:val="20"/>
        </w:rPr>
        <w:t>单位：股</w:t>
      </w:r>
    </w:p>
    <w:tbl>
      <w:tblPr>
        <w:tblOverlap w:val="never"/>
        <w:jc w:val="center"/>
        <w:tblLayout w:type="fixed"/>
      </w:tblPr>
      <w:tblGrid>
        <w:gridCol w:w="1426"/>
        <w:gridCol w:w="792"/>
        <w:gridCol w:w="624"/>
        <w:gridCol w:w="710"/>
        <w:gridCol w:w="264"/>
        <w:gridCol w:w="869"/>
        <w:gridCol w:w="336"/>
        <w:gridCol w:w="797"/>
        <w:gridCol w:w="528"/>
        <w:gridCol w:w="576"/>
        <w:gridCol w:w="490"/>
        <w:gridCol w:w="533"/>
        <w:gridCol w:w="797"/>
        <w:gridCol w:w="197"/>
        <w:gridCol w:w="1142"/>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报告期末普通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67,627</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年度报告披露日 前上一月末普通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68,466</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rPr>
                <w:sz w:val="20"/>
                <w:szCs w:val="20"/>
              </w:rPr>
            </w:pPr>
            <w:r>
              <w:rPr>
                <w:color w:val="000000"/>
                <w:spacing w:val="0"/>
                <w:w w:val="100"/>
                <w:position w:val="0"/>
                <w:sz w:val="20"/>
                <w:szCs w:val="20"/>
              </w:rPr>
              <w:t>报告期末表 决权恢复的 优先股股东 总数（如有）</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年度报告披 露日前上一 月末表决权 恢复的优先 股股东总数</w:t>
            </w:r>
          </w:p>
          <w:p>
            <w:pPr>
              <w:pStyle w:val="Style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（如有）</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523"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持股</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以上的股东或前</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名股东持股情况</w:t>
            </w:r>
          </w:p>
        </w:tc>
      </w:tr>
      <w:tr>
        <w:trPr>
          <w:trHeight w:val="5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46" w:lineRule="exact"/>
              <w:ind w:left="0" w:right="0" w:firstLine="0"/>
              <w:jc w:val="left"/>
              <w:rPr>
                <w:sz w:val="20"/>
                <w:szCs w:val="20"/>
              </w:rPr>
            </w:pPr>
            <w:r>
              <w:rPr>
                <w:color w:val="000000"/>
                <w:spacing w:val="0"/>
                <w:w w:val="100"/>
                <w:position w:val="0"/>
                <w:sz w:val="20"/>
                <w:szCs w:val="20"/>
              </w:rPr>
              <w:t>持股 比例</w:t>
            </w:r>
          </w:p>
          <w:p>
            <w:pPr>
              <w:pStyle w:val="Style2"/>
              <w:keepNext w:val="0"/>
              <w:keepLines w:val="0"/>
              <w:widowControl w:val="0"/>
              <w:shd w:val="clear" w:color="auto" w:fill="auto"/>
              <w:bidi w:val="0"/>
              <w:spacing w:before="0" w:after="0" w:line="346"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报告期末</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8" w:lineRule="exact"/>
              <w:ind w:left="0" w:right="0" w:firstLine="0"/>
              <w:jc w:val="both"/>
              <w:rPr>
                <w:sz w:val="20"/>
                <w:szCs w:val="20"/>
              </w:rPr>
            </w:pPr>
            <w:r>
              <w:rPr>
                <w:color w:val="000000"/>
                <w:spacing w:val="0"/>
                <w:w w:val="100"/>
                <w:position w:val="0"/>
                <w:sz w:val="20"/>
                <w:szCs w:val="20"/>
              </w:rPr>
              <w:t>报告期内 增减变动 情况</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8" w:lineRule="exact"/>
              <w:ind w:left="0" w:right="0" w:firstLine="0"/>
              <w:jc w:val="both"/>
              <w:rPr>
                <w:sz w:val="20"/>
                <w:szCs w:val="20"/>
              </w:rPr>
            </w:pPr>
            <w:r>
              <w:rPr>
                <w:color w:val="000000"/>
                <w:spacing w:val="0"/>
                <w:w w:val="100"/>
                <w:position w:val="0"/>
                <w:sz w:val="20"/>
                <w:szCs w:val="20"/>
              </w:rPr>
              <w:t>持有有限 售条件的 股份数量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8" w:lineRule="exact"/>
              <w:ind w:left="0" w:right="0" w:firstLine="0"/>
              <w:jc w:val="both"/>
              <w:rPr>
                <w:sz w:val="20"/>
                <w:szCs w:val="20"/>
              </w:rPr>
            </w:pPr>
            <w:r>
              <w:rPr>
                <w:color w:val="000000"/>
                <w:spacing w:val="0"/>
                <w:w w:val="100"/>
                <w:position w:val="0"/>
                <w:sz w:val="20"/>
                <w:szCs w:val="20"/>
              </w:rPr>
              <w:t>持有无限 售条件的 股份数量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质押或冻结情况</w:t>
            </w:r>
          </w:p>
        </w:tc>
      </w:tr>
      <w:tr>
        <w:trPr>
          <w:trHeight w:val="648" w:hRule="exact"/>
        </w:trPr>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数量</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孙迎彤</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16,744,400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12,558,300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4,186,100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刘益谦</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8,992,800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8,992,800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余运波</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5,675,000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5,675,000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金立进</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0.64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3,555,085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-2,094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3,555,085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北京力神天元 投资管理有限 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境内一般法人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0.64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3,551,700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3,551,700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3,551,700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王新燕</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0.54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3,021,700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2,193,700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3,021,700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吴国华</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0.38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2,123,900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-553,700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2,123,900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王希阳</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0.34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1,900,000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560,000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李标彬</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0.32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1,788,700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1,788,700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1,788,700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赵海光</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0.29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rPr>
                <w:sz w:val="20"/>
                <w:szCs w:val="20"/>
              </w:rPr>
            </w:pPr>
            <w:r>
              <w:rPr>
                <w:color w:val="000000"/>
                <w:spacing w:val="0"/>
                <w:w w:val="100"/>
                <w:position w:val="0"/>
                <w:sz w:val="20"/>
                <w:szCs w:val="20"/>
              </w:rPr>
              <w:t>战略投资者或一般法人因配售新股成 为前</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名股东的情况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518"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上述股东关联关系或一致行动的说明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公司未知前</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名股东之间是否存在关联关系或一致行动关系。</w:t>
            </w:r>
          </w:p>
        </w:tc>
      </w:tr>
      <w:tr>
        <w:trPr>
          <w:trHeight w:val="528" w:hRule="exact"/>
        </w:trPr>
        <w:tc>
          <w:tcPr>
            <w:gridSpan w:val="1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名无限售条件股东持股情况</w:t>
            </w:r>
          </w:p>
        </w:tc>
      </w:tr>
    </w:tbl>
    <w:p>
      <w:pPr>
        <w:spacing w:lineRule="exact" w:line="1"/>
        <w:rPr>
          <w:sz w:val="2"/>
          <w:szCs w:val="2"/>
        </w:rPr>
      </w:pPr>
      <w:r>
        <w:br w:type="page"/>
      </w:r>
    </w:p>
    <w:tbl>
      <w:tblPr>
        <w:tblOverlap w:val="never"/>
        <w:jc w:val="center"/>
        <w:tblLayout w:type="fixed"/>
      </w:tblPr>
      <w:tblGrid>
        <w:gridCol w:w="3350"/>
        <w:gridCol w:w="3600"/>
        <w:gridCol w:w="1560"/>
        <w:gridCol w:w="1570"/>
      </w:tblGrid>
      <w:tr>
        <w:trPr>
          <w:trHeight w:val="52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股份种类</w:t>
            </w:r>
          </w:p>
        </w:tc>
      </w:tr>
      <w:tr>
        <w:trPr>
          <w:trHeight w:val="51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数量</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刘益谦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8,992,800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8,992,800</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余运波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5,675,000</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孙迎彤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4,186,100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4,186,100</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金立进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3,555,085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3,555,085</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北京力神天元投资管理有限公司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3,551,700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3,551,700</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王新燕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3,021,700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3,021,700</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吴国华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2,123,900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2,123,900</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王希阳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1,900,000</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李标彬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1,788,700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1,788,700</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赵海光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1,600,000</w:t>
            </w:r>
          </w:p>
        </w:tc>
      </w:tr>
      <w:tr>
        <w:trPr>
          <w:trHeight w:val="15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62" w:lineRule="exact"/>
              <w:ind w:left="0" w:right="0" w:firstLine="0"/>
              <w:jc w:val="both"/>
              <w:rPr>
                <w:sz w:val="20"/>
                <w:szCs w:val="20"/>
              </w:rPr>
            </w:pPr>
            <w:r>
              <w:rPr>
                <w:color w:val="000000"/>
                <w:spacing w:val="0"/>
                <w:w w:val="100"/>
                <w:position w:val="0"/>
                <w:sz w:val="20"/>
                <w:szCs w:val="20"/>
              </w:rPr>
              <w:t>前</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名无限售流通股股东之间， 以及前</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名无限售流通股股东和 前</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名股东之间关联关系或一致 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both"/>
              <w:rPr>
                <w:sz w:val="20"/>
                <w:szCs w:val="20"/>
              </w:rPr>
            </w:pPr>
            <w:r>
              <w:rPr>
                <w:color w:val="000000"/>
                <w:spacing w:val="0"/>
                <w:w w:val="100"/>
                <w:position w:val="0"/>
                <w:sz w:val="20"/>
                <w:szCs w:val="20"/>
              </w:rPr>
              <w:t>公司未知前</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名无限售流通股股东之间、以及前</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名无限售流通股股 东和前</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名股东之间是否存在关联关系或一致行动关系。</w:t>
            </w:r>
          </w:p>
        </w:tc>
      </w:tr>
      <w:tr>
        <w:trPr>
          <w:trHeight w:val="150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参与融资融券业务股东情况说明</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463" w:lineRule="exact"/>
              <w:ind w:left="0" w:right="0" w:firstLine="0"/>
              <w:jc w:val="both"/>
              <w:rPr>
                <w:sz w:val="20"/>
                <w:szCs w:val="20"/>
              </w:rPr>
            </w:pPr>
            <w:r>
              <w:rPr>
                <w:color w:val="000000"/>
                <w:spacing w:val="0"/>
                <w:w w:val="100"/>
                <w:position w:val="0"/>
                <w:sz w:val="20"/>
                <w:szCs w:val="20"/>
              </w:rPr>
              <w:t>公司股东金立进通过普通证券账户持有</w:t>
            </w:r>
            <w:r>
              <w:rPr>
                <w:rFonts w:ascii="Times New Roman" w:eastAsia="Times New Roman" w:hAnsi="Times New Roman" w:cs="Times New Roman"/>
                <w:color w:val="000000"/>
                <w:spacing w:val="0"/>
                <w:w w:val="100"/>
                <w:position w:val="0"/>
                <w:sz w:val="22"/>
                <w:szCs w:val="22"/>
              </w:rPr>
              <w:t>2,936,885</w:t>
            </w:r>
            <w:r>
              <w:rPr>
                <w:color w:val="000000"/>
                <w:spacing w:val="0"/>
                <w:w w:val="100"/>
                <w:position w:val="0"/>
                <w:sz w:val="20"/>
                <w:szCs w:val="20"/>
              </w:rPr>
              <w:t>股，通过国信证券股 份有限公司客户信用交易担保证券账户持有</w:t>
            </w:r>
            <w:r>
              <w:rPr>
                <w:rFonts w:ascii="Times New Roman" w:eastAsia="Times New Roman" w:hAnsi="Times New Roman" w:cs="Times New Roman"/>
                <w:color w:val="000000"/>
                <w:spacing w:val="0"/>
                <w:w w:val="100"/>
                <w:position w:val="0"/>
                <w:sz w:val="22"/>
                <w:szCs w:val="22"/>
              </w:rPr>
              <w:t>618,200</w:t>
            </w:r>
            <w:r>
              <w:rPr>
                <w:color w:val="000000"/>
                <w:spacing w:val="0"/>
                <w:w w:val="100"/>
                <w:position w:val="0"/>
                <w:sz w:val="20"/>
                <w:szCs w:val="20"/>
              </w:rPr>
              <w:t xml:space="preserve">股，实际合计持有 </w:t>
            </w:r>
            <w:r>
              <w:rPr>
                <w:rFonts w:ascii="Times New Roman" w:eastAsia="Times New Roman" w:hAnsi="Times New Roman" w:cs="Times New Roman"/>
                <w:color w:val="000000"/>
                <w:spacing w:val="0"/>
                <w:w w:val="100"/>
                <w:position w:val="0"/>
                <w:sz w:val="22"/>
                <w:szCs w:val="22"/>
              </w:rPr>
              <w:t xml:space="preserve">3,555,085 </w:t>
            </w:r>
            <w:r>
              <w:rPr>
                <w:color w:val="000000"/>
                <w:spacing w:val="0"/>
                <w:w w:val="100"/>
                <w:position w:val="0"/>
                <w:sz w:val="20"/>
                <w:szCs w:val="20"/>
              </w:rPr>
              <w:t>股。</w:t>
            </w:r>
          </w:p>
        </w:tc>
      </w:tr>
    </w:tbl>
    <w:p>
      <w:pPr>
        <w:pStyle w:val="Style44"/>
        <w:keepNext w:val="0"/>
        <w:keepLines w:val="0"/>
        <w:widowControl w:val="0"/>
        <w:shd w:val="clear" w:color="auto" w:fill="auto"/>
        <w:bidi w:val="0"/>
        <w:spacing w:before="0" w:after="100" w:line="461" w:lineRule="exact"/>
        <w:ind w:left="64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44"/>
        <w:keepNext w:val="0"/>
        <w:keepLines w:val="0"/>
        <w:widowControl w:val="0"/>
        <w:shd w:val="clear" w:color="auto" w:fill="auto"/>
        <w:bidi w:val="0"/>
        <w:spacing w:before="0" w:after="200" w:line="240" w:lineRule="auto"/>
        <w:ind w:left="0" w:right="0" w:firstLine="64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52"/>
        <w:keepNext/>
        <w:keepLines/>
        <w:widowControl w:val="0"/>
        <w:shd w:val="clear" w:color="auto" w:fill="auto"/>
        <w:bidi w:val="0"/>
        <w:spacing w:before="0" w:after="200" w:line="456" w:lineRule="exact"/>
        <w:ind w:left="0" w:right="0" w:firstLine="640"/>
        <w:jc w:val="both"/>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sz w:val="24"/>
          <w:szCs w:val="24"/>
        </w:rPr>
        <w:t>2</w:t>
      </w:r>
      <w:bookmarkEnd w:id="471"/>
      <w:r>
        <w:rPr>
          <w:color w:val="000000"/>
          <w:spacing w:val="0"/>
          <w:w w:val="100"/>
          <w:position w:val="0"/>
        </w:rPr>
        <w:t>、公司控股股东情况</w:t>
      </w:r>
      <w:bookmarkEnd w:id="469"/>
      <w:bookmarkEnd w:id="470"/>
      <w:bookmarkEnd w:id="472"/>
    </w:p>
    <w:p>
      <w:pPr>
        <w:pStyle w:val="Style44"/>
        <w:keepNext w:val="0"/>
        <w:keepLines w:val="0"/>
        <w:widowControl w:val="0"/>
        <w:shd w:val="clear" w:color="auto" w:fill="auto"/>
        <w:bidi w:val="0"/>
        <w:spacing w:before="0" w:after="60" w:line="456" w:lineRule="exact"/>
        <w:ind w:left="0" w:right="0" w:firstLine="640"/>
        <w:jc w:val="both"/>
      </w:pPr>
      <w:r>
        <w:rPr>
          <w:color w:val="000000"/>
          <w:spacing w:val="0"/>
          <w:w w:val="100"/>
          <w:position w:val="0"/>
        </w:rPr>
        <w:t>控股股东性质：无控股主体</w:t>
      </w:r>
    </w:p>
    <w:p>
      <w:pPr>
        <w:pStyle w:val="Style44"/>
        <w:keepNext w:val="0"/>
        <w:keepLines w:val="0"/>
        <w:widowControl w:val="0"/>
        <w:shd w:val="clear" w:color="auto" w:fill="auto"/>
        <w:bidi w:val="0"/>
        <w:spacing w:before="0" w:after="60" w:line="456" w:lineRule="exact"/>
        <w:ind w:left="0" w:right="0" w:firstLine="640"/>
        <w:jc w:val="both"/>
      </w:pPr>
      <w:r>
        <w:rPr>
          <w:color w:val="000000"/>
          <w:spacing w:val="0"/>
          <w:w w:val="100"/>
          <w:position w:val="0"/>
        </w:rPr>
        <w:t>控股股东类型：不存在</w:t>
      </w:r>
    </w:p>
    <w:p>
      <w:pPr>
        <w:pStyle w:val="Style44"/>
        <w:keepNext w:val="0"/>
        <w:keepLines w:val="0"/>
        <w:widowControl w:val="0"/>
        <w:shd w:val="clear" w:color="auto" w:fill="auto"/>
        <w:bidi w:val="0"/>
        <w:spacing w:before="0" w:after="60" w:line="456" w:lineRule="exact"/>
        <w:ind w:left="0" w:right="0" w:firstLine="640"/>
        <w:jc w:val="left"/>
      </w:pPr>
      <w:r>
        <w:rPr>
          <w:color w:val="000000"/>
          <w:spacing w:val="0"/>
          <w:w w:val="100"/>
          <w:position w:val="0"/>
        </w:rPr>
        <w:t>公司不存在控股股东情况的说明</w:t>
      </w:r>
    </w:p>
    <w:p>
      <w:pPr>
        <w:pStyle w:val="Style44"/>
        <w:keepNext w:val="0"/>
        <w:keepLines w:val="0"/>
        <w:widowControl w:val="0"/>
        <w:shd w:val="clear" w:color="auto" w:fill="auto"/>
        <w:bidi w:val="0"/>
        <w:spacing w:before="0" w:after="80" w:line="451" w:lineRule="exact"/>
        <w:ind w:left="640" w:right="0" w:firstLine="420"/>
        <w:jc w:val="left"/>
      </w:pPr>
      <w:r>
        <w:rPr>
          <w:color w:val="000000"/>
          <w:spacing w:val="0"/>
          <w:w w:val="100"/>
          <w:position w:val="0"/>
        </w:rPr>
        <w:t>公司股权分散，无控股股东、实际控制人。截止本报告期末，孙迎彤先生持有公司</w:t>
      </w:r>
      <w:r>
        <w:rPr>
          <w:rFonts w:ascii="Times New Roman" w:eastAsia="Times New Roman" w:hAnsi="Times New Roman" w:cs="Times New Roman"/>
          <w:color w:val="000000"/>
          <w:spacing w:val="0"/>
          <w:w w:val="100"/>
          <w:position w:val="0"/>
        </w:rPr>
        <w:t xml:space="preserve">16,744,400 </w:t>
      </w:r>
      <w:r>
        <w:rPr>
          <w:color w:val="000000"/>
          <w:spacing w:val="0"/>
          <w:w w:val="100"/>
          <w:position w:val="0"/>
        </w:rPr>
        <w:t>股股份，占公司股本总额的</w:t>
      </w:r>
      <w:r>
        <w:rPr>
          <w:rFonts w:ascii="Times New Roman" w:eastAsia="Times New Roman" w:hAnsi="Times New Roman" w:cs="Times New Roman"/>
          <w:color w:val="000000"/>
          <w:spacing w:val="0"/>
          <w:w w:val="100"/>
          <w:position w:val="0"/>
        </w:rPr>
        <w:t>3%</w:t>
      </w:r>
      <w:r>
        <w:rPr>
          <w:color w:val="000000"/>
          <w:spacing w:val="0"/>
          <w:w w:val="100"/>
          <w:position w:val="0"/>
        </w:rPr>
        <w:t>,为公司第一大股东。</w:t>
      </w:r>
    </w:p>
    <w:p>
      <w:pPr>
        <w:pStyle w:val="Style44"/>
        <w:keepNext w:val="0"/>
        <w:keepLines w:val="0"/>
        <w:widowControl w:val="0"/>
        <w:shd w:val="clear" w:color="auto" w:fill="auto"/>
        <w:bidi w:val="0"/>
        <w:spacing w:before="0" w:after="320" w:line="240" w:lineRule="auto"/>
        <w:ind w:left="0" w:right="0" w:firstLine="640"/>
        <w:jc w:val="both"/>
      </w:pPr>
      <w:r>
        <w:rPr>
          <w:color w:val="000000"/>
          <w:spacing w:val="0"/>
          <w:w w:val="100"/>
          <w:position w:val="0"/>
        </w:rPr>
        <w:t>控股股东报告期内变更</w:t>
      </w:r>
    </w:p>
    <w:p>
      <w:pPr>
        <w:pStyle w:val="Style44"/>
        <w:keepNext w:val="0"/>
        <w:keepLines w:val="0"/>
        <w:widowControl w:val="0"/>
        <w:shd w:val="clear" w:color="auto" w:fill="auto"/>
        <w:bidi w:val="0"/>
        <w:spacing w:before="0" w:after="320" w:line="240" w:lineRule="auto"/>
        <w:ind w:left="0" w:right="0" w:firstLine="6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4"/>
        <w:keepNext w:val="0"/>
        <w:keepLines w:val="0"/>
        <w:widowControl w:val="0"/>
        <w:shd w:val="clear" w:color="auto" w:fill="auto"/>
        <w:bidi w:val="0"/>
        <w:spacing w:before="0" w:after="420" w:line="240" w:lineRule="auto"/>
        <w:ind w:left="0" w:right="0" w:firstLine="640"/>
        <w:jc w:val="both"/>
      </w:pPr>
      <w:r>
        <w:rPr>
          <w:color w:val="000000"/>
          <w:spacing w:val="0"/>
          <w:w w:val="100"/>
          <w:position w:val="0"/>
        </w:rPr>
        <w:t>公司报告期控股股东未发生变更。</w:t>
      </w:r>
    </w:p>
    <w:p>
      <w:pPr>
        <w:pStyle w:val="Style52"/>
        <w:keepNext/>
        <w:keepLines/>
        <w:widowControl w:val="0"/>
        <w:shd w:val="clear" w:color="auto" w:fill="auto"/>
        <w:tabs>
          <w:tab w:pos="1042" w:val="left"/>
        </w:tabs>
        <w:bidi w:val="0"/>
        <w:spacing w:before="0" w:after="420" w:line="240" w:lineRule="auto"/>
        <w:ind w:left="0" w:right="0" w:firstLine="640"/>
        <w:jc w:val="both"/>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sz w:val="24"/>
          <w:szCs w:val="24"/>
        </w:rPr>
        <w:t>3</w:t>
      </w:r>
      <w:bookmarkEnd w:id="475"/>
      <w:r>
        <w:rPr>
          <w:color w:val="000000"/>
          <w:spacing w:val="0"/>
          <w:w w:val="100"/>
          <w:position w:val="0"/>
        </w:rPr>
        <w:t>、</w:t>
        <w:tab/>
        <w:t>公司实际控制人情况</w:t>
      </w:r>
      <w:bookmarkEnd w:id="473"/>
      <w:bookmarkEnd w:id="474"/>
      <w:bookmarkEnd w:id="476"/>
    </w:p>
    <w:p>
      <w:pPr>
        <w:pStyle w:val="Style44"/>
        <w:keepNext w:val="0"/>
        <w:keepLines w:val="0"/>
        <w:widowControl w:val="0"/>
        <w:shd w:val="clear" w:color="auto" w:fill="auto"/>
        <w:bidi w:val="0"/>
        <w:spacing w:before="0" w:after="320" w:line="240" w:lineRule="auto"/>
        <w:ind w:left="0" w:right="0" w:firstLine="640"/>
        <w:jc w:val="both"/>
      </w:pPr>
      <w:r>
        <w:rPr>
          <w:color w:val="000000"/>
          <w:spacing w:val="0"/>
          <w:w w:val="100"/>
          <w:position w:val="0"/>
        </w:rPr>
        <w:t>控股股东性质：无实际控制人</w:t>
      </w:r>
    </w:p>
    <w:p>
      <w:pPr>
        <w:pStyle w:val="Style44"/>
        <w:keepNext w:val="0"/>
        <w:keepLines w:val="0"/>
        <w:widowControl w:val="0"/>
        <w:shd w:val="clear" w:color="auto" w:fill="auto"/>
        <w:bidi w:val="0"/>
        <w:spacing w:before="0" w:after="320" w:line="240" w:lineRule="auto"/>
        <w:ind w:left="0" w:right="0" w:firstLine="640"/>
        <w:jc w:val="both"/>
      </w:pPr>
      <w:r>
        <w:rPr>
          <w:color w:val="000000"/>
          <w:spacing w:val="0"/>
          <w:w w:val="100"/>
          <w:position w:val="0"/>
        </w:rPr>
        <w:t>控股股东类型：不存在</w:t>
      </w:r>
    </w:p>
    <w:p>
      <w:pPr>
        <w:pStyle w:val="Style44"/>
        <w:keepNext w:val="0"/>
        <w:keepLines w:val="0"/>
        <w:widowControl w:val="0"/>
        <w:shd w:val="clear" w:color="auto" w:fill="auto"/>
        <w:bidi w:val="0"/>
        <w:spacing w:before="0" w:after="320" w:line="240" w:lineRule="auto"/>
        <w:ind w:left="0" w:right="0" w:firstLine="640"/>
        <w:jc w:val="both"/>
      </w:pPr>
      <w:r>
        <w:rPr>
          <w:color w:val="000000"/>
          <w:spacing w:val="0"/>
          <w:w w:val="100"/>
          <w:position w:val="0"/>
        </w:rPr>
        <w:t>公司不存在实际控制人情况的说明</w:t>
      </w:r>
    </w:p>
    <w:p>
      <w:pPr>
        <w:pStyle w:val="Style44"/>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公司股权分散，无控股股东、实际控制人。截止本报告期末，孙迎彤先生持有公司</w:t>
      </w:r>
      <w:r>
        <w:rPr>
          <w:rFonts w:ascii="Times New Roman" w:eastAsia="Times New Roman" w:hAnsi="Times New Roman" w:cs="Times New Roman"/>
          <w:color w:val="000000"/>
          <w:spacing w:val="0"/>
          <w:w w:val="100"/>
          <w:position w:val="0"/>
        </w:rPr>
        <w:t>16,744,400</w:t>
      </w:r>
    </w:p>
    <w:p>
      <w:pPr>
        <w:pStyle w:val="Style44"/>
        <w:keepNext w:val="0"/>
        <w:keepLines w:val="0"/>
        <w:widowControl w:val="0"/>
        <w:shd w:val="clear" w:color="auto" w:fill="auto"/>
        <w:bidi w:val="0"/>
        <w:spacing w:before="0" w:after="320" w:line="240" w:lineRule="auto"/>
        <w:ind w:left="0" w:right="0" w:firstLine="640"/>
        <w:jc w:val="left"/>
      </w:pPr>
      <w:r>
        <w:rPr>
          <w:color w:val="000000"/>
          <w:spacing w:val="0"/>
          <w:w w:val="100"/>
          <w:position w:val="0"/>
        </w:rPr>
        <w:t>股股份，占公司股本总额的</w:t>
      </w:r>
      <w:r>
        <w:rPr>
          <w:rFonts w:ascii="Times New Roman" w:eastAsia="Times New Roman" w:hAnsi="Times New Roman" w:cs="Times New Roman"/>
          <w:color w:val="000000"/>
          <w:spacing w:val="0"/>
          <w:w w:val="100"/>
          <w:position w:val="0"/>
        </w:rPr>
        <w:t>3%</w:t>
      </w:r>
      <w:r>
        <w:rPr>
          <w:color w:val="000000"/>
          <w:spacing w:val="0"/>
          <w:w w:val="100"/>
          <w:position w:val="0"/>
        </w:rPr>
        <w:t>,为公司第一大股东。</w:t>
      </w:r>
    </w:p>
    <w:p>
      <w:pPr>
        <w:pStyle w:val="Style44"/>
        <w:keepNext w:val="0"/>
        <w:keepLines w:val="0"/>
        <w:widowControl w:val="0"/>
        <w:shd w:val="clear" w:color="auto" w:fill="auto"/>
        <w:bidi w:val="0"/>
        <w:spacing w:before="0" w:after="320" w:line="240" w:lineRule="auto"/>
        <w:ind w:left="0" w:right="0" w:firstLine="640"/>
        <w:jc w:val="left"/>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rPr>
        <w:t>5%</w:t>
      </w:r>
      <w:r>
        <w:rPr>
          <w:color w:val="000000"/>
          <w:spacing w:val="0"/>
          <w:w w:val="100"/>
          <w:position w:val="0"/>
        </w:rPr>
        <w:t>以上的股东情况</w:t>
      </w:r>
    </w:p>
    <w:p>
      <w:pPr>
        <w:pStyle w:val="Style44"/>
        <w:keepNext w:val="0"/>
        <w:keepLines w:val="0"/>
        <w:widowControl w:val="0"/>
        <w:shd w:val="clear" w:color="auto" w:fill="auto"/>
        <w:bidi w:val="0"/>
        <w:spacing w:before="0" w:after="320" w:line="240" w:lineRule="auto"/>
        <w:ind w:left="0" w:right="0" w:firstLine="6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44"/>
        <w:keepNext w:val="0"/>
        <w:keepLines w:val="0"/>
        <w:widowControl w:val="0"/>
        <w:shd w:val="clear" w:color="auto" w:fill="auto"/>
        <w:bidi w:val="0"/>
        <w:spacing w:before="0" w:after="320" w:line="240" w:lineRule="auto"/>
        <w:ind w:left="0" w:right="0" w:firstLine="640"/>
        <w:jc w:val="left"/>
      </w:pPr>
      <w:r>
        <w:rPr>
          <w:color w:val="000000"/>
          <w:spacing w:val="0"/>
          <w:w w:val="100"/>
          <w:position w:val="0"/>
        </w:rPr>
        <w:t>实际控制人报告期内变更</w:t>
      </w:r>
    </w:p>
    <w:p>
      <w:pPr>
        <w:pStyle w:val="Style44"/>
        <w:keepNext w:val="0"/>
        <w:keepLines w:val="0"/>
        <w:widowControl w:val="0"/>
        <w:shd w:val="clear" w:color="auto" w:fill="auto"/>
        <w:bidi w:val="0"/>
        <w:spacing w:before="0" w:after="320" w:line="240" w:lineRule="auto"/>
        <w:ind w:left="0" w:right="0" w:firstLine="6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4"/>
        <w:keepNext w:val="0"/>
        <w:keepLines w:val="0"/>
        <w:widowControl w:val="0"/>
        <w:shd w:val="clear" w:color="auto" w:fill="auto"/>
        <w:bidi w:val="0"/>
        <w:spacing w:before="0" w:after="320" w:line="240" w:lineRule="auto"/>
        <w:ind w:left="0" w:right="0" w:firstLine="640"/>
        <w:jc w:val="left"/>
      </w:pPr>
      <w:r>
        <w:rPr>
          <w:color w:val="000000"/>
          <w:spacing w:val="0"/>
          <w:w w:val="100"/>
          <w:position w:val="0"/>
        </w:rPr>
        <w:t>实际控制人通过信托或其他资产管理方式控制公司</w:t>
      </w:r>
    </w:p>
    <w:p>
      <w:pPr>
        <w:pStyle w:val="Style44"/>
        <w:keepNext w:val="0"/>
        <w:keepLines w:val="0"/>
        <w:widowControl w:val="0"/>
        <w:shd w:val="clear" w:color="auto" w:fill="auto"/>
        <w:bidi w:val="0"/>
        <w:spacing w:before="0" w:after="420" w:line="240" w:lineRule="auto"/>
        <w:ind w:left="0" w:right="0" w:firstLine="6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2"/>
        <w:keepNext/>
        <w:keepLines/>
        <w:widowControl w:val="0"/>
        <w:shd w:val="clear" w:color="auto" w:fill="auto"/>
        <w:tabs>
          <w:tab w:pos="1042" w:val="left"/>
        </w:tabs>
        <w:bidi w:val="0"/>
        <w:spacing w:before="0" w:after="320" w:line="240" w:lineRule="auto"/>
        <w:ind w:left="0" w:right="0" w:firstLine="64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sz w:val="24"/>
          <w:szCs w:val="24"/>
        </w:rPr>
        <w:t>4</w:t>
      </w:r>
      <w:bookmarkEnd w:id="479"/>
      <w:r>
        <w:rPr>
          <w:color w:val="000000"/>
          <w:spacing w:val="0"/>
          <w:w w:val="100"/>
          <w:position w:val="0"/>
        </w:rPr>
        <w:t>、</w:t>
        <w:tab/>
        <w:t>其他持股在</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以上的法人股东</w:t>
      </w:r>
      <w:bookmarkEnd w:id="477"/>
      <w:bookmarkEnd w:id="478"/>
      <w:bookmarkEnd w:id="480"/>
    </w:p>
    <w:p>
      <w:pPr>
        <w:pStyle w:val="Style44"/>
        <w:keepNext w:val="0"/>
        <w:keepLines w:val="0"/>
        <w:widowControl w:val="0"/>
        <w:shd w:val="clear" w:color="auto" w:fill="auto"/>
        <w:bidi w:val="0"/>
        <w:spacing w:before="0" w:after="320" w:line="240" w:lineRule="auto"/>
        <w:ind w:left="0" w:right="0" w:firstLine="6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2"/>
        <w:keepNext/>
        <w:keepLines/>
        <w:widowControl w:val="0"/>
        <w:shd w:val="clear" w:color="auto" w:fill="auto"/>
        <w:tabs>
          <w:tab w:pos="1042" w:val="left"/>
        </w:tabs>
        <w:bidi w:val="0"/>
        <w:spacing w:before="0" w:after="320" w:line="240" w:lineRule="auto"/>
        <w:ind w:left="0" w:right="0" w:firstLine="64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sz w:val="24"/>
          <w:szCs w:val="24"/>
        </w:rPr>
        <w:t>5</w:t>
      </w:r>
      <w:bookmarkEnd w:id="483"/>
      <w:r>
        <w:rPr>
          <w:color w:val="000000"/>
          <w:spacing w:val="0"/>
          <w:w w:val="100"/>
          <w:position w:val="0"/>
        </w:rPr>
        <w:t>、</w:t>
        <w:tab/>
        <w:t>控股股东、实际控制人、重组方及其他承诺主体股份限制减持情况</w:t>
      </w:r>
      <w:bookmarkEnd w:id="481"/>
      <w:bookmarkEnd w:id="482"/>
      <w:bookmarkEnd w:id="484"/>
    </w:p>
    <w:p>
      <w:pPr>
        <w:pStyle w:val="Style44"/>
        <w:keepNext w:val="0"/>
        <w:keepLines w:val="0"/>
        <w:widowControl w:val="0"/>
        <w:shd w:val="clear" w:color="auto" w:fill="auto"/>
        <w:bidi w:val="0"/>
        <w:spacing w:before="0" w:after="320" w:line="240" w:lineRule="auto"/>
        <w:ind w:left="0" w:right="0" w:firstLine="640"/>
        <w:jc w:val="both"/>
        <w:sectPr>
          <w:footnotePr>
            <w:pos w:val="pageBottom"/>
            <w:numFmt w:val="decimal"/>
            <w:numRestart w:val="continuous"/>
          </w:footnotePr>
          <w:pgSz w:w="11900" w:h="16840"/>
          <w:pgMar w:top="1268" w:right="371" w:bottom="1556" w:left="628"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2"/>
        <w:keepNext/>
        <w:keepLines/>
        <w:widowControl w:val="0"/>
        <w:shd w:val="clear" w:color="auto" w:fill="auto"/>
        <w:bidi w:val="0"/>
        <w:spacing w:before="0" w:after="600" w:line="240" w:lineRule="auto"/>
        <w:ind w:left="0" w:right="0" w:firstLine="0"/>
        <w:jc w:val="center"/>
      </w:pPr>
      <w:bookmarkStart w:id="485" w:name="bookmark485"/>
      <w:bookmarkStart w:id="486" w:name="bookmark486"/>
      <w:bookmarkStart w:id="487" w:name="bookmark487"/>
      <w:r>
        <w:rPr>
          <w:color w:val="000000"/>
          <w:spacing w:val="0"/>
          <w:w w:val="100"/>
          <w:position w:val="0"/>
        </w:rPr>
        <w:t>第七节优先股相关情况</w:t>
      </w:r>
      <w:bookmarkEnd w:id="485"/>
      <w:bookmarkEnd w:id="486"/>
      <w:bookmarkEnd w:id="487"/>
    </w:p>
    <w:p>
      <w:pPr>
        <w:pStyle w:val="Style44"/>
        <w:keepNext w:val="0"/>
        <w:keepLines w:val="0"/>
        <w:widowControl w:val="0"/>
        <w:shd w:val="clear" w:color="auto" w:fill="auto"/>
        <w:bidi w:val="0"/>
        <w:spacing w:before="0" w:after="200" w:line="240" w:lineRule="auto"/>
        <w:ind w:left="0" w:right="0" w:firstLine="64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44"/>
        <w:keepNext w:val="0"/>
        <w:keepLines w:val="0"/>
        <w:widowControl w:val="0"/>
        <w:shd w:val="clear" w:color="auto" w:fill="auto"/>
        <w:bidi w:val="0"/>
        <w:spacing w:before="0" w:after="400" w:line="240" w:lineRule="auto"/>
        <w:ind w:left="0" w:right="0" w:firstLine="640"/>
        <w:jc w:val="left"/>
        <w:rPr>
          <w:sz w:val="24"/>
          <w:szCs w:val="24"/>
        </w:rPr>
        <w:sectPr>
          <w:footnotePr>
            <w:pos w:val="pageBottom"/>
            <w:numFmt w:val="decimal"/>
            <w:numRestart w:val="continuous"/>
          </w:footnotePr>
          <w:pgSz w:w="11900" w:h="16840"/>
          <w:pgMar w:top="1494" w:right="371" w:bottom="1494" w:left="628" w:header="0" w:footer="3" w:gutter="0"/>
          <w:cols w:space="720"/>
          <w:noEndnote/>
          <w:rtlGutter w:val="0"/>
          <w:docGrid w:linePitch="360"/>
        </w:sectPr>
      </w:pPr>
      <w:r>
        <w:rPr>
          <w:color w:val="000000"/>
          <w:spacing w:val="0"/>
          <w:w w:val="100"/>
          <w:position w:val="0"/>
          <w:sz w:val="24"/>
          <w:szCs w:val="24"/>
        </w:rPr>
        <w:t>报告期公司不存在优先股。</w:t>
      </w:r>
    </w:p>
    <w:p>
      <w:pPr>
        <w:pStyle w:val="Style22"/>
        <w:keepNext/>
        <w:keepLines/>
        <w:widowControl w:val="0"/>
        <w:shd w:val="clear" w:color="auto" w:fill="auto"/>
        <w:bidi w:val="0"/>
        <w:spacing w:before="200" w:after="600" w:line="240" w:lineRule="auto"/>
        <w:ind w:left="0" w:right="0" w:firstLine="0"/>
        <w:jc w:val="center"/>
      </w:pPr>
      <w:bookmarkStart w:id="488" w:name="bookmark488"/>
      <w:bookmarkStart w:id="489" w:name="bookmark489"/>
      <w:bookmarkStart w:id="490" w:name="bookmark490"/>
      <w:r>
        <w:rPr>
          <w:color w:val="000000"/>
          <w:spacing w:val="0"/>
          <w:w w:val="100"/>
          <w:position w:val="0"/>
        </w:rPr>
        <w:t>第八节可转换公司债券相关情况</w:t>
      </w:r>
      <w:bookmarkEnd w:id="488"/>
      <w:bookmarkEnd w:id="489"/>
      <w:bookmarkEnd w:id="490"/>
    </w:p>
    <w:p>
      <w:pPr>
        <w:pStyle w:val="Style44"/>
        <w:keepNext w:val="0"/>
        <w:keepLines w:val="0"/>
        <w:widowControl w:val="0"/>
        <w:shd w:val="clear" w:color="auto" w:fill="auto"/>
        <w:bidi w:val="0"/>
        <w:spacing w:before="0" w:after="20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44"/>
        <w:keepNext w:val="0"/>
        <w:keepLines w:val="0"/>
        <w:widowControl w:val="0"/>
        <w:shd w:val="clear" w:color="auto" w:fill="auto"/>
        <w:bidi w:val="0"/>
        <w:spacing w:before="0" w:after="400" w:line="240" w:lineRule="auto"/>
        <w:ind w:left="0" w:right="0" w:firstLine="480"/>
        <w:jc w:val="left"/>
        <w:rPr>
          <w:sz w:val="24"/>
          <w:szCs w:val="24"/>
        </w:rPr>
      </w:pPr>
      <w:r>
        <w:rPr>
          <w:color w:val="000000"/>
          <w:spacing w:val="0"/>
          <w:w w:val="100"/>
          <w:position w:val="0"/>
          <w:sz w:val="24"/>
          <w:szCs w:val="24"/>
        </w:rPr>
        <w:t>报告期公司不存在可转换公司债券。</w:t>
      </w:r>
      <w:r>
        <w:br w:type="page"/>
      </w:r>
    </w:p>
    <w:p>
      <w:pPr>
        <w:pStyle w:val="Style22"/>
        <w:keepNext/>
        <w:keepLines/>
        <w:widowControl w:val="0"/>
        <w:shd w:val="clear" w:color="auto" w:fill="auto"/>
        <w:bidi w:val="0"/>
        <w:spacing w:before="0" w:after="560" w:line="240" w:lineRule="auto"/>
        <w:ind w:left="0" w:right="0" w:firstLine="0"/>
        <w:jc w:val="center"/>
      </w:pPr>
      <w:bookmarkStart w:id="491" w:name="bookmark491"/>
      <w:bookmarkStart w:id="492" w:name="bookmark492"/>
      <w:bookmarkStart w:id="493" w:name="bookmark493"/>
      <w:r>
        <w:rPr>
          <w:color w:val="000000"/>
          <w:spacing w:val="0"/>
          <w:w w:val="100"/>
          <w:position w:val="0"/>
        </w:rPr>
        <w:t>第九节董事、监事、高级管理人员和员工情况</w:t>
      </w:r>
      <w:bookmarkEnd w:id="491"/>
      <w:bookmarkEnd w:id="492"/>
      <w:bookmarkEnd w:id="493"/>
    </w:p>
    <w:p>
      <w:pPr>
        <w:pStyle w:val="Style42"/>
        <w:keepNext/>
        <w:keepLines/>
        <w:widowControl w:val="0"/>
        <w:shd w:val="clear" w:color="auto" w:fill="auto"/>
        <w:bidi w:val="0"/>
        <w:spacing w:before="0" w:after="380" w:line="240" w:lineRule="auto"/>
        <w:ind w:left="0" w:right="0" w:firstLine="480"/>
        <w:jc w:val="left"/>
      </w:pPr>
      <w:bookmarkStart w:id="494" w:name="bookmark494"/>
      <w:bookmarkStart w:id="495" w:name="bookmark495"/>
      <w:bookmarkStart w:id="496" w:name="bookmark496"/>
      <w:bookmarkStart w:id="497" w:name="bookmark497"/>
      <w:r>
        <w:rPr>
          <w:color w:val="000000"/>
          <w:spacing w:val="0"/>
          <w:w w:val="100"/>
          <w:position w:val="0"/>
        </w:rPr>
        <w:t>一</w:t>
      </w:r>
      <w:bookmarkEnd w:id="496"/>
      <w:r>
        <w:rPr>
          <w:color w:val="000000"/>
          <w:spacing w:val="0"/>
          <w:w w:val="100"/>
          <w:position w:val="0"/>
        </w:rPr>
        <w:t>、董事、监事和高级管理人员的情况</w:t>
      </w:r>
      <w:bookmarkEnd w:id="494"/>
      <w:bookmarkEnd w:id="495"/>
      <w:bookmarkEnd w:id="497"/>
    </w:p>
    <w:p>
      <w:pPr>
        <w:pStyle w:val="Style44"/>
        <w:keepNext w:val="0"/>
        <w:keepLines w:val="0"/>
        <w:widowControl w:val="0"/>
        <w:shd w:val="clear" w:color="auto" w:fill="auto"/>
        <w:bidi w:val="0"/>
        <w:spacing w:before="0" w:after="60" w:line="240" w:lineRule="auto"/>
        <w:ind w:left="0" w:right="480" w:firstLine="0"/>
        <w:jc w:val="right"/>
        <w:rPr>
          <w:sz w:val="20"/>
          <w:szCs w:val="20"/>
        </w:rPr>
      </w:pPr>
      <w:r>
        <w:rPr>
          <w:color w:val="000000"/>
          <w:spacing w:val="0"/>
          <w:w w:val="100"/>
          <w:position w:val="0"/>
          <w:sz w:val="20"/>
          <w:szCs w:val="20"/>
        </w:rPr>
        <w:t>单位：股</w:t>
      </w:r>
    </w:p>
    <w:tbl>
      <w:tblPr>
        <w:tblOverlap w:val="never"/>
        <w:jc w:val="center"/>
        <w:tblLayout w:type="fixed"/>
      </w:tblPr>
      <w:tblGrid>
        <w:gridCol w:w="710"/>
        <w:gridCol w:w="1171"/>
        <w:gridCol w:w="797"/>
        <w:gridCol w:w="586"/>
        <w:gridCol w:w="566"/>
        <w:gridCol w:w="1238"/>
        <w:gridCol w:w="1032"/>
        <w:gridCol w:w="989"/>
        <w:gridCol w:w="710"/>
        <w:gridCol w:w="960"/>
        <w:gridCol w:w="850"/>
        <w:gridCol w:w="100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任期终止</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期初持股</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2" w:lineRule="exact"/>
              <w:ind w:left="0" w:right="0" w:firstLine="0"/>
              <w:jc w:val="both"/>
              <w:rPr>
                <w:sz w:val="20"/>
                <w:szCs w:val="20"/>
              </w:rPr>
            </w:pPr>
            <w:r>
              <w:rPr>
                <w:color w:val="000000"/>
                <w:spacing w:val="0"/>
                <w:w w:val="100"/>
                <w:position w:val="0"/>
                <w:sz w:val="20"/>
                <w:szCs w:val="20"/>
              </w:rPr>
              <w:t>本期增 持股份 数量</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7" w:lineRule="exact"/>
              <w:ind w:left="0" w:right="0" w:firstLine="0"/>
              <w:jc w:val="center"/>
              <w:rPr>
                <w:sz w:val="20"/>
                <w:szCs w:val="20"/>
              </w:rPr>
            </w:pPr>
            <w:r>
              <w:rPr>
                <w:color w:val="000000"/>
                <w:spacing w:val="0"/>
                <w:w w:val="100"/>
                <w:position w:val="0"/>
                <w:sz w:val="20"/>
                <w:szCs w:val="20"/>
              </w:rPr>
              <w:t>本期减持 股份数量</w:t>
            </w:r>
          </w:p>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7" w:lineRule="exact"/>
              <w:ind w:left="0" w:right="0" w:firstLine="0"/>
              <w:jc w:val="center"/>
              <w:rPr>
                <w:sz w:val="20"/>
                <w:szCs w:val="20"/>
              </w:rPr>
            </w:pPr>
            <w:r>
              <w:rPr>
                <w:color w:val="000000"/>
                <w:spacing w:val="0"/>
                <w:w w:val="100"/>
                <w:position w:val="0"/>
                <w:sz w:val="20"/>
                <w:szCs w:val="20"/>
              </w:rPr>
              <w:t>其他增 减变动</w:t>
            </w:r>
          </w:p>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期末持股 数（股）</w:t>
            </w:r>
          </w:p>
        </w:tc>
      </w:tr>
      <w:tr>
        <w:trPr>
          <w:trHeight w:val="51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孙迎彤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董事长</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现任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2018-05-11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2021-05-10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16,744,400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16,744,400</w:t>
            </w:r>
          </w:p>
        </w:tc>
      </w:tr>
      <w:tr>
        <w:trPr>
          <w:trHeight w:val="52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2009-05-15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1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朱永民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副董事长</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现任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2018-05-11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2021-05-10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5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副总经理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2017-09-27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俞鹂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2015-04-29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黄学良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2018-05-11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2020-04-22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51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叶艳桃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董事</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现任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2020-05-14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2021-05-10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52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董事会秘书</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2020-06-11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2021-05-10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孟亚平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2015-04-29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肖幼美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2018-05-11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刘震国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2018-05-11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王渝次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2018-05-11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黄巧玲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2016-03-23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2020-05-14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1,100</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林玉华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2020-05-14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杨志红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职工代表监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2015-04-29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梁洁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2014-08-06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李元怡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副总经理、董 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2018-12-02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2020-06-11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52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徐辉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副总经理</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现任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2019-04-22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2021-05-10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52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财务总监</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2018-05-11</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710"/>
        <w:gridCol w:w="1171"/>
        <w:gridCol w:w="797"/>
        <w:gridCol w:w="586"/>
        <w:gridCol w:w="566"/>
        <w:gridCol w:w="1238"/>
        <w:gridCol w:w="1032"/>
        <w:gridCol w:w="989"/>
        <w:gridCol w:w="710"/>
        <w:gridCol w:w="960"/>
        <w:gridCol w:w="850"/>
        <w:gridCol w:w="1003"/>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任期终止</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期初持股</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2" w:lineRule="exact"/>
              <w:ind w:left="0" w:right="0" w:firstLine="0"/>
              <w:jc w:val="both"/>
              <w:rPr>
                <w:sz w:val="20"/>
                <w:szCs w:val="20"/>
              </w:rPr>
            </w:pPr>
            <w:r>
              <w:rPr>
                <w:color w:val="000000"/>
                <w:spacing w:val="0"/>
                <w:w w:val="100"/>
                <w:position w:val="0"/>
                <w:sz w:val="20"/>
                <w:szCs w:val="20"/>
              </w:rPr>
              <w:t>本期增 持股份 数量</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7" w:lineRule="exact"/>
              <w:ind w:left="0" w:right="0" w:firstLine="0"/>
              <w:jc w:val="center"/>
              <w:rPr>
                <w:sz w:val="20"/>
                <w:szCs w:val="20"/>
              </w:rPr>
            </w:pPr>
            <w:r>
              <w:rPr>
                <w:color w:val="000000"/>
                <w:spacing w:val="0"/>
                <w:w w:val="100"/>
                <w:position w:val="0"/>
                <w:sz w:val="20"/>
                <w:szCs w:val="20"/>
              </w:rPr>
              <w:t>本期减持 股份数量</w:t>
            </w:r>
          </w:p>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7" w:lineRule="exact"/>
              <w:ind w:left="0" w:right="0" w:firstLine="0"/>
              <w:jc w:val="center"/>
              <w:rPr>
                <w:sz w:val="20"/>
                <w:szCs w:val="20"/>
              </w:rPr>
            </w:pPr>
            <w:r>
              <w:rPr>
                <w:color w:val="000000"/>
                <w:spacing w:val="0"/>
                <w:w w:val="100"/>
                <w:position w:val="0"/>
                <w:sz w:val="20"/>
                <w:szCs w:val="20"/>
              </w:rPr>
              <w:t>其他增 减变动</w:t>
            </w:r>
          </w:p>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期末持股 数（股）</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陈子勤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2019-04-22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肖德银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2019-04-22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53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16,746,400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16,747,500</w:t>
            </w: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460"/>
        <w:jc w:val="left"/>
      </w:pPr>
      <w:bookmarkStart w:id="498" w:name="bookmark498"/>
      <w:bookmarkStart w:id="499" w:name="bookmark499"/>
      <w:bookmarkStart w:id="500" w:name="bookmark500"/>
      <w:bookmarkStart w:id="501" w:name="bookmark501"/>
      <w:r>
        <w:rPr>
          <w:color w:val="000000"/>
          <w:spacing w:val="0"/>
          <w:w w:val="100"/>
          <w:position w:val="0"/>
        </w:rPr>
        <w:t>二</w:t>
      </w:r>
      <w:bookmarkEnd w:id="500"/>
      <w:r>
        <w:rPr>
          <w:color w:val="000000"/>
          <w:spacing w:val="0"/>
          <w:w w:val="100"/>
          <w:position w:val="0"/>
        </w:rPr>
        <w:t>、公司董事、监事、高级管理人员变动情况</w:t>
      </w:r>
      <w:bookmarkEnd w:id="498"/>
      <w:bookmarkEnd w:id="499"/>
      <w:bookmarkEnd w:id="501"/>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9"/>
        <w:gridCol w:w="2323"/>
        <w:gridCol w:w="1416"/>
        <w:gridCol w:w="1416"/>
        <w:gridCol w:w="3374"/>
      </w:tblGrid>
      <w:tr>
        <w:trPr>
          <w:trHeight w:val="4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原因</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黄巧玲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2020-05-14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个人原因</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黄学良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2020-04-22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个人原因</w:t>
            </w:r>
          </w:p>
        </w:tc>
      </w:tr>
      <w:tr>
        <w:trPr>
          <w:trHeight w:val="5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李元怡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副总经理、董事会秘书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2020-06-11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个人原因</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林玉华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2020-05-14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被选举</w:t>
            </w:r>
          </w:p>
        </w:tc>
      </w:tr>
      <w:tr>
        <w:trPr>
          <w:trHeight w:val="4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叶艳桃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2020-05-14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被选举</w:t>
            </w:r>
          </w:p>
        </w:tc>
      </w:tr>
      <w:tr>
        <w:trPr>
          <w:trHeight w:val="47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2020-06-11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聘任</w:t>
            </w:r>
          </w:p>
        </w:tc>
      </w:tr>
    </w:tbl>
    <w:p>
      <w:pPr>
        <w:widowControl w:val="0"/>
        <w:spacing w:after="319" w:line="1" w:lineRule="exact"/>
      </w:pPr>
    </w:p>
    <w:p>
      <w:pPr>
        <w:pStyle w:val="Style42"/>
        <w:keepNext/>
        <w:keepLines/>
        <w:widowControl w:val="0"/>
        <w:shd w:val="clear" w:color="auto" w:fill="auto"/>
        <w:bidi w:val="0"/>
        <w:spacing w:before="0" w:after="220" w:line="240" w:lineRule="auto"/>
        <w:ind w:left="0" w:right="0" w:firstLine="460"/>
        <w:jc w:val="left"/>
      </w:pPr>
      <w:bookmarkStart w:id="502" w:name="bookmark502"/>
      <w:bookmarkStart w:id="503" w:name="bookmark503"/>
      <w:bookmarkStart w:id="504" w:name="bookmark504"/>
      <w:bookmarkStart w:id="505" w:name="bookmark505"/>
      <w:r>
        <w:rPr>
          <w:color w:val="000000"/>
          <w:spacing w:val="0"/>
          <w:w w:val="100"/>
          <w:position w:val="0"/>
        </w:rPr>
        <w:t>三</w:t>
      </w:r>
      <w:bookmarkEnd w:id="504"/>
      <w:r>
        <w:rPr>
          <w:color w:val="000000"/>
          <w:spacing w:val="0"/>
          <w:w w:val="100"/>
          <w:position w:val="0"/>
        </w:rPr>
        <w:t>、任职情况</w:t>
      </w:r>
      <w:bookmarkEnd w:id="502"/>
      <w:bookmarkEnd w:id="503"/>
      <w:bookmarkEnd w:id="505"/>
    </w:p>
    <w:p>
      <w:pPr>
        <w:pStyle w:val="Style44"/>
        <w:keepNext w:val="0"/>
        <w:keepLines w:val="0"/>
        <w:widowControl w:val="0"/>
        <w:shd w:val="clear" w:color="auto" w:fill="auto"/>
        <w:bidi w:val="0"/>
        <w:spacing w:before="0" w:after="40" w:line="468" w:lineRule="exact"/>
        <w:ind w:left="0" w:right="0" w:firstLine="460"/>
        <w:jc w:val="left"/>
      </w:pPr>
      <w:r>
        <w:rPr>
          <w:color w:val="000000"/>
          <w:spacing w:val="0"/>
          <w:w w:val="100"/>
          <w:position w:val="0"/>
        </w:rPr>
        <w:t>公司现任董事、监事、高级管理人员专业背景、主要工作经历以及目前在公司的主要职责</w:t>
      </w:r>
    </w:p>
    <w:p>
      <w:pPr>
        <w:pStyle w:val="Style44"/>
        <w:keepNext w:val="0"/>
        <w:keepLines w:val="0"/>
        <w:widowControl w:val="0"/>
        <w:shd w:val="clear" w:color="auto" w:fill="auto"/>
        <w:bidi w:val="0"/>
        <w:spacing w:before="0" w:after="40" w:line="468" w:lineRule="exact"/>
        <w:ind w:left="0" w:right="0" w:firstLine="940"/>
        <w:jc w:val="both"/>
      </w:pPr>
      <w:bookmarkStart w:id="506" w:name="bookmark506"/>
      <w:r>
        <w:rPr>
          <w:b/>
          <w:bCs/>
          <w:color w:val="000000"/>
          <w:spacing w:val="0"/>
          <w:w w:val="100"/>
          <w:position w:val="0"/>
        </w:rPr>
        <w:t>（</w:t>
      </w:r>
      <w:bookmarkEnd w:id="506"/>
      <w:r>
        <w:rPr>
          <w:rFonts w:ascii="Times New Roman" w:eastAsia="Times New Roman" w:hAnsi="Times New Roman" w:cs="Times New Roman"/>
          <w:b/>
          <w:bCs/>
          <w:color w:val="000000"/>
          <w:spacing w:val="0"/>
          <w:w w:val="100"/>
          <w:position w:val="0"/>
        </w:rPr>
        <w:t>1</w:t>
      </w:r>
      <w:r>
        <w:rPr>
          <w:b/>
          <w:bCs/>
          <w:color w:val="000000"/>
          <w:spacing w:val="0"/>
          <w:w w:val="100"/>
          <w:position w:val="0"/>
        </w:rPr>
        <w:t>）董事会成员</w:t>
      </w:r>
    </w:p>
    <w:p>
      <w:pPr>
        <w:pStyle w:val="Style44"/>
        <w:keepNext w:val="0"/>
        <w:keepLines w:val="0"/>
        <w:widowControl w:val="0"/>
        <w:shd w:val="clear" w:color="auto" w:fill="auto"/>
        <w:bidi w:val="0"/>
        <w:spacing w:before="0" w:after="40" w:line="466" w:lineRule="exact"/>
        <w:ind w:left="460" w:right="0" w:firstLine="480"/>
        <w:jc w:val="both"/>
      </w:pPr>
      <w:r>
        <w:rPr>
          <w:b/>
          <w:bCs/>
          <w:color w:val="000000"/>
          <w:spacing w:val="0"/>
          <w:w w:val="100"/>
          <w:position w:val="0"/>
        </w:rPr>
        <w:t>孙迎彤</w:t>
      </w:r>
      <w:r>
        <w:rPr>
          <w:color w:val="000000"/>
          <w:spacing w:val="0"/>
          <w:w w:val="100"/>
          <w:position w:val="0"/>
        </w:rPr>
        <w:t>先生，公司董事长、总经理。中国国籍，无境外永久居留权。</w:t>
      </w:r>
      <w:r>
        <w:rPr>
          <w:rFonts w:ascii="Times New Roman" w:eastAsia="Times New Roman" w:hAnsi="Times New Roman" w:cs="Times New Roman"/>
          <w:color w:val="000000"/>
          <w:spacing w:val="0"/>
          <w:w w:val="100"/>
          <w:position w:val="0"/>
        </w:rPr>
        <w:t>1972</w:t>
      </w:r>
      <w:r>
        <w:rPr>
          <w:color w:val="000000"/>
          <w:spacing w:val="0"/>
          <w:w w:val="100"/>
          <w:position w:val="0"/>
        </w:rPr>
        <w:t>年出生，研究生学 历，曾任国投电子业务副主管，国投公司办公厅业务主管，国投机轻有限公司项目经理，国投高 科项目经理、高级项目经理。</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年，任公司副总经理；</w:t>
      </w:r>
      <w:r>
        <w:rPr>
          <w:rFonts w:ascii="Times New Roman" w:eastAsia="Times New Roman" w:hAnsi="Times New Roman" w:cs="Times New Roman"/>
          <w:color w:val="000000"/>
          <w:spacing w:val="0"/>
          <w:w w:val="100"/>
          <w:position w:val="0"/>
        </w:rPr>
        <w:t>2005</w:t>
      </w:r>
      <w:r>
        <w:rPr>
          <w:color w:val="000000"/>
          <w:spacing w:val="0"/>
          <w:w w:val="100"/>
          <w:position w:val="0"/>
        </w:rPr>
        <w:t>年至今，任公司总经理。</w:t>
      </w:r>
    </w:p>
    <w:p>
      <w:pPr>
        <w:pStyle w:val="Style44"/>
        <w:keepNext w:val="0"/>
        <w:keepLines w:val="0"/>
        <w:widowControl w:val="0"/>
        <w:shd w:val="clear" w:color="auto" w:fill="auto"/>
        <w:bidi w:val="0"/>
        <w:spacing w:before="0" w:after="260" w:line="468" w:lineRule="exact"/>
        <w:ind w:left="460" w:right="0" w:firstLine="480"/>
        <w:jc w:val="both"/>
        <w:sectPr>
          <w:headerReference w:type="default" r:id="rId63"/>
          <w:footerReference w:type="default" r:id="rId64"/>
          <w:headerReference w:type="even" r:id="rId65"/>
          <w:footerReference w:type="even" r:id="rId66"/>
          <w:footnotePr>
            <w:pos w:val="pageBottom"/>
            <w:numFmt w:val="decimal"/>
            <w:numRestart w:val="continuous"/>
          </w:footnotePr>
          <w:pgSz w:w="11900" w:h="16840"/>
          <w:pgMar w:top="1441" w:right="468" w:bottom="1691" w:left="532" w:header="0" w:footer="3" w:gutter="0"/>
          <w:cols w:space="720"/>
          <w:noEndnote/>
          <w:rtlGutter w:val="0"/>
          <w:docGrid w:linePitch="360"/>
        </w:sectPr>
      </w:pPr>
      <w:r>
        <w:rPr>
          <w:b/>
          <w:bCs/>
          <w:color w:val="000000"/>
          <w:spacing w:val="0"/>
          <w:w w:val="100"/>
          <w:position w:val="0"/>
        </w:rPr>
        <w:t>朱永民</w:t>
      </w:r>
      <w:r>
        <w:rPr>
          <w:color w:val="000000"/>
          <w:spacing w:val="0"/>
          <w:w w:val="100"/>
          <w:position w:val="0"/>
        </w:rPr>
        <w:t>先生，公司副董事长、常务副总经理。中国国籍。</w:t>
      </w:r>
      <w:r>
        <w:rPr>
          <w:rFonts w:ascii="Times New Roman" w:eastAsia="Times New Roman" w:hAnsi="Times New Roman" w:cs="Times New Roman"/>
          <w:color w:val="000000"/>
          <w:spacing w:val="0"/>
          <w:w w:val="100"/>
          <w:position w:val="0"/>
        </w:rPr>
        <w:t>1972</w:t>
      </w:r>
      <w:r>
        <w:rPr>
          <w:color w:val="000000"/>
          <w:spacing w:val="0"/>
          <w:w w:val="100"/>
          <w:position w:val="0"/>
        </w:rPr>
        <w:t>年出生，西北师范大学计算机 科学专业本科，纽约州立大学布法罗学院工商管理</w:t>
      </w:r>
      <w:r>
        <w:rPr>
          <w:rFonts w:ascii="Times New Roman" w:eastAsia="Times New Roman" w:hAnsi="Times New Roman" w:cs="Times New Roman"/>
          <w:color w:val="000000"/>
          <w:spacing w:val="0"/>
          <w:w w:val="100"/>
          <w:position w:val="0"/>
        </w:rPr>
        <w:t>MBA</w:t>
      </w:r>
      <w:r>
        <w:rPr>
          <w:color w:val="000000"/>
          <w:spacing w:val="0"/>
          <w:w w:val="100"/>
          <w:position w:val="0"/>
        </w:rPr>
        <w:t>，</w:t>
      </w:r>
      <w:r>
        <w:rPr>
          <w:color w:val="000000"/>
          <w:spacing w:val="0"/>
          <w:w w:val="100"/>
          <w:position w:val="0"/>
        </w:rPr>
        <w:t>中国信息协会理事、北京通信信息协会 理事、中国计算机学会信息安全专业委员会常务委员、</w:t>
      </w:r>
      <w:r>
        <w:rPr>
          <w:rFonts w:ascii="Times New Roman" w:eastAsia="Times New Roman" w:hAnsi="Times New Roman" w:cs="Times New Roman"/>
          <w:color w:val="000000"/>
          <w:spacing w:val="0"/>
          <w:w w:val="100"/>
          <w:position w:val="0"/>
        </w:rPr>
        <w:t>2011</w:t>
      </w:r>
      <w:r>
        <w:rPr>
          <w:color w:val="000000"/>
          <w:spacing w:val="0"/>
          <w:w w:val="100"/>
          <w:position w:val="0"/>
        </w:rPr>
        <w:t>年度优秀信息化人物。曾任中兴通讯 股份有限公司高级销售经理、马可尼通信技术有限公司销售总监、摩托罗拉中国有限公司销售总 监、中兴网安科技有限公司联合创始人及</w:t>
      </w:r>
      <w:r>
        <w:rPr>
          <w:rFonts w:ascii="Times New Roman" w:eastAsia="Times New Roman" w:hAnsi="Times New Roman" w:cs="Times New Roman"/>
          <w:color w:val="000000"/>
          <w:spacing w:val="0"/>
          <w:w w:val="100"/>
          <w:position w:val="0"/>
        </w:rPr>
        <w:t>CEO</w:t>
      </w:r>
      <w:r>
        <w:rPr>
          <w:color w:val="000000"/>
          <w:spacing w:val="0"/>
          <w:w w:val="100"/>
          <w:position w:val="0"/>
        </w:rPr>
        <w:t>、</w:t>
      </w:r>
      <w:r>
        <w:rPr>
          <w:rFonts w:ascii="Times New Roman" w:eastAsia="Times New Roman" w:hAnsi="Times New Roman" w:cs="Times New Roman"/>
          <w:color w:val="000000"/>
          <w:spacing w:val="0"/>
          <w:w w:val="100"/>
          <w:position w:val="0"/>
        </w:rPr>
        <w:t xml:space="preserve">Gartner </w:t>
      </w:r>
      <w:r>
        <w:rPr>
          <w:color w:val="000000"/>
          <w:spacing w:val="0"/>
          <w:w w:val="100"/>
          <w:position w:val="0"/>
        </w:rPr>
        <w:t>（高德纳咨询技术有限公司）政府和公共 事业部总经理、</w:t>
      </w:r>
      <w:r>
        <w:rPr>
          <w:rFonts w:ascii="Times New Roman" w:eastAsia="Times New Roman" w:hAnsi="Times New Roman" w:cs="Times New Roman"/>
          <w:color w:val="000000"/>
          <w:spacing w:val="0"/>
          <w:w w:val="100"/>
          <w:position w:val="0"/>
        </w:rPr>
        <w:t xml:space="preserve">Cellebrite </w:t>
      </w:r>
      <w:r>
        <w:rPr>
          <w:color w:val="000000"/>
          <w:spacing w:val="0"/>
          <w:w w:val="100"/>
          <w:position w:val="0"/>
        </w:rPr>
        <w:t>（司伯睿移动数据技术有限公司）副总裁冲国区总经理。</w:t>
      </w:r>
    </w:p>
    <w:p>
      <w:pPr>
        <w:pStyle w:val="Style44"/>
        <w:keepNext w:val="0"/>
        <w:keepLines w:val="0"/>
        <w:widowControl w:val="0"/>
        <w:shd w:val="clear" w:color="auto" w:fill="auto"/>
        <w:bidi w:val="0"/>
        <w:spacing w:before="0" w:after="0" w:line="469" w:lineRule="exact"/>
        <w:ind w:left="480" w:right="0" w:firstLine="460"/>
        <w:jc w:val="both"/>
      </w:pPr>
      <w:r>
        <w:rPr>
          <w:b/>
          <w:bCs/>
          <w:color w:val="000000"/>
          <w:spacing w:val="0"/>
          <w:w w:val="100"/>
          <w:position w:val="0"/>
        </w:rPr>
        <w:t>俞鹏</w:t>
      </w:r>
      <w:r>
        <w:rPr>
          <w:color w:val="000000"/>
          <w:spacing w:val="0"/>
          <w:w w:val="100"/>
          <w:position w:val="0"/>
        </w:rPr>
        <w:t>女士，公司董事。中国国籍，无境外永久居留权。</w:t>
      </w:r>
      <w:r>
        <w:rPr>
          <w:rFonts w:ascii="Times New Roman" w:eastAsia="Times New Roman" w:hAnsi="Times New Roman" w:cs="Times New Roman"/>
          <w:color w:val="000000"/>
          <w:spacing w:val="0"/>
          <w:w w:val="100"/>
          <w:position w:val="0"/>
        </w:rPr>
        <w:t>1963</w:t>
      </w:r>
      <w:r>
        <w:rPr>
          <w:color w:val="000000"/>
          <w:spacing w:val="0"/>
          <w:w w:val="100"/>
          <w:position w:val="0"/>
        </w:rPr>
        <w:t>年出生，工商管理硕士，高级会 计师。曾于北京有色金属研究总院、中国有色金属工业总公司从事财务管理工作，历任中鑫集团 公司总经理助理、中国财务公司协会财务部主任、北京利信坤矿业投资有限公司副总经理兼财务 总监等。现任烟台台海马努尔核电设备股份有限公司独立董事、明光浩淼安防科技股份有限公司 独立董事、中海油安全技术服务有限公司独立董事及重庆新铝时代科技股份有限公司独立董事。</w:t>
      </w:r>
    </w:p>
    <w:p>
      <w:pPr>
        <w:pStyle w:val="Style44"/>
        <w:keepNext w:val="0"/>
        <w:keepLines w:val="0"/>
        <w:widowControl w:val="0"/>
        <w:shd w:val="clear" w:color="auto" w:fill="auto"/>
        <w:bidi w:val="0"/>
        <w:spacing w:before="0" w:after="0" w:line="470" w:lineRule="exact"/>
        <w:ind w:left="480" w:right="0" w:firstLine="460"/>
        <w:jc w:val="both"/>
      </w:pPr>
      <w:r>
        <w:rPr>
          <w:b/>
          <w:bCs/>
          <w:color w:val="000000"/>
          <w:spacing w:val="0"/>
          <w:w w:val="100"/>
          <w:position w:val="0"/>
        </w:rPr>
        <w:t>孟亚平</w:t>
      </w:r>
      <w:r>
        <w:rPr>
          <w:color w:val="000000"/>
          <w:spacing w:val="0"/>
          <w:w w:val="100"/>
          <w:position w:val="0"/>
        </w:rPr>
        <w:t>女士，公司独立董事。中国国籍，无境外永久居留权。</w:t>
      </w:r>
      <w:r>
        <w:rPr>
          <w:rFonts w:ascii="Times New Roman" w:eastAsia="Times New Roman" w:hAnsi="Times New Roman" w:cs="Times New Roman"/>
          <w:color w:val="000000"/>
          <w:spacing w:val="0"/>
          <w:w w:val="100"/>
          <w:position w:val="0"/>
        </w:rPr>
        <w:t>1960</w:t>
      </w:r>
      <w:r>
        <w:rPr>
          <w:color w:val="000000"/>
          <w:spacing w:val="0"/>
          <w:w w:val="100"/>
          <w:position w:val="0"/>
        </w:rPr>
        <w:t>年出生，本科学历，高级 工程师。历任中国人民解放军某部正团级主管科研工作副主任、北京中通华迅信息技术有限公司 董事总经理、北京信息安全测评（服务）中心主任、国家奥组委技术部信息网络安全专家。现任 新疆熙菱信息技术股份有限公司独立董事、山石网科通信技术股份有限公司独立董事。曾荣立三 等功一次，获国家科技进步二等奖一次、军队科技进步二等奖两次、军队科技进步三等奖一次， 北京科技进步三等奖一次。</w:t>
      </w:r>
    </w:p>
    <w:p>
      <w:pPr>
        <w:pStyle w:val="Style44"/>
        <w:keepNext w:val="0"/>
        <w:keepLines w:val="0"/>
        <w:widowControl w:val="0"/>
        <w:shd w:val="clear" w:color="auto" w:fill="auto"/>
        <w:bidi w:val="0"/>
        <w:spacing w:before="0" w:after="0" w:line="470" w:lineRule="exact"/>
        <w:ind w:left="480" w:right="0" w:firstLine="460"/>
        <w:jc w:val="both"/>
      </w:pPr>
      <w:r>
        <w:rPr>
          <w:b/>
          <w:bCs/>
          <w:color w:val="000000"/>
          <w:spacing w:val="0"/>
          <w:w w:val="100"/>
          <w:position w:val="0"/>
        </w:rPr>
        <w:t>肖幼美</w:t>
      </w:r>
      <w:r>
        <w:rPr>
          <w:color w:val="000000"/>
          <w:spacing w:val="0"/>
          <w:w w:val="100"/>
          <w:position w:val="0"/>
        </w:rPr>
        <w:t>女士，公司独立董事。汉族，</w:t>
      </w:r>
      <w:r>
        <w:rPr>
          <w:rFonts w:ascii="Times New Roman" w:eastAsia="Times New Roman" w:hAnsi="Times New Roman" w:cs="Times New Roman"/>
          <w:color w:val="000000"/>
          <w:spacing w:val="0"/>
          <w:w w:val="100"/>
          <w:position w:val="0"/>
        </w:rPr>
        <w:t>1955</w:t>
      </w:r>
      <w:r>
        <w:rPr>
          <w:color w:val="000000"/>
          <w:spacing w:val="0"/>
          <w:w w:val="100"/>
          <w:position w:val="0"/>
        </w:rPr>
        <w:t>年出生，在职硕士，高级会计师。曾任深圳有色金 属财务有限公司财务部经理、深圳有色金属财务有限公司总经理助理、财务负责人；深圳市中金 财务顾问有限公司董事长。现任深圳市女财经工作者协会副会长，国信证券股份公司独立董事， 审计委员会主任委员；天音通信控股股份有限公司独董独立董事、深圳市新城市规划建筑设计股 份有限公司独立董事；深圳市中小企业担保集团项目评审顾问。深圳市第三、四、五届、六届人 民代表大会代表；深圳市五届、六届人大计划预算专业委员会委员；深圳市中级人民法院司法监 督员；深圳市社会保障局专家顾问。</w:t>
      </w:r>
    </w:p>
    <w:p>
      <w:pPr>
        <w:pStyle w:val="Style44"/>
        <w:keepNext w:val="0"/>
        <w:keepLines w:val="0"/>
        <w:widowControl w:val="0"/>
        <w:shd w:val="clear" w:color="auto" w:fill="auto"/>
        <w:bidi w:val="0"/>
        <w:spacing w:before="0" w:after="0" w:line="468" w:lineRule="exact"/>
        <w:ind w:left="480" w:right="0" w:firstLine="460"/>
        <w:jc w:val="both"/>
      </w:pPr>
      <w:r>
        <w:rPr>
          <w:b/>
          <w:bCs/>
          <w:color w:val="000000"/>
          <w:spacing w:val="0"/>
          <w:w w:val="100"/>
          <w:position w:val="0"/>
        </w:rPr>
        <w:t>刘震国</w:t>
      </w:r>
      <w:r>
        <w:rPr>
          <w:color w:val="000000"/>
          <w:spacing w:val="0"/>
          <w:w w:val="100"/>
          <w:position w:val="0"/>
        </w:rPr>
        <w:t>先生，公司独立董事。汉族，</w:t>
      </w:r>
      <w:r>
        <w:rPr>
          <w:rFonts w:ascii="Times New Roman" w:eastAsia="Times New Roman" w:hAnsi="Times New Roman" w:cs="Times New Roman"/>
          <w:color w:val="000000"/>
          <w:spacing w:val="0"/>
          <w:w w:val="100"/>
          <w:position w:val="0"/>
        </w:rPr>
        <w:t>1972</w:t>
      </w:r>
      <w:r>
        <w:rPr>
          <w:color w:val="000000"/>
          <w:spacing w:val="0"/>
          <w:w w:val="100"/>
          <w:position w:val="0"/>
        </w:rPr>
        <w:t>年出生，经济法研究生，工商管理硕士。长期于深 圳市地方税务局、国信证券、德恒律师事务所等机构从事法律事务工作。现任德恒律师事务所总 部管理合伙人，兼任德恒深圳负责人、管委会主任。广东省优秀律师。曾任深圳市麦达数字股份 有限公司（</w:t>
      </w:r>
      <w:r>
        <w:rPr>
          <w:rFonts w:ascii="Times New Roman" w:eastAsia="Times New Roman" w:hAnsi="Times New Roman" w:cs="Times New Roman"/>
          <w:color w:val="000000"/>
          <w:spacing w:val="0"/>
          <w:w w:val="100"/>
          <w:position w:val="0"/>
        </w:rPr>
        <w:t>002137</w:t>
      </w:r>
      <w:r>
        <w:rPr>
          <w:color w:val="000000"/>
          <w:spacing w:val="0"/>
          <w:w w:val="100"/>
          <w:position w:val="0"/>
        </w:rPr>
        <w:t>）、力合股份有限公司（</w:t>
      </w:r>
      <w:r>
        <w:rPr>
          <w:rFonts w:ascii="Times New Roman" w:eastAsia="Times New Roman" w:hAnsi="Times New Roman" w:cs="Times New Roman"/>
          <w:color w:val="000000"/>
          <w:spacing w:val="0"/>
          <w:w w:val="100"/>
          <w:position w:val="0"/>
        </w:rPr>
        <w:t>000532</w:t>
      </w:r>
      <w:r>
        <w:rPr>
          <w:color w:val="000000"/>
          <w:spacing w:val="0"/>
          <w:w w:val="100"/>
          <w:position w:val="0"/>
        </w:rPr>
        <w:t>）、银亿股份有限公司（</w:t>
      </w:r>
      <w:r>
        <w:rPr>
          <w:rFonts w:ascii="Times New Roman" w:eastAsia="Times New Roman" w:hAnsi="Times New Roman" w:cs="Times New Roman"/>
          <w:color w:val="000000"/>
          <w:spacing w:val="0"/>
          <w:w w:val="100"/>
          <w:position w:val="0"/>
        </w:rPr>
        <w:t>000981</w:t>
      </w:r>
      <w:r>
        <w:rPr>
          <w:color w:val="000000"/>
          <w:spacing w:val="0"/>
          <w:w w:val="100"/>
          <w:position w:val="0"/>
        </w:rPr>
        <w:t>）、深圳市农 产品股份有限公司（</w:t>
      </w:r>
      <w:r>
        <w:rPr>
          <w:rFonts w:ascii="Times New Roman" w:eastAsia="Times New Roman" w:hAnsi="Times New Roman" w:cs="Times New Roman"/>
          <w:color w:val="000000"/>
          <w:spacing w:val="0"/>
          <w:w w:val="100"/>
          <w:position w:val="0"/>
        </w:rPr>
        <w:t>000061</w:t>
      </w:r>
      <w:r>
        <w:rPr>
          <w:color w:val="000000"/>
          <w:spacing w:val="0"/>
          <w:w w:val="100"/>
          <w:position w:val="0"/>
        </w:rPr>
        <w:t>）等公司之独立董事。</w:t>
      </w:r>
    </w:p>
    <w:p>
      <w:pPr>
        <w:pStyle w:val="Style44"/>
        <w:keepNext w:val="0"/>
        <w:keepLines w:val="0"/>
        <w:widowControl w:val="0"/>
        <w:shd w:val="clear" w:color="auto" w:fill="auto"/>
        <w:bidi w:val="0"/>
        <w:spacing w:before="0" w:after="120" w:line="468" w:lineRule="exact"/>
        <w:ind w:left="480" w:right="0" w:firstLine="460"/>
        <w:jc w:val="both"/>
      </w:pPr>
      <w:r>
        <w:rPr>
          <w:b/>
          <w:bCs/>
          <w:color w:val="000000"/>
          <w:spacing w:val="0"/>
          <w:w w:val="100"/>
          <w:position w:val="0"/>
        </w:rPr>
        <w:t>叶艳桃</w:t>
      </w:r>
      <w:r>
        <w:rPr>
          <w:color w:val="000000"/>
          <w:spacing w:val="0"/>
          <w:w w:val="100"/>
          <w:position w:val="0"/>
        </w:rPr>
        <w:t>女士，公司董事。中国国籍，无境外永久居留权。</w:t>
      </w:r>
      <w:r>
        <w:rPr>
          <w:rFonts w:ascii="Times New Roman" w:eastAsia="Times New Roman" w:hAnsi="Times New Roman" w:cs="Times New Roman"/>
          <w:color w:val="000000"/>
          <w:spacing w:val="0"/>
          <w:w w:val="100"/>
          <w:position w:val="0"/>
        </w:rPr>
        <w:t>1988</w:t>
      </w:r>
      <w:r>
        <w:rPr>
          <w:color w:val="000000"/>
          <w:spacing w:val="0"/>
          <w:w w:val="100"/>
          <w:position w:val="0"/>
        </w:rPr>
        <w:t>年出生，本科学历，已取得 《中国注册会计师专业阶段合格证书》、《董事会秘书资格证书》。</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月加入公司，曾任 职于公司财务部，曾任公司证券事务代表，现任公司董事、董事会秘书。</w:t>
      </w:r>
    </w:p>
    <w:p>
      <w:pPr>
        <w:pStyle w:val="Style44"/>
        <w:keepNext w:val="0"/>
        <w:keepLines w:val="0"/>
        <w:widowControl w:val="0"/>
        <w:shd w:val="clear" w:color="auto" w:fill="auto"/>
        <w:bidi w:val="0"/>
        <w:spacing w:before="0" w:after="120" w:line="469" w:lineRule="exact"/>
        <w:ind w:left="0" w:right="0" w:firstLine="940"/>
        <w:jc w:val="both"/>
      </w:pPr>
      <w:bookmarkStart w:id="507" w:name="bookmark507"/>
      <w:r>
        <w:rPr>
          <w:b/>
          <w:bCs/>
          <w:color w:val="000000"/>
          <w:spacing w:val="0"/>
          <w:w w:val="100"/>
          <w:position w:val="0"/>
        </w:rPr>
        <w:t>（</w:t>
      </w:r>
      <w:bookmarkEnd w:id="507"/>
      <w:r>
        <w:rPr>
          <w:rFonts w:ascii="Times New Roman" w:eastAsia="Times New Roman" w:hAnsi="Times New Roman" w:cs="Times New Roman"/>
          <w:b/>
          <w:bCs/>
          <w:color w:val="000000"/>
          <w:spacing w:val="0"/>
          <w:w w:val="100"/>
          <w:position w:val="0"/>
        </w:rPr>
        <w:t>2</w:t>
      </w:r>
      <w:r>
        <w:rPr>
          <w:b/>
          <w:bCs/>
          <w:color w:val="000000"/>
          <w:spacing w:val="0"/>
          <w:w w:val="100"/>
          <w:position w:val="0"/>
        </w:rPr>
        <w:t>）监事会成员</w:t>
      </w:r>
    </w:p>
    <w:p>
      <w:pPr>
        <w:pStyle w:val="Style44"/>
        <w:keepNext w:val="0"/>
        <w:keepLines w:val="0"/>
        <w:widowControl w:val="0"/>
        <w:shd w:val="clear" w:color="auto" w:fill="auto"/>
        <w:bidi w:val="0"/>
        <w:spacing w:before="0" w:after="0" w:line="469" w:lineRule="exact"/>
        <w:ind w:left="0" w:right="0" w:firstLine="940"/>
        <w:jc w:val="both"/>
        <w:sectPr>
          <w:headerReference w:type="default" r:id="rId67"/>
          <w:footerReference w:type="default" r:id="rId68"/>
          <w:headerReference w:type="even" r:id="rId69"/>
          <w:footerReference w:type="even" r:id="rId70"/>
          <w:footnotePr>
            <w:pos w:val="pageBottom"/>
            <w:numFmt w:val="decimal"/>
            <w:numRestart w:val="continuous"/>
          </w:footnotePr>
          <w:type w:val="continuous"/>
          <w:pgSz w:w="11900" w:h="16840"/>
          <w:pgMar w:top="1441" w:right="468" w:bottom="1691" w:left="532" w:header="0" w:footer="3" w:gutter="0"/>
          <w:cols w:space="720"/>
          <w:noEndnote/>
          <w:rtlGutter w:val="0"/>
          <w:docGrid w:linePitch="360"/>
        </w:sectPr>
      </w:pPr>
      <w:r>
        <w:rPr>
          <w:b/>
          <w:bCs/>
          <w:color w:val="000000"/>
          <w:spacing w:val="0"/>
          <w:w w:val="100"/>
          <w:position w:val="0"/>
        </w:rPr>
        <w:t>王渝次</w:t>
      </w:r>
      <w:r>
        <w:rPr>
          <w:color w:val="000000"/>
          <w:spacing w:val="0"/>
          <w:w w:val="100"/>
          <w:position w:val="0"/>
        </w:rPr>
        <w:t>先生，公司监事会主席。中国国籍，无境外永久居留权。</w:t>
      </w:r>
      <w:r>
        <w:rPr>
          <w:rFonts w:ascii="Times New Roman" w:eastAsia="Times New Roman" w:hAnsi="Times New Roman" w:cs="Times New Roman"/>
          <w:color w:val="000000"/>
          <w:spacing w:val="0"/>
          <w:w w:val="100"/>
          <w:position w:val="0"/>
        </w:rPr>
        <w:t>1953</w:t>
      </w:r>
      <w:r>
        <w:rPr>
          <w:color w:val="000000"/>
          <w:spacing w:val="0"/>
          <w:w w:val="100"/>
          <w:position w:val="0"/>
        </w:rPr>
        <w:t>年生，研究生学历，经</w:t>
      </w:r>
    </w:p>
    <w:p>
      <w:pPr>
        <w:pStyle w:val="Style44"/>
        <w:keepNext w:val="0"/>
        <w:keepLines w:val="0"/>
        <w:widowControl w:val="0"/>
        <w:shd w:val="clear" w:color="auto" w:fill="auto"/>
        <w:bidi w:val="0"/>
        <w:spacing w:before="0" w:after="40" w:line="475" w:lineRule="exact"/>
        <w:ind w:left="480" w:right="0" w:firstLine="0"/>
        <w:jc w:val="both"/>
      </w:pPr>
      <w:r>
        <w:rPr>
          <w:color w:val="000000"/>
          <w:spacing w:val="0"/>
          <w:w w:val="100"/>
          <w:position w:val="0"/>
        </w:rPr>
        <w:t>济学博士。</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月，任国民技术股份有限公司独立董事。曾任中央财经领导小组 办公室秘书组处长、秘书组副组长、经贸组巡视员；国务院信息化工作办公室综合组副组长、国 家信息化专家委秘书长、网络与信息安全组组长；国家邮政局副局长；中央企业专职外部董事。 现任北京数字认证股份有限公司独立董事。</w:t>
      </w:r>
    </w:p>
    <w:p>
      <w:pPr>
        <w:pStyle w:val="Style44"/>
        <w:keepNext w:val="0"/>
        <w:keepLines w:val="0"/>
        <w:widowControl w:val="0"/>
        <w:shd w:val="clear" w:color="auto" w:fill="auto"/>
        <w:bidi w:val="0"/>
        <w:spacing w:before="0" w:after="0" w:line="461" w:lineRule="exact"/>
        <w:ind w:left="480" w:right="0" w:firstLine="460"/>
        <w:jc w:val="both"/>
      </w:pPr>
      <w:r>
        <w:rPr>
          <w:b/>
          <w:bCs/>
          <w:color w:val="000000"/>
          <w:spacing w:val="0"/>
          <w:w w:val="100"/>
          <w:position w:val="0"/>
        </w:rPr>
        <w:t>杨志红</w:t>
      </w:r>
      <w:r>
        <w:rPr>
          <w:color w:val="000000"/>
          <w:spacing w:val="0"/>
          <w:w w:val="100"/>
          <w:position w:val="0"/>
        </w:rPr>
        <w:t>女士，公司职工代表监事。中国国籍，无境外永久居留权。</w:t>
      </w:r>
      <w:r>
        <w:rPr>
          <w:rFonts w:ascii="Times New Roman" w:eastAsia="Times New Roman" w:hAnsi="Times New Roman" w:cs="Times New Roman"/>
          <w:color w:val="000000"/>
          <w:spacing w:val="0"/>
          <w:w w:val="100"/>
          <w:position w:val="0"/>
        </w:rPr>
        <w:t>1965</w:t>
      </w:r>
      <w:r>
        <w:rPr>
          <w:color w:val="000000"/>
          <w:spacing w:val="0"/>
          <w:w w:val="100"/>
          <w:position w:val="0"/>
        </w:rPr>
        <w:t xml:space="preserve">年出生，大专学历。 </w:t>
      </w:r>
      <w:r>
        <w:rPr>
          <w:rFonts w:ascii="Times New Roman" w:eastAsia="Times New Roman" w:hAnsi="Times New Roman" w:cs="Times New Roman"/>
          <w:color w:val="000000"/>
          <w:spacing w:val="0"/>
          <w:w w:val="100"/>
          <w:position w:val="0"/>
        </w:rPr>
        <w:t>2000</w:t>
      </w:r>
      <w:r>
        <w:rPr>
          <w:color w:val="000000"/>
          <w:spacing w:val="0"/>
          <w:w w:val="100"/>
          <w:position w:val="0"/>
        </w:rPr>
        <w:t>年加入公司，现任公司人力资源部薪酬经理。</w:t>
      </w:r>
    </w:p>
    <w:p>
      <w:pPr>
        <w:pStyle w:val="Style44"/>
        <w:keepNext w:val="0"/>
        <w:keepLines w:val="0"/>
        <w:widowControl w:val="0"/>
        <w:shd w:val="clear" w:color="auto" w:fill="auto"/>
        <w:bidi w:val="0"/>
        <w:spacing w:before="0" w:after="120" w:line="638" w:lineRule="exact"/>
        <w:ind w:left="480" w:right="0" w:firstLine="460"/>
        <w:jc w:val="both"/>
      </w:pPr>
      <w:r>
        <w:rPr>
          <w:b/>
          <w:bCs/>
          <w:color w:val="000000"/>
          <w:spacing w:val="0"/>
          <w:w w:val="100"/>
          <w:position w:val="0"/>
        </w:rPr>
        <w:t>林玉华</w:t>
      </w:r>
      <w:r>
        <w:rPr>
          <w:color w:val="000000"/>
          <w:spacing w:val="0"/>
          <w:w w:val="100"/>
          <w:position w:val="0"/>
        </w:rPr>
        <w:t>女士，公司监事。中国国籍，无境外永久居留权。</w:t>
      </w:r>
      <w:r>
        <w:rPr>
          <w:rFonts w:ascii="Times New Roman" w:eastAsia="Times New Roman" w:hAnsi="Times New Roman" w:cs="Times New Roman"/>
          <w:color w:val="000000"/>
          <w:spacing w:val="0"/>
          <w:w w:val="100"/>
          <w:position w:val="0"/>
        </w:rPr>
        <w:t>1979</w:t>
      </w:r>
      <w:r>
        <w:rPr>
          <w:color w:val="000000"/>
          <w:spacing w:val="0"/>
          <w:w w:val="100"/>
          <w:position w:val="0"/>
        </w:rPr>
        <w:t>年出生，本科学历。</w:t>
      </w:r>
      <w:r>
        <w:rPr>
          <w:rFonts w:ascii="Times New Roman" w:eastAsia="Times New Roman" w:hAnsi="Times New Roman" w:cs="Times New Roman"/>
          <w:color w:val="000000"/>
          <w:spacing w:val="0"/>
          <w:w w:val="100"/>
          <w:position w:val="0"/>
        </w:rPr>
        <w:t>2007</w:t>
      </w:r>
      <w:r>
        <w:rPr>
          <w:color w:val="000000"/>
          <w:spacing w:val="0"/>
          <w:w w:val="100"/>
          <w:position w:val="0"/>
        </w:rPr>
        <w:t>年 加入公司，现任公司计划财务部副总监。</w:t>
      </w:r>
    </w:p>
    <w:p>
      <w:pPr>
        <w:pStyle w:val="Style44"/>
        <w:keepNext w:val="0"/>
        <w:keepLines w:val="0"/>
        <w:widowControl w:val="0"/>
        <w:shd w:val="clear" w:color="auto" w:fill="auto"/>
        <w:bidi w:val="0"/>
        <w:spacing w:before="0" w:after="80" w:line="472" w:lineRule="exact"/>
        <w:ind w:left="0" w:right="0" w:firstLine="820"/>
        <w:jc w:val="both"/>
      </w:pPr>
      <w:bookmarkStart w:id="508" w:name="bookmark508"/>
      <w:r>
        <w:rPr>
          <w:b/>
          <w:bCs/>
          <w:color w:val="000000"/>
          <w:spacing w:val="0"/>
          <w:w w:val="100"/>
          <w:position w:val="0"/>
        </w:rPr>
        <w:t>（</w:t>
      </w:r>
      <w:bookmarkEnd w:id="508"/>
      <w:r>
        <w:rPr>
          <w:rFonts w:ascii="Times New Roman" w:eastAsia="Times New Roman" w:hAnsi="Times New Roman" w:cs="Times New Roman"/>
          <w:b/>
          <w:bCs/>
          <w:color w:val="000000"/>
          <w:spacing w:val="0"/>
          <w:w w:val="100"/>
          <w:position w:val="0"/>
        </w:rPr>
        <w:t>3</w:t>
      </w:r>
      <w:r>
        <w:rPr>
          <w:b/>
          <w:bCs/>
          <w:color w:val="000000"/>
          <w:spacing w:val="0"/>
          <w:w w:val="100"/>
          <w:position w:val="0"/>
        </w:rPr>
        <w:t>）高级管理人员</w:t>
      </w:r>
    </w:p>
    <w:p>
      <w:pPr>
        <w:pStyle w:val="Style44"/>
        <w:keepNext w:val="0"/>
        <w:keepLines w:val="0"/>
        <w:widowControl w:val="0"/>
        <w:shd w:val="clear" w:color="auto" w:fill="auto"/>
        <w:bidi w:val="0"/>
        <w:spacing w:before="0" w:after="40" w:line="472" w:lineRule="exact"/>
        <w:ind w:left="0" w:right="0" w:firstLine="940"/>
        <w:jc w:val="both"/>
      </w:pPr>
      <w:r>
        <w:rPr>
          <w:b/>
          <w:bCs/>
          <w:color w:val="000000"/>
          <w:spacing w:val="0"/>
          <w:w w:val="100"/>
          <w:position w:val="0"/>
        </w:rPr>
        <w:t>孙迎彤</w:t>
      </w:r>
      <w:r>
        <w:rPr>
          <w:color w:val="000000"/>
          <w:spacing w:val="0"/>
          <w:w w:val="100"/>
          <w:position w:val="0"/>
        </w:rPr>
        <w:t>先生，公司副董事长、总经理。个人简历见上“（</w:t>
      </w:r>
      <w:r>
        <w:rPr>
          <w:rFonts w:ascii="Times New Roman" w:eastAsia="Times New Roman" w:hAnsi="Times New Roman" w:cs="Times New Roman"/>
          <w:color w:val="000000"/>
          <w:spacing w:val="0"/>
          <w:w w:val="100"/>
          <w:position w:val="0"/>
        </w:rPr>
        <w:t>1</w:t>
      </w:r>
      <w:r>
        <w:rPr>
          <w:color w:val="000000"/>
          <w:spacing w:val="0"/>
          <w:w w:val="100"/>
          <w:position w:val="0"/>
        </w:rPr>
        <w:t>）董事会成员”。</w:t>
      </w:r>
    </w:p>
    <w:p>
      <w:pPr>
        <w:pStyle w:val="Style44"/>
        <w:keepNext w:val="0"/>
        <w:keepLines w:val="0"/>
        <w:widowControl w:val="0"/>
        <w:shd w:val="clear" w:color="auto" w:fill="auto"/>
        <w:bidi w:val="0"/>
        <w:spacing w:before="0" w:after="40" w:line="472" w:lineRule="exact"/>
        <w:ind w:left="0" w:right="0" w:firstLine="940"/>
        <w:jc w:val="both"/>
      </w:pPr>
      <w:r>
        <w:rPr>
          <w:b/>
          <w:bCs/>
          <w:color w:val="000000"/>
          <w:spacing w:val="0"/>
          <w:w w:val="100"/>
          <w:position w:val="0"/>
        </w:rPr>
        <w:t>朱永民</w:t>
      </w:r>
      <w:r>
        <w:rPr>
          <w:color w:val="000000"/>
          <w:spacing w:val="0"/>
          <w:w w:val="100"/>
          <w:position w:val="0"/>
        </w:rPr>
        <w:t>先生，公司副董事、副总经理。个人简历见上“（</w:t>
      </w:r>
      <w:r>
        <w:rPr>
          <w:rFonts w:ascii="Times New Roman" w:eastAsia="Times New Roman" w:hAnsi="Times New Roman" w:cs="Times New Roman"/>
          <w:color w:val="000000"/>
          <w:spacing w:val="0"/>
          <w:w w:val="100"/>
          <w:position w:val="0"/>
        </w:rPr>
        <w:t>1</w:t>
      </w:r>
      <w:r>
        <w:rPr>
          <w:color w:val="000000"/>
          <w:spacing w:val="0"/>
          <w:w w:val="100"/>
          <w:position w:val="0"/>
        </w:rPr>
        <w:t>）董事会成员”。</w:t>
      </w:r>
    </w:p>
    <w:p>
      <w:pPr>
        <w:pStyle w:val="Style44"/>
        <w:keepNext w:val="0"/>
        <w:keepLines w:val="0"/>
        <w:widowControl w:val="0"/>
        <w:shd w:val="clear" w:color="auto" w:fill="auto"/>
        <w:bidi w:val="0"/>
        <w:spacing w:before="0" w:after="40" w:line="469" w:lineRule="exact"/>
        <w:ind w:left="480" w:right="0" w:firstLine="460"/>
        <w:jc w:val="both"/>
      </w:pPr>
      <w:r>
        <w:rPr>
          <w:b/>
          <w:bCs/>
          <w:color w:val="000000"/>
          <w:spacing w:val="0"/>
          <w:w w:val="100"/>
          <w:position w:val="0"/>
        </w:rPr>
        <w:t>梁洁</w:t>
      </w:r>
      <w:r>
        <w:rPr>
          <w:color w:val="000000"/>
          <w:spacing w:val="0"/>
          <w:w w:val="100"/>
          <w:position w:val="0"/>
        </w:rPr>
        <w:t>先生，公司副总经理。美国国籍，</w:t>
      </w:r>
      <w:r>
        <w:rPr>
          <w:rFonts w:ascii="Times New Roman" w:eastAsia="Times New Roman" w:hAnsi="Times New Roman" w:cs="Times New Roman"/>
          <w:color w:val="000000"/>
          <w:spacing w:val="0"/>
          <w:w w:val="100"/>
          <w:position w:val="0"/>
        </w:rPr>
        <w:t>1961</w:t>
      </w:r>
      <w:r>
        <w:rPr>
          <w:color w:val="000000"/>
          <w:spacing w:val="0"/>
          <w:w w:val="100"/>
          <w:position w:val="0"/>
        </w:rPr>
        <w:t>年出生，本科学历，高级工程师。曾任中国华大、 新加坡</w:t>
      </w:r>
      <w:r>
        <w:rPr>
          <w:rFonts w:ascii="Times New Roman" w:eastAsia="Times New Roman" w:hAnsi="Times New Roman" w:cs="Times New Roman"/>
          <w:color w:val="000000"/>
          <w:spacing w:val="0"/>
          <w:w w:val="100"/>
          <w:position w:val="0"/>
        </w:rPr>
        <w:t>TRITECH</w:t>
      </w:r>
      <w:r>
        <w:rPr>
          <w:color w:val="000000"/>
          <w:spacing w:val="0"/>
          <w:w w:val="100"/>
          <w:position w:val="0"/>
        </w:rPr>
        <w:t>公司、美国</w:t>
      </w:r>
      <w:r>
        <w:rPr>
          <w:rFonts w:ascii="Times New Roman" w:eastAsia="Times New Roman" w:hAnsi="Times New Roman" w:cs="Times New Roman"/>
          <w:color w:val="000000"/>
          <w:spacing w:val="0"/>
          <w:w w:val="100"/>
          <w:position w:val="0"/>
        </w:rPr>
        <w:t>SI LICON ENGINEERING</w:t>
      </w:r>
      <w:r>
        <w:rPr>
          <w:color w:val="000000"/>
          <w:spacing w:val="0"/>
          <w:w w:val="100"/>
          <w:position w:val="0"/>
        </w:rPr>
        <w:t>公司工程师、高级工程师，美国</w:t>
      </w:r>
      <w:r>
        <w:rPr>
          <w:rFonts w:ascii="Times New Roman" w:eastAsia="Times New Roman" w:hAnsi="Times New Roman" w:cs="Times New Roman"/>
          <w:color w:val="000000"/>
          <w:spacing w:val="0"/>
          <w:w w:val="100"/>
          <w:position w:val="0"/>
        </w:rPr>
        <w:t>D ESO C</w:t>
      </w:r>
      <w:r>
        <w:rPr>
          <w:color w:val="000000"/>
          <w:spacing w:val="0"/>
          <w:w w:val="100"/>
          <w:position w:val="0"/>
        </w:rPr>
        <w:t>公 司、</w:t>
      </w:r>
      <w:r>
        <w:rPr>
          <w:rFonts w:ascii="Times New Roman" w:eastAsia="Times New Roman" w:hAnsi="Times New Roman" w:cs="Times New Roman"/>
          <w:color w:val="000000"/>
          <w:spacing w:val="0"/>
          <w:w w:val="100"/>
          <w:position w:val="0"/>
        </w:rPr>
        <w:t>MXH Device</w:t>
      </w:r>
      <w:r>
        <w:rPr>
          <w:color w:val="000000"/>
          <w:spacing w:val="0"/>
          <w:w w:val="100"/>
          <w:position w:val="0"/>
        </w:rPr>
        <w:t>公司技术总监、副总经理，国民技术股份有限公司美国全资子公司</w:t>
      </w:r>
      <w:r>
        <w:rPr>
          <w:rFonts w:ascii="Times New Roman" w:eastAsia="Times New Roman" w:hAnsi="Times New Roman" w:cs="Times New Roman"/>
          <w:color w:val="000000"/>
          <w:spacing w:val="0"/>
          <w:w w:val="100"/>
          <w:position w:val="0"/>
        </w:rPr>
        <w:t xml:space="preserve">Nations Technologies （USA） Inc </w:t>
      </w:r>
      <w:r>
        <w:rPr>
          <w:rFonts w:ascii="Times New Roman" w:eastAsia="Times New Roman" w:hAnsi="Times New Roman" w:cs="Times New Roman"/>
          <w:color w:val="000000"/>
          <w:spacing w:val="0"/>
          <w:w w:val="100"/>
          <w:position w:val="0"/>
        </w:rPr>
        <w:t>.</w:t>
      </w:r>
      <w:r>
        <w:rPr>
          <w:color w:val="000000"/>
          <w:spacing w:val="0"/>
          <w:w w:val="100"/>
          <w:position w:val="0"/>
        </w:rPr>
        <w:t>首席专家。</w:t>
      </w:r>
    </w:p>
    <w:p>
      <w:pPr>
        <w:pStyle w:val="Style44"/>
        <w:keepNext w:val="0"/>
        <w:keepLines w:val="0"/>
        <w:widowControl w:val="0"/>
        <w:shd w:val="clear" w:color="auto" w:fill="auto"/>
        <w:bidi w:val="0"/>
        <w:spacing w:before="0" w:after="40" w:line="472" w:lineRule="exact"/>
        <w:ind w:left="480" w:right="0" w:firstLine="460"/>
        <w:jc w:val="both"/>
      </w:pPr>
      <w:r>
        <w:rPr>
          <w:b/>
          <w:bCs/>
          <w:color w:val="000000"/>
          <w:spacing w:val="0"/>
          <w:w w:val="100"/>
          <w:position w:val="0"/>
        </w:rPr>
        <w:t>徐辉</w:t>
      </w:r>
      <w:r>
        <w:rPr>
          <w:color w:val="000000"/>
          <w:spacing w:val="0"/>
          <w:w w:val="100"/>
          <w:position w:val="0"/>
        </w:rPr>
        <w:t>先生，公司副总经理、财务总监。中国国籍，无境外永久居留权。</w:t>
      </w:r>
      <w:r>
        <w:rPr>
          <w:rFonts w:ascii="Times New Roman" w:eastAsia="Times New Roman" w:hAnsi="Times New Roman" w:cs="Times New Roman"/>
          <w:color w:val="000000"/>
          <w:spacing w:val="0"/>
          <w:w w:val="100"/>
          <w:position w:val="0"/>
        </w:rPr>
        <w:t>1984</w:t>
      </w:r>
      <w:r>
        <w:rPr>
          <w:color w:val="000000"/>
          <w:spacing w:val="0"/>
          <w:w w:val="100"/>
          <w:position w:val="0"/>
        </w:rPr>
        <w:t>年出生，本科学 历，中国注册会计师。历任天健会计师事务所项目经理、高级项目经理，浙江海亮资本投资管理 有限公司投资总监，长城证券股份有限公司投资银行事业部业务董事，第一创业投资管理有限公 司风险管理总监等。</w:t>
      </w:r>
    </w:p>
    <w:p>
      <w:pPr>
        <w:pStyle w:val="Style44"/>
        <w:keepNext w:val="0"/>
        <w:keepLines w:val="0"/>
        <w:widowControl w:val="0"/>
        <w:shd w:val="clear" w:color="auto" w:fill="auto"/>
        <w:bidi w:val="0"/>
        <w:spacing w:before="0" w:after="40" w:line="473" w:lineRule="exact"/>
        <w:ind w:left="480" w:right="0" w:firstLine="460"/>
        <w:jc w:val="both"/>
      </w:pPr>
      <w:r>
        <w:rPr>
          <w:b/>
          <w:bCs/>
          <w:color w:val="000000"/>
          <w:spacing w:val="0"/>
          <w:w w:val="100"/>
          <w:position w:val="0"/>
        </w:rPr>
        <w:t>陈子勤</w:t>
      </w:r>
      <w:r>
        <w:rPr>
          <w:color w:val="000000"/>
          <w:spacing w:val="0"/>
          <w:w w:val="100"/>
          <w:position w:val="0"/>
        </w:rPr>
        <w:t>先生，公司副总经理。中国国籍，无境外永久居留权，</w:t>
      </w:r>
      <w:r>
        <w:rPr>
          <w:rFonts w:ascii="Times New Roman" w:eastAsia="Times New Roman" w:hAnsi="Times New Roman" w:cs="Times New Roman"/>
          <w:color w:val="000000"/>
          <w:spacing w:val="0"/>
          <w:w w:val="100"/>
          <w:position w:val="0"/>
        </w:rPr>
        <w:t>1975</w:t>
      </w:r>
      <w:r>
        <w:rPr>
          <w:color w:val="000000"/>
          <w:spacing w:val="0"/>
          <w:w w:val="100"/>
          <w:position w:val="0"/>
        </w:rPr>
        <w:t>年生，研究生学历。先后 在大唐微电子技术有限公司从事技术和市场工作，任工程师、主管、经理等；</w:t>
      </w:r>
      <w:r>
        <w:rPr>
          <w:rFonts w:ascii="Times New Roman" w:eastAsia="Times New Roman" w:hAnsi="Times New Roman" w:cs="Times New Roman"/>
          <w:color w:val="000000"/>
          <w:spacing w:val="0"/>
          <w:w w:val="100"/>
          <w:position w:val="0"/>
        </w:rPr>
        <w:t>2009</w:t>
      </w:r>
      <w:r>
        <w:rPr>
          <w:color w:val="000000"/>
          <w:spacing w:val="0"/>
          <w:w w:val="100"/>
          <w:position w:val="0"/>
        </w:rPr>
        <w:t>年到</w:t>
      </w:r>
      <w:r>
        <w:rPr>
          <w:rFonts w:ascii="Times New Roman" w:eastAsia="Times New Roman" w:hAnsi="Times New Roman" w:cs="Times New Roman"/>
          <w:color w:val="000000"/>
          <w:spacing w:val="0"/>
          <w:w w:val="100"/>
          <w:position w:val="0"/>
        </w:rPr>
        <w:t>2016</w:t>
      </w:r>
      <w:r>
        <w:rPr>
          <w:color w:val="000000"/>
          <w:spacing w:val="0"/>
          <w:w w:val="100"/>
          <w:position w:val="0"/>
        </w:rPr>
        <w:t>年， 先后担任国民技术股份有限公司高级市场经理、销售总监、事业部总经理等。</w:t>
      </w:r>
    </w:p>
    <w:p>
      <w:pPr>
        <w:pStyle w:val="Style44"/>
        <w:keepNext w:val="0"/>
        <w:keepLines w:val="0"/>
        <w:widowControl w:val="0"/>
        <w:shd w:val="clear" w:color="auto" w:fill="auto"/>
        <w:bidi w:val="0"/>
        <w:spacing w:before="0" w:after="280" w:line="460" w:lineRule="exact"/>
        <w:ind w:left="480" w:right="0" w:firstLine="460"/>
        <w:jc w:val="both"/>
      </w:pPr>
      <w:r>
        <w:rPr>
          <w:b/>
          <w:bCs/>
          <w:color w:val="000000"/>
          <w:spacing w:val="0"/>
          <w:w w:val="100"/>
          <w:position w:val="0"/>
        </w:rPr>
        <w:t>肖德银</w:t>
      </w:r>
      <w:r>
        <w:rPr>
          <w:color w:val="000000"/>
          <w:spacing w:val="0"/>
          <w:w w:val="100"/>
          <w:position w:val="0"/>
        </w:rPr>
        <w:t>先生，公司副总经理。中国国籍，无境外永久居留权。</w:t>
      </w:r>
      <w:r>
        <w:rPr>
          <w:rFonts w:ascii="Times New Roman" w:eastAsia="Times New Roman" w:hAnsi="Times New Roman" w:cs="Times New Roman"/>
          <w:color w:val="000000"/>
          <w:spacing w:val="0"/>
          <w:w w:val="100"/>
          <w:position w:val="0"/>
        </w:rPr>
        <w:t>1980</w:t>
      </w:r>
      <w:r>
        <w:rPr>
          <w:color w:val="000000"/>
          <w:spacing w:val="0"/>
          <w:w w:val="100"/>
          <w:position w:val="0"/>
        </w:rPr>
        <w:t>年出生，本科学历。</w:t>
      </w:r>
      <w:r>
        <w:rPr>
          <w:rFonts w:ascii="Times New Roman" w:eastAsia="Times New Roman" w:hAnsi="Times New Roman" w:cs="Times New Roman"/>
          <w:color w:val="000000"/>
          <w:spacing w:val="0"/>
          <w:w w:val="100"/>
          <w:position w:val="0"/>
        </w:rPr>
        <w:t xml:space="preserve">2005 </w:t>
      </w:r>
      <w:r>
        <w:rPr>
          <w:color w:val="000000"/>
          <w:spacing w:val="0"/>
          <w:w w:val="100"/>
          <w:position w:val="0"/>
        </w:rPr>
        <w:t>年加入公司，历任公司部门经理，部门总监，总经理助理等工作岗位。曾先后负责、参与公司</w:t>
      </w:r>
      <w:r>
        <w:rPr>
          <w:rFonts w:ascii="Times New Roman" w:eastAsia="Times New Roman" w:hAnsi="Times New Roman" w:cs="Times New Roman"/>
          <w:color w:val="000000"/>
          <w:spacing w:val="0"/>
          <w:w w:val="100"/>
          <w:position w:val="0"/>
        </w:rPr>
        <w:t xml:space="preserve">MCU </w:t>
      </w:r>
      <w:r>
        <w:rPr>
          <w:color w:val="000000"/>
          <w:spacing w:val="0"/>
          <w:w w:val="100"/>
          <w:position w:val="0"/>
        </w:rPr>
        <w:t>产品、安全芯片产品、</w:t>
      </w:r>
      <w:r>
        <w:rPr>
          <w:rFonts w:ascii="Times New Roman" w:eastAsia="Times New Roman" w:hAnsi="Times New Roman" w:cs="Times New Roman"/>
          <w:color w:val="000000"/>
          <w:spacing w:val="0"/>
          <w:w w:val="100"/>
          <w:position w:val="0"/>
        </w:rPr>
        <w:t>RCC</w:t>
      </w:r>
      <w:r>
        <w:rPr>
          <w:color w:val="000000"/>
          <w:spacing w:val="0"/>
          <w:w w:val="100"/>
          <w:position w:val="0"/>
        </w:rPr>
        <w:t>产品研发及推广，</w:t>
      </w:r>
      <w:r>
        <w:rPr>
          <w:rFonts w:ascii="Times New Roman" w:eastAsia="Times New Roman" w:hAnsi="Times New Roman" w:cs="Times New Roman"/>
          <w:color w:val="000000"/>
          <w:spacing w:val="0"/>
          <w:w w:val="100"/>
          <w:position w:val="0"/>
        </w:rPr>
        <w:t>16</w:t>
      </w:r>
      <w:r>
        <w:rPr>
          <w:color w:val="000000"/>
          <w:spacing w:val="0"/>
          <w:w w:val="100"/>
          <w:position w:val="0"/>
        </w:rPr>
        <w:t>件核心专利发明人，一件获得中国专利金奖、一 件获得中国专利优秀奖，一件专利获深圳市科学技术专利奖，并获得广东省科学技术奖三等奖， 深圳市领军人才。</w:t>
      </w:r>
    </w:p>
    <w:p>
      <w:pPr>
        <w:pStyle w:val="Style44"/>
        <w:keepNext w:val="0"/>
        <w:keepLines w:val="0"/>
        <w:widowControl w:val="0"/>
        <w:shd w:val="clear" w:color="auto" w:fill="auto"/>
        <w:bidi w:val="0"/>
        <w:spacing w:before="0" w:after="40" w:line="240" w:lineRule="auto"/>
        <w:ind w:left="0" w:right="0" w:firstLine="940"/>
        <w:jc w:val="both"/>
      </w:pPr>
      <w:r>
        <w:rPr>
          <w:b/>
          <w:bCs/>
          <w:color w:val="000000"/>
          <w:spacing w:val="0"/>
          <w:w w:val="100"/>
          <w:position w:val="0"/>
        </w:rPr>
        <w:t>叶艳桃</w:t>
      </w:r>
      <w:r>
        <w:rPr>
          <w:color w:val="000000"/>
          <w:spacing w:val="0"/>
          <w:w w:val="100"/>
          <w:position w:val="0"/>
        </w:rPr>
        <w:t>女士，公司董事、董事会秘书。个人简历见上“（</w:t>
      </w:r>
      <w:r>
        <w:rPr>
          <w:rFonts w:ascii="Times New Roman" w:eastAsia="Times New Roman" w:hAnsi="Times New Roman" w:cs="Times New Roman"/>
          <w:color w:val="000000"/>
          <w:spacing w:val="0"/>
          <w:w w:val="100"/>
          <w:position w:val="0"/>
        </w:rPr>
        <w:t>1</w:t>
      </w:r>
      <w:r>
        <w:rPr>
          <w:color w:val="000000"/>
          <w:spacing w:val="0"/>
          <w:w w:val="100"/>
          <w:position w:val="0"/>
        </w:rPr>
        <w:t>）董事会成员”。</w:t>
      </w:r>
    </w:p>
    <w:p>
      <w:pPr>
        <w:pStyle w:val="Style28"/>
        <w:keepNext w:val="0"/>
        <w:keepLines w:val="0"/>
        <w:widowControl w:val="0"/>
        <w:shd w:val="clear" w:color="auto" w:fill="auto"/>
        <w:bidi w:val="0"/>
        <w:spacing w:before="0" w:after="40" w:line="240" w:lineRule="auto"/>
        <w:ind w:left="0" w:right="0" w:firstLine="0"/>
        <w:jc w:val="center"/>
        <w:sectPr>
          <w:headerReference w:type="default" r:id="rId71"/>
          <w:footerReference w:type="default" r:id="rId72"/>
          <w:headerReference w:type="even" r:id="rId73"/>
          <w:footerReference w:type="even" r:id="rId74"/>
          <w:footnotePr>
            <w:pos w:val="pageBottom"/>
            <w:numFmt w:val="decimal"/>
            <w:numRestart w:val="continuous"/>
          </w:footnotePr>
          <w:pgSz w:w="11900" w:h="16840"/>
          <w:pgMar w:top="1570" w:right="644" w:bottom="994" w:left="644" w:header="0" w:footer="566" w:gutter="0"/>
          <w:pgNumType w:start="78"/>
          <w:cols w:space="720"/>
          <w:noEndnote/>
          <w:rtlGutter w:val="0"/>
          <w:docGrid w:linePitch="360"/>
        </w:sectPr>
      </w:pPr>
      <w:r>
        <w:rPr>
          <w:color w:val="000000"/>
          <w:spacing w:val="0"/>
          <w:w w:val="100"/>
          <w:position w:val="0"/>
        </w:rPr>
        <w:t>77</w:t>
      </w:r>
    </w:p>
    <w:p>
      <w:pPr>
        <w:pStyle w:val="Style44"/>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在股东单位任职情况</w:t>
      </w:r>
    </w:p>
    <w:p>
      <w:pPr>
        <w:pStyle w:val="Style44"/>
        <w:keepNext w:val="0"/>
        <w:keepLines w:val="0"/>
        <w:widowControl w:val="0"/>
        <w:shd w:val="clear" w:color="auto" w:fill="auto"/>
        <w:bidi w:val="0"/>
        <w:spacing w:before="0" w:after="100" w:line="240" w:lineRule="auto"/>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4"/>
        <w:keepNext w:val="0"/>
        <w:keepLines w:val="0"/>
        <w:widowControl w:val="0"/>
        <w:shd w:val="clear" w:color="auto" w:fill="auto"/>
        <w:bidi w:val="0"/>
        <w:spacing w:before="0" w:after="160" w:line="427" w:lineRule="exact"/>
        <w:ind w:left="420" w:right="0" w:firstLine="40"/>
        <w:jc w:val="left"/>
      </w:pPr>
      <w:r>
        <w:rPr>
          <w:color w:val="000000"/>
          <w:spacing w:val="0"/>
          <w:w w:val="100"/>
          <w:position w:val="0"/>
        </w:rPr>
        <w:t xml:space="preserve">在其他单位任职情况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65"/>
        <w:gridCol w:w="3830"/>
        <w:gridCol w:w="2832"/>
        <w:gridCol w:w="171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在其他单位担任的职务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在其他单位是否 领取报酬津贴</w:t>
            </w:r>
          </w:p>
        </w:tc>
      </w:tr>
      <w:tr>
        <w:trPr>
          <w:trHeight w:val="52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俞鹏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烟台台海马努尔核电设备股份有限公司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明光浩淼安防科技股份有限公司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重庆新铝时代科技股份有限公司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2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中海油安全技术服务有限公司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1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孟亚平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新疆熙菱信息技术股份有限公司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山石网科通信技术股份有限公司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2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肖幼美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国信证券股份公司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天音通信控股股份有限公司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深圳市新城市规划建筑设计股份有限公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刘震国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德恒律师事务所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管理合伙人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王渝次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北京数字认证股份有限公司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28" w:hRule="exact"/>
        </w:trPr>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3264" w:val="left"/>
              </w:tabs>
              <w:bidi w:val="0"/>
              <w:spacing w:before="0" w:after="0" w:line="240" w:lineRule="auto"/>
              <w:ind w:left="0" w:right="0" w:firstLine="0"/>
              <w:jc w:val="left"/>
              <w:rPr>
                <w:sz w:val="20"/>
                <w:szCs w:val="20"/>
              </w:rPr>
            </w:pPr>
            <w:r>
              <w:rPr>
                <w:color w:val="000000"/>
                <w:spacing w:val="0"/>
                <w:w w:val="100"/>
                <w:position w:val="0"/>
                <w:sz w:val="20"/>
                <w:szCs w:val="20"/>
              </w:rPr>
              <w:t>在其他单位任职情况的说明</w:t>
              <w:tab/>
              <w:t>无</w:t>
            </w:r>
          </w:p>
        </w:tc>
      </w:tr>
    </w:tbl>
    <w:p>
      <w:pPr>
        <w:widowControl w:val="0"/>
        <w:spacing w:after="239" w:line="1" w:lineRule="exact"/>
      </w:pPr>
    </w:p>
    <w:p>
      <w:pPr>
        <w:pStyle w:val="Style44"/>
        <w:keepNext w:val="0"/>
        <w:keepLines w:val="0"/>
        <w:widowControl w:val="0"/>
        <w:shd w:val="clear" w:color="auto" w:fill="auto"/>
        <w:bidi w:val="0"/>
        <w:spacing w:before="0" w:after="40" w:line="552" w:lineRule="exact"/>
        <w:ind w:left="420" w:right="0" w:firstLine="4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2"/>
        <w:keepNext/>
        <w:keepLines/>
        <w:widowControl w:val="0"/>
        <w:shd w:val="clear" w:color="auto" w:fill="auto"/>
        <w:bidi w:val="0"/>
        <w:spacing w:before="0" w:after="40" w:line="552" w:lineRule="exact"/>
        <w:ind w:left="420" w:right="0" w:firstLine="40"/>
        <w:jc w:val="left"/>
      </w:pPr>
      <w:bookmarkStart w:id="509" w:name="bookmark509"/>
      <w:bookmarkStart w:id="510" w:name="bookmark510"/>
      <w:bookmarkStart w:id="511" w:name="bookmark511"/>
      <w:bookmarkStart w:id="512" w:name="bookmark512"/>
      <w:r>
        <w:rPr>
          <w:color w:val="000000"/>
          <w:spacing w:val="0"/>
          <w:w w:val="100"/>
          <w:position w:val="0"/>
        </w:rPr>
        <w:t>四</w:t>
      </w:r>
      <w:bookmarkEnd w:id="511"/>
      <w:r>
        <w:rPr>
          <w:color w:val="000000"/>
          <w:spacing w:val="0"/>
          <w:w w:val="100"/>
          <w:position w:val="0"/>
        </w:rPr>
        <w:t>、董事、监事、高级管理人员报酬情况</w:t>
      </w:r>
      <w:bookmarkEnd w:id="509"/>
      <w:bookmarkEnd w:id="510"/>
      <w:bookmarkEnd w:id="512"/>
    </w:p>
    <w:p>
      <w:pPr>
        <w:pStyle w:val="Style44"/>
        <w:keepNext w:val="0"/>
        <w:keepLines w:val="0"/>
        <w:widowControl w:val="0"/>
        <w:shd w:val="clear" w:color="auto" w:fill="auto"/>
        <w:bidi w:val="0"/>
        <w:spacing w:before="0" w:after="100" w:line="552" w:lineRule="exact"/>
        <w:ind w:left="420" w:right="0" w:firstLine="40"/>
        <w:jc w:val="left"/>
        <w:rPr>
          <w:sz w:val="20"/>
          <w:szCs w:val="20"/>
        </w:rPr>
      </w:pPr>
      <w:r>
        <w:rPr>
          <w:color w:val="000000"/>
          <w:spacing w:val="0"/>
          <w:w w:val="100"/>
          <w:position w:val="0"/>
          <w:sz w:val="20"/>
          <w:szCs w:val="20"/>
        </w:rPr>
        <w:t>董事、监事、高级管理人员报酬的决策程序、确定依据、实际支付情况</w:t>
      </w:r>
    </w:p>
    <w:tbl>
      <w:tblPr>
        <w:tblOverlap w:val="never"/>
        <w:jc w:val="center"/>
        <w:tblLayout w:type="fixed"/>
      </w:tblPr>
      <w:tblGrid>
        <w:gridCol w:w="2981"/>
        <w:gridCol w:w="6782"/>
      </w:tblGrid>
      <w:tr>
        <w:trPr>
          <w:trHeight w:val="1416"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20"/>
                <w:szCs w:val="20"/>
              </w:rPr>
              <w:t>董事、监事、高级管理人员报酬 的决策程序</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2" w:lineRule="exact"/>
              <w:ind w:left="0" w:right="0" w:firstLine="0"/>
              <w:jc w:val="both"/>
              <w:rPr>
                <w:sz w:val="20"/>
                <w:szCs w:val="20"/>
              </w:rPr>
            </w:pPr>
            <w:r>
              <w:rPr>
                <w:color w:val="000000"/>
                <w:spacing w:val="0"/>
                <w:w w:val="100"/>
                <w:position w:val="0"/>
                <w:sz w:val="20"/>
                <w:szCs w:val="20"/>
              </w:rPr>
              <w:t>根据《公司章程》等有关规定，公司的董事、监事的薪酬由公司股东大会 决定，高级管理人员的薪酬由公司董事会决定。公司董事、监事的薪酬、 津贴经董事会审议批准后，提交股东大会审议通过后实施。</w:t>
            </w:r>
          </w:p>
        </w:tc>
      </w:tr>
    </w:tbl>
    <w:p>
      <w:pPr>
        <w:spacing w:lineRule="exact" w:line="1"/>
        <w:rPr>
          <w:sz w:val="2"/>
          <w:szCs w:val="2"/>
        </w:rPr>
      </w:pPr>
      <w:r>
        <w:br w:type="page"/>
      </w:r>
    </w:p>
    <w:tbl>
      <w:tblPr>
        <w:tblOverlap w:val="never"/>
        <w:jc w:val="center"/>
        <w:tblLayout w:type="fixed"/>
      </w:tblPr>
      <w:tblGrid>
        <w:gridCol w:w="2981"/>
        <w:gridCol w:w="6782"/>
      </w:tblGrid>
      <w:tr>
        <w:trPr>
          <w:trHeight w:val="117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20"/>
                <w:szCs w:val="20"/>
              </w:rPr>
              <w:t>董事、监事、高级管理人员报酬 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2" w:lineRule="exact"/>
              <w:ind w:left="0" w:right="0" w:firstLine="0"/>
              <w:jc w:val="both"/>
              <w:rPr>
                <w:sz w:val="20"/>
                <w:szCs w:val="20"/>
              </w:rPr>
            </w:pPr>
            <w:r>
              <w:rPr>
                <w:color w:val="000000"/>
                <w:spacing w:val="0"/>
                <w:w w:val="100"/>
                <w:position w:val="0"/>
                <w:sz w:val="20"/>
                <w:szCs w:val="20"/>
              </w:rPr>
              <w:t>主要依据公司经营状况、管理岗位的主要范围与职责、重要性以及对业绩 完成情况进行考核来确定；独立董事的津贴标准参照本地区、同行业上市 公司的整体水平。</w:t>
            </w:r>
          </w:p>
        </w:tc>
      </w:tr>
      <w:tr>
        <w:trPr>
          <w:trHeight w:val="979"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370" w:lineRule="exact"/>
              <w:ind w:left="0" w:right="0" w:firstLine="0"/>
              <w:jc w:val="left"/>
              <w:rPr>
                <w:sz w:val="20"/>
                <w:szCs w:val="20"/>
              </w:rPr>
            </w:pPr>
            <w:r>
              <w:rPr>
                <w:color w:val="000000"/>
                <w:spacing w:val="0"/>
                <w:w w:val="100"/>
                <w:position w:val="0"/>
                <w:sz w:val="20"/>
                <w:szCs w:val="20"/>
              </w:rPr>
              <w:t>董事、监事和高级管理人员报酬 的实际支付情况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20"/>
                <w:szCs w:val="20"/>
              </w:rPr>
            </w:pPr>
            <w:r>
              <w:rPr>
                <w:color w:val="000000"/>
                <w:spacing w:val="0"/>
                <w:w w:val="100"/>
                <w:position w:val="0"/>
                <w:sz w:val="20"/>
                <w:szCs w:val="20"/>
              </w:rPr>
              <w:t>董事、监事和高级管理人员薪酬已按年度薪酬计划支付。</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年共支付</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676.46 </w:t>
            </w:r>
            <w:r>
              <w:rPr>
                <w:color w:val="000000"/>
                <w:spacing w:val="0"/>
                <w:w w:val="100"/>
                <w:position w:val="0"/>
                <w:sz w:val="20"/>
                <w:szCs w:val="20"/>
              </w:rPr>
              <w:t>万元。</w:t>
            </w:r>
          </w:p>
        </w:tc>
      </w:tr>
    </w:tbl>
    <w:p>
      <w:pPr>
        <w:widowControl w:val="0"/>
        <w:spacing w:after="419" w:line="1" w:lineRule="exact"/>
      </w:pPr>
    </w:p>
    <w:p>
      <w:pPr>
        <w:pStyle w:val="Style44"/>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公司报告期内董事、监事和高级管理人员报酬情况</w:t>
      </w:r>
    </w:p>
    <w:p>
      <w:pPr>
        <w:pStyle w:val="Style38"/>
        <w:keepNext w:val="0"/>
        <w:keepLines w:val="0"/>
        <w:widowControl w:val="0"/>
        <w:shd w:val="clear" w:color="auto" w:fill="auto"/>
        <w:bidi w:val="0"/>
        <w:spacing w:before="0" w:after="0" w:line="240" w:lineRule="auto"/>
        <w:ind w:left="8174" w:right="0" w:firstLine="0"/>
        <w:jc w:val="left"/>
        <w:rPr>
          <w:sz w:val="19"/>
          <w:szCs w:val="19"/>
        </w:rPr>
      </w:pPr>
      <w:r>
        <w:rPr>
          <w:color w:val="000000"/>
          <w:spacing w:val="0"/>
          <w:w w:val="100"/>
          <w:position w:val="0"/>
          <w:sz w:val="19"/>
          <w:szCs w:val="19"/>
        </w:rPr>
        <w:t>单位：万元</w:t>
      </w:r>
    </w:p>
    <w:tbl>
      <w:tblPr>
        <w:tblOverlap w:val="never"/>
        <w:jc w:val="center"/>
        <w:tblLayout w:type="fixed"/>
      </w:tblPr>
      <w:tblGrid>
        <w:gridCol w:w="1133"/>
        <w:gridCol w:w="2419"/>
        <w:gridCol w:w="893"/>
        <w:gridCol w:w="941"/>
        <w:gridCol w:w="1138"/>
        <w:gridCol w:w="1325"/>
        <w:gridCol w:w="1445"/>
      </w:tblGrid>
      <w:tr>
        <w:trPr>
          <w:trHeight w:val="145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姓名</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职务</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性别</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年龄</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任职状态</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58" w:lineRule="exact"/>
              <w:ind w:left="0" w:right="0" w:firstLine="0"/>
              <w:jc w:val="center"/>
              <w:rPr>
                <w:sz w:val="20"/>
                <w:szCs w:val="20"/>
              </w:rPr>
            </w:pPr>
            <w:r>
              <w:rPr>
                <w:color w:val="000000"/>
                <w:spacing w:val="0"/>
                <w:w w:val="100"/>
                <w:position w:val="0"/>
                <w:sz w:val="20"/>
                <w:szCs w:val="20"/>
              </w:rPr>
              <w:t>报告期内从 公司获得的 报酬总额</w:t>
            </w:r>
          </w:p>
          <w:p>
            <w:pPr>
              <w:pStyle w:val="Style2"/>
              <w:keepNext w:val="0"/>
              <w:keepLines w:val="0"/>
              <w:widowControl w:val="0"/>
              <w:shd w:val="clear" w:color="auto" w:fill="auto"/>
              <w:bidi w:val="0"/>
              <w:spacing w:before="0" w:after="0" w:line="358" w:lineRule="exact"/>
              <w:ind w:left="0" w:right="0" w:firstLine="0"/>
              <w:jc w:val="center"/>
              <w:rPr>
                <w:sz w:val="20"/>
                <w:szCs w:val="20"/>
              </w:rPr>
            </w:pPr>
            <w:r>
              <w:rPr>
                <w:color w:val="000000"/>
                <w:spacing w:val="0"/>
                <w:w w:val="100"/>
                <w:position w:val="0"/>
                <w:sz w:val="20"/>
                <w:szCs w:val="20"/>
              </w:rPr>
              <w:t>（税前）</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355" w:lineRule="exact"/>
              <w:ind w:left="0" w:right="0" w:firstLine="0"/>
              <w:jc w:val="left"/>
              <w:rPr>
                <w:sz w:val="20"/>
                <w:szCs w:val="20"/>
              </w:rPr>
            </w:pPr>
            <w:r>
              <w:rPr>
                <w:color w:val="000000"/>
                <w:spacing w:val="0"/>
                <w:w w:val="100"/>
                <w:position w:val="0"/>
                <w:sz w:val="20"/>
                <w:szCs w:val="20"/>
              </w:rPr>
              <w:t>是否在公司 关联方获取 报酬</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孙迎彤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朱永民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俞鹂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黄学良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叶艳桃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孟亚平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肖幼美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刘震国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王渝次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黄巧玲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林玉华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杨志红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梁洁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李元怡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徐辉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陈子勤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肖德银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1133"/>
        <w:gridCol w:w="2419"/>
        <w:gridCol w:w="893"/>
        <w:gridCol w:w="941"/>
        <w:gridCol w:w="1138"/>
        <w:gridCol w:w="1325"/>
        <w:gridCol w:w="1445"/>
      </w:tblGrid>
      <w:tr>
        <w:trPr>
          <w:trHeight w:val="533"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676.46</w:t>
            </w:r>
          </w:p>
        </w:tc>
        <w:tc>
          <w:tcPr>
            <w:tcBorders>
              <w:top w:val="single" w:sz="4"/>
              <w:left w:val="single" w:sz="4"/>
              <w:bottom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99" w:line="1" w:lineRule="exact"/>
      </w:pPr>
    </w:p>
    <w:p>
      <w:pPr>
        <w:pStyle w:val="Style44"/>
        <w:keepNext w:val="0"/>
        <w:keepLines w:val="0"/>
        <w:widowControl w:val="0"/>
        <w:shd w:val="clear" w:color="auto" w:fill="auto"/>
        <w:bidi w:val="0"/>
        <w:spacing w:before="0" w:after="140" w:line="432" w:lineRule="exact"/>
        <w:ind w:left="460" w:right="0" w:firstLine="20"/>
        <w:jc w:val="left"/>
      </w:pPr>
      <w:r>
        <w:rPr>
          <w:color w:val="000000"/>
          <w:spacing w:val="0"/>
          <w:w w:val="100"/>
          <w:position w:val="0"/>
        </w:rPr>
        <w:t xml:space="preserve">公司董事、监事、高级管理人员报告期内被授予的股权激励情况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2"/>
        <w:keepNext/>
        <w:keepLines/>
        <w:widowControl w:val="0"/>
        <w:shd w:val="clear" w:color="auto" w:fill="auto"/>
        <w:bidi w:val="0"/>
        <w:spacing w:before="0" w:after="360" w:line="432" w:lineRule="exact"/>
        <w:ind w:left="0" w:right="0" w:firstLine="460"/>
        <w:jc w:val="left"/>
      </w:pPr>
      <w:bookmarkStart w:id="513" w:name="bookmark513"/>
      <w:bookmarkStart w:id="514" w:name="bookmark514"/>
      <w:bookmarkStart w:id="515" w:name="bookmark515"/>
      <w:bookmarkStart w:id="516" w:name="bookmark516"/>
      <w:r>
        <w:rPr>
          <w:color w:val="000000"/>
          <w:spacing w:val="0"/>
          <w:w w:val="100"/>
          <w:position w:val="0"/>
        </w:rPr>
        <w:t>五</w:t>
      </w:r>
      <w:bookmarkEnd w:id="515"/>
      <w:r>
        <w:rPr>
          <w:color w:val="000000"/>
          <w:spacing w:val="0"/>
          <w:w w:val="100"/>
          <w:position w:val="0"/>
        </w:rPr>
        <w:t>、公司员工情况</w:t>
      </w:r>
      <w:bookmarkEnd w:id="513"/>
      <w:bookmarkEnd w:id="514"/>
      <w:bookmarkEnd w:id="516"/>
    </w:p>
    <w:p>
      <w:pPr>
        <w:pStyle w:val="Style52"/>
        <w:keepNext/>
        <w:keepLines/>
        <w:widowControl w:val="0"/>
        <w:shd w:val="clear" w:color="auto" w:fill="auto"/>
        <w:bidi w:val="0"/>
        <w:spacing w:before="0" w:after="140" w:line="377" w:lineRule="auto"/>
        <w:ind w:left="0" w:right="0" w:firstLine="460"/>
        <w:jc w:val="left"/>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sz w:val="24"/>
          <w:szCs w:val="24"/>
        </w:rPr>
        <w:t>1</w:t>
      </w:r>
      <w:bookmarkEnd w:id="519"/>
      <w:r>
        <w:rPr>
          <w:color w:val="000000"/>
          <w:spacing w:val="0"/>
          <w:w w:val="100"/>
          <w:position w:val="0"/>
        </w:rPr>
        <w:t>、员工数量、专业构成及教育程度</w:t>
      </w:r>
      <w:bookmarkEnd w:id="517"/>
      <w:bookmarkEnd w:id="518"/>
      <w:bookmarkEnd w:id="520"/>
    </w:p>
    <w:tbl>
      <w:tblPr>
        <w:tblOverlap w:val="never"/>
        <w:jc w:val="center"/>
        <w:tblLayout w:type="fixed"/>
      </w:tblPr>
      <w:tblGrid>
        <w:gridCol w:w="5362"/>
        <w:gridCol w:w="4224"/>
      </w:tblGrid>
      <w:tr>
        <w:trPr>
          <w:trHeight w:val="52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373</w:t>
            </w:r>
          </w:p>
        </w:tc>
      </w:tr>
      <w:tr>
        <w:trPr>
          <w:trHeight w:val="5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381</w:t>
            </w:r>
          </w:p>
        </w:tc>
      </w:tr>
      <w:tr>
        <w:trPr>
          <w:trHeight w:val="52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754</w:t>
            </w:r>
          </w:p>
        </w:tc>
      </w:tr>
      <w:tr>
        <w:trPr>
          <w:trHeight w:val="5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754</w:t>
            </w:r>
          </w:p>
        </w:tc>
      </w:tr>
      <w:tr>
        <w:trPr>
          <w:trHeight w:val="5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523" w:hRule="exact"/>
        </w:trPr>
        <w:tc>
          <w:tcPr>
            <w:gridSpan w:val="2"/>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w:t>
            </w:r>
          </w:p>
        </w:tc>
      </w:tr>
      <w:tr>
        <w:trPr>
          <w:trHeight w:val="5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专业构成类别</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专业构成人数（人）</w:t>
            </w:r>
          </w:p>
        </w:tc>
      </w:tr>
      <w:tr>
        <w:trPr>
          <w:trHeight w:val="5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w:t>
            </w:r>
          </w:p>
        </w:tc>
      </w:tr>
      <w:tr>
        <w:trPr>
          <w:trHeight w:val="52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323</w:t>
            </w:r>
          </w:p>
        </w:tc>
      </w:tr>
      <w:tr>
        <w:trPr>
          <w:trHeight w:val="5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r>
      <w:tr>
        <w:trPr>
          <w:trHeight w:val="5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w:t>
            </w:r>
          </w:p>
        </w:tc>
      </w:tr>
      <w:tr>
        <w:trPr>
          <w:trHeight w:val="52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p>
        </w:tc>
      </w:tr>
      <w:tr>
        <w:trPr>
          <w:trHeight w:val="5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生产人员（注）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245</w:t>
            </w:r>
          </w:p>
        </w:tc>
      </w:tr>
      <w:tr>
        <w:trPr>
          <w:trHeight w:val="5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754</w:t>
            </w:r>
          </w:p>
        </w:tc>
      </w:tr>
      <w:tr>
        <w:trPr>
          <w:trHeight w:val="523" w:hRule="exact"/>
        </w:trPr>
        <w:tc>
          <w:tcPr>
            <w:gridSpan w:val="2"/>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教育程度</w:t>
            </w:r>
          </w:p>
        </w:tc>
      </w:tr>
      <w:tr>
        <w:trPr>
          <w:trHeight w:val="5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教育程度类别</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数量（人）</w:t>
            </w:r>
          </w:p>
        </w:tc>
      </w:tr>
      <w:tr>
        <w:trPr>
          <w:trHeight w:val="518" w:hRule="exact"/>
        </w:trPr>
        <w:tc>
          <w:tcPr>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r>
      <w:tr>
        <w:trPr>
          <w:trHeight w:val="523" w:hRule="exact"/>
        </w:trPr>
        <w:tc>
          <w:tcPr>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109</w:t>
            </w:r>
          </w:p>
        </w:tc>
      </w:tr>
      <w:tr>
        <w:trPr>
          <w:trHeight w:val="518" w:hRule="exact"/>
        </w:trPr>
        <w:tc>
          <w:tcPr>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273</w:t>
            </w:r>
          </w:p>
        </w:tc>
      </w:tr>
      <w:tr>
        <w:trPr>
          <w:trHeight w:val="528" w:hRule="exact"/>
        </w:trPr>
        <w:tc>
          <w:tcPr>
            <w:tcBorders>
              <w:top w:val="single" w:sz="4"/>
              <w:left w:val="single" w:sz="4"/>
              <w:bottom w:val="single" w:sz="4"/>
            </w:tcBorders>
            <w:shd w:val="clear" w:color="auto" w:fill="BFBFB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w:t>
            </w:r>
          </w:p>
        </w:tc>
      </w:tr>
    </w:tbl>
    <w:p>
      <w:pPr>
        <w:sectPr>
          <w:headerReference w:type="default" r:id="rId75"/>
          <w:footerReference w:type="default" r:id="rId76"/>
          <w:headerReference w:type="even" r:id="rId77"/>
          <w:footerReference w:type="even" r:id="rId78"/>
          <w:footnotePr>
            <w:pos w:val="pageBottom"/>
            <w:numFmt w:val="decimal"/>
            <w:numRestart w:val="continuous"/>
          </w:footnotePr>
          <w:pgSz w:w="11900" w:h="16840"/>
          <w:pgMar w:top="1441" w:right="644" w:bottom="1715" w:left="644" w:header="0" w:footer="3" w:gutter="0"/>
          <w:pgNumType w:start="78"/>
          <w:cols w:space="720"/>
          <w:noEndnote/>
          <w:rtlGutter w:val="0"/>
          <w:docGrid w:linePitch="360"/>
        </w:sectPr>
      </w:pPr>
    </w:p>
    <w:tbl>
      <w:tblPr>
        <w:tblOverlap w:val="never"/>
        <w:jc w:val="center"/>
        <w:tblLayout w:type="fixed"/>
      </w:tblPr>
      <w:tblGrid>
        <w:gridCol w:w="5362"/>
        <w:gridCol w:w="4224"/>
      </w:tblGrid>
      <w:tr>
        <w:trPr>
          <w:trHeight w:val="523" w:hRule="exact"/>
        </w:trPr>
        <w:tc>
          <w:tcPr>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273</w:t>
            </w:r>
          </w:p>
        </w:tc>
      </w:tr>
      <w:tr>
        <w:trPr>
          <w:trHeight w:val="533"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754</w:t>
            </w:r>
          </w:p>
        </w:tc>
      </w:tr>
    </w:tbl>
    <w:p>
      <w:pPr>
        <w:pStyle w:val="Style3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注：生产人员为斯诺实业下属工厂的生产人员。</w:t>
      </w:r>
    </w:p>
    <w:p>
      <w:pPr>
        <w:widowControl w:val="0"/>
        <w:spacing w:after="239" w:line="1" w:lineRule="exact"/>
      </w:pPr>
    </w:p>
    <w:p>
      <w:pPr>
        <w:pStyle w:val="Style52"/>
        <w:keepNext/>
        <w:keepLines/>
        <w:widowControl w:val="0"/>
        <w:shd w:val="clear" w:color="auto" w:fill="auto"/>
        <w:tabs>
          <w:tab w:pos="862" w:val="left"/>
        </w:tabs>
        <w:bidi w:val="0"/>
        <w:spacing w:before="0" w:after="180" w:line="469" w:lineRule="exact"/>
        <w:ind w:left="0" w:right="0" w:firstLine="460"/>
        <w:jc w:val="both"/>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sz w:val="24"/>
          <w:szCs w:val="24"/>
        </w:rPr>
        <w:t>2</w:t>
      </w:r>
      <w:bookmarkEnd w:id="523"/>
      <w:r>
        <w:rPr>
          <w:color w:val="000000"/>
          <w:spacing w:val="0"/>
          <w:w w:val="100"/>
          <w:position w:val="0"/>
        </w:rPr>
        <w:t>、</w:t>
        <w:tab/>
        <w:t>薪酬政策</w:t>
      </w:r>
      <w:bookmarkEnd w:id="521"/>
      <w:bookmarkEnd w:id="522"/>
      <w:bookmarkEnd w:id="524"/>
    </w:p>
    <w:p>
      <w:pPr>
        <w:pStyle w:val="Style44"/>
        <w:keepNext w:val="0"/>
        <w:keepLines w:val="0"/>
        <w:widowControl w:val="0"/>
        <w:shd w:val="clear" w:color="auto" w:fill="auto"/>
        <w:bidi w:val="0"/>
        <w:spacing w:before="0" w:after="40" w:line="485" w:lineRule="exact"/>
        <w:ind w:left="460" w:right="0" w:firstLine="460"/>
        <w:jc w:val="both"/>
      </w:pPr>
      <w:r>
        <w:rPr>
          <w:color w:val="000000"/>
          <w:spacing w:val="0"/>
          <w:w w:val="100"/>
          <w:position w:val="0"/>
        </w:rPr>
        <w:t>建立以职级与绩效为导向的价值评价体系，增强薪酬激励性，保证薪酬体系有效支持公司战 略发展要求。</w:t>
      </w:r>
    </w:p>
    <w:p>
      <w:pPr>
        <w:pStyle w:val="Style44"/>
        <w:keepNext w:val="0"/>
        <w:keepLines w:val="0"/>
        <w:widowControl w:val="0"/>
        <w:shd w:val="clear" w:color="auto" w:fill="auto"/>
        <w:bidi w:val="0"/>
        <w:spacing w:before="0" w:after="40" w:line="470" w:lineRule="exact"/>
        <w:ind w:left="460" w:right="0" w:firstLine="460"/>
        <w:jc w:val="both"/>
      </w:pPr>
      <w:r>
        <w:rPr>
          <w:color w:val="000000"/>
          <w:spacing w:val="0"/>
          <w:w w:val="100"/>
          <w:position w:val="0"/>
        </w:rPr>
        <w:t>通过科学规范的薪酬动态管理机制，激励员工提高自身专业能力和绩效表现，以建立高素质、 稳定的员工队伍。</w:t>
      </w:r>
    </w:p>
    <w:p>
      <w:pPr>
        <w:pStyle w:val="Style44"/>
        <w:keepNext w:val="0"/>
        <w:keepLines w:val="0"/>
        <w:widowControl w:val="0"/>
        <w:shd w:val="clear" w:color="auto" w:fill="auto"/>
        <w:bidi w:val="0"/>
        <w:spacing w:before="0" w:after="240" w:line="463" w:lineRule="exact"/>
        <w:ind w:left="460" w:right="0" w:firstLine="460"/>
        <w:jc w:val="both"/>
      </w:pPr>
      <w:r>
        <w:rPr>
          <w:color w:val="000000"/>
          <w:spacing w:val="0"/>
          <w:w w:val="100"/>
          <w:position w:val="0"/>
        </w:rPr>
        <w:t>薪酬制度建立在遵守国家相关政策、法律法规和公司管理制度基础上。遵循价值和效率优先, 兼顾薪酬体系内部公平。依据公司所在行业的特点及经济周期，同时考虑职位的价值度和人才市 场供应状况确定薪酬等级标准。</w:t>
      </w:r>
    </w:p>
    <w:p>
      <w:pPr>
        <w:pStyle w:val="Style52"/>
        <w:keepNext/>
        <w:keepLines/>
        <w:widowControl w:val="0"/>
        <w:shd w:val="clear" w:color="auto" w:fill="auto"/>
        <w:tabs>
          <w:tab w:pos="862" w:val="left"/>
        </w:tabs>
        <w:bidi w:val="0"/>
        <w:spacing w:before="0" w:after="180" w:line="469" w:lineRule="exact"/>
        <w:ind w:left="0" w:right="0" w:firstLine="460"/>
        <w:jc w:val="both"/>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sz w:val="24"/>
          <w:szCs w:val="24"/>
        </w:rPr>
        <w:t>3</w:t>
      </w:r>
      <w:bookmarkEnd w:id="527"/>
      <w:r>
        <w:rPr>
          <w:color w:val="000000"/>
          <w:spacing w:val="0"/>
          <w:w w:val="100"/>
          <w:position w:val="0"/>
        </w:rPr>
        <w:t>、</w:t>
        <w:tab/>
        <w:t>培训计划</w:t>
      </w:r>
      <w:bookmarkEnd w:id="525"/>
      <w:bookmarkEnd w:id="526"/>
      <w:bookmarkEnd w:id="528"/>
    </w:p>
    <w:p>
      <w:pPr>
        <w:pStyle w:val="Style44"/>
        <w:keepNext w:val="0"/>
        <w:keepLines w:val="0"/>
        <w:widowControl w:val="0"/>
        <w:shd w:val="clear" w:color="auto" w:fill="auto"/>
        <w:bidi w:val="0"/>
        <w:spacing w:before="0" w:after="0" w:line="469" w:lineRule="exact"/>
        <w:ind w:left="460" w:right="0" w:firstLine="460"/>
        <w:jc w:val="both"/>
      </w:pPr>
      <w:r>
        <w:rPr>
          <w:color w:val="000000"/>
          <w:spacing w:val="0"/>
          <w:w w:val="100"/>
          <w:position w:val="0"/>
        </w:rPr>
        <w:t>公司致力于打造全方位的人才培养体系，助力公司战略目标的顺利达成和员工综合能力的持 续提高。</w:t>
      </w:r>
    </w:p>
    <w:p>
      <w:pPr>
        <w:pStyle w:val="Style44"/>
        <w:keepNext w:val="0"/>
        <w:keepLines w:val="0"/>
        <w:widowControl w:val="0"/>
        <w:shd w:val="clear" w:color="auto" w:fill="auto"/>
        <w:bidi w:val="0"/>
        <w:spacing w:before="0" w:after="240" w:line="469" w:lineRule="exact"/>
        <w:ind w:left="460" w:right="0" w:firstLine="460"/>
        <w:jc w:val="both"/>
      </w:pPr>
      <w:r>
        <w:rPr>
          <w:color w:val="000000"/>
          <w:spacing w:val="0"/>
          <w:w w:val="100"/>
          <w:position w:val="0"/>
        </w:rPr>
        <w:t>公司针对性地制定了 “新员工入职培训”、“通用技能培训”、“管理技能培训”、“专 业技能培训”等，并与外部培训机构合作开发各类培训项目。其中：“新员工入职培训”帮助新 入职员工了解与融入公司，“通用技能培训”帮助员工提升职场通用技能，“管理技能培训”帮 助各层级领导干部提升团队管理与统筹规划能力，“专业技能培训”从研发、销售、生产等专业 角度提升岗位胜任力。今年更努力打造内部讲师队伍，并在公司推行“学分制”的培训体系，以 强化内训，加强队伍的自身建设，打造不断学习提升的文化氛围。</w:t>
      </w:r>
    </w:p>
    <w:p>
      <w:pPr>
        <w:pStyle w:val="Style52"/>
        <w:keepNext/>
        <w:keepLines/>
        <w:widowControl w:val="0"/>
        <w:shd w:val="clear" w:color="auto" w:fill="auto"/>
        <w:tabs>
          <w:tab w:pos="862" w:val="left"/>
        </w:tabs>
        <w:bidi w:val="0"/>
        <w:spacing w:before="0" w:after="120" w:line="469" w:lineRule="exact"/>
        <w:ind w:left="0" w:right="0" w:firstLine="460"/>
        <w:jc w:val="both"/>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sz w:val="24"/>
          <w:szCs w:val="24"/>
        </w:rPr>
        <w:t>4</w:t>
      </w:r>
      <w:bookmarkEnd w:id="531"/>
      <w:r>
        <w:rPr>
          <w:color w:val="000000"/>
          <w:spacing w:val="0"/>
          <w:w w:val="100"/>
          <w:position w:val="0"/>
        </w:rPr>
        <w:t>、</w:t>
        <w:tab/>
        <w:t>劳务外包情况</w:t>
      </w:r>
      <w:bookmarkEnd w:id="529"/>
      <w:bookmarkEnd w:id="530"/>
      <w:bookmarkEnd w:id="532"/>
    </w:p>
    <w:p>
      <w:pPr>
        <w:pStyle w:val="Style44"/>
        <w:keepNext w:val="0"/>
        <w:keepLines w:val="0"/>
        <w:widowControl w:val="0"/>
        <w:shd w:val="clear" w:color="auto" w:fill="auto"/>
        <w:bidi w:val="0"/>
        <w:spacing w:before="0" w:after="180" w:line="469" w:lineRule="exact"/>
        <w:ind w:left="0" w:right="0" w:firstLine="460"/>
        <w:jc w:val="both"/>
        <w:sectPr>
          <w:headerReference w:type="default" r:id="rId79"/>
          <w:footerReference w:type="default" r:id="rId80"/>
          <w:headerReference w:type="even" r:id="rId81"/>
          <w:footerReference w:type="even" r:id="rId82"/>
          <w:footnotePr>
            <w:pos w:val="pageBottom"/>
            <w:numFmt w:val="decimal"/>
            <w:numRestart w:val="continuous"/>
          </w:footnotePr>
          <w:type w:val="continuous"/>
          <w:pgSz w:w="11900" w:h="16840"/>
          <w:pgMar w:top="1441" w:right="644" w:bottom="1715" w:left="644"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2"/>
        <w:keepNext/>
        <w:keepLines/>
        <w:widowControl w:val="0"/>
        <w:shd w:val="clear" w:color="auto" w:fill="auto"/>
        <w:bidi w:val="0"/>
        <w:spacing w:before="0" w:after="320" w:line="240" w:lineRule="auto"/>
        <w:ind w:left="0" w:right="0" w:firstLine="0"/>
        <w:jc w:val="center"/>
      </w:pPr>
      <w:bookmarkStart w:id="533" w:name="bookmark533"/>
      <w:bookmarkStart w:id="534" w:name="bookmark534"/>
      <w:bookmarkStart w:id="535" w:name="bookmark535"/>
      <w:r>
        <w:rPr>
          <w:color w:val="000000"/>
          <w:spacing w:val="0"/>
          <w:w w:val="100"/>
          <w:position w:val="0"/>
        </w:rPr>
        <w:t>第十节公司治理</w:t>
      </w:r>
      <w:bookmarkEnd w:id="533"/>
      <w:bookmarkEnd w:id="534"/>
      <w:bookmarkEnd w:id="535"/>
    </w:p>
    <w:p>
      <w:pPr>
        <w:pStyle w:val="Style42"/>
        <w:keepNext/>
        <w:keepLines/>
        <w:widowControl w:val="0"/>
        <w:shd w:val="clear" w:color="auto" w:fill="auto"/>
        <w:bidi w:val="0"/>
        <w:spacing w:before="0" w:after="160" w:line="449" w:lineRule="exact"/>
        <w:ind w:left="0" w:right="0" w:firstLine="760"/>
        <w:jc w:val="left"/>
      </w:pPr>
      <w:bookmarkStart w:id="536" w:name="bookmark536"/>
      <w:bookmarkStart w:id="537" w:name="bookmark537"/>
      <w:bookmarkStart w:id="538" w:name="bookmark538"/>
      <w:bookmarkStart w:id="539" w:name="bookmark539"/>
      <w:r>
        <w:rPr>
          <w:color w:val="000000"/>
          <w:spacing w:val="0"/>
          <w:w w:val="100"/>
          <w:position w:val="0"/>
        </w:rPr>
        <w:t>一</w:t>
      </w:r>
      <w:bookmarkEnd w:id="538"/>
      <w:r>
        <w:rPr>
          <w:color w:val="000000"/>
          <w:spacing w:val="0"/>
          <w:w w:val="100"/>
          <w:position w:val="0"/>
        </w:rPr>
        <w:t>、公司治理的基本状况</w:t>
      </w:r>
      <w:bookmarkEnd w:id="536"/>
      <w:bookmarkEnd w:id="537"/>
      <w:bookmarkEnd w:id="539"/>
    </w:p>
    <w:p>
      <w:pPr>
        <w:pStyle w:val="Style44"/>
        <w:keepNext w:val="0"/>
        <w:keepLines w:val="0"/>
        <w:widowControl w:val="0"/>
        <w:shd w:val="clear" w:color="auto" w:fill="auto"/>
        <w:bidi w:val="0"/>
        <w:spacing w:before="0" w:after="0" w:line="450" w:lineRule="exact"/>
        <w:ind w:left="760" w:right="0" w:firstLine="460"/>
        <w:jc w:val="both"/>
      </w:pPr>
      <w:r>
        <w:rPr>
          <w:color w:val="000000"/>
          <w:spacing w:val="0"/>
          <w:w w:val="100"/>
          <w:position w:val="0"/>
        </w:rPr>
        <w:t>公司根据《公司法》、《上市公司治理准则》、《上市公司章程指引》、《上市公司股东 大会规则》及其他相关法律、法规的要求，确立了由股东大会、董事会、监事会和经营管理层 组成的公司治理结构，不断完善公司法人治理结构，建立健全公司内部控制制度，进一步规范 公司运作，提高公司治理水平。</w:t>
      </w:r>
    </w:p>
    <w:p>
      <w:pPr>
        <w:pStyle w:val="Style44"/>
        <w:keepNext w:val="0"/>
        <w:keepLines w:val="0"/>
        <w:widowControl w:val="0"/>
        <w:shd w:val="clear" w:color="auto" w:fill="auto"/>
        <w:bidi w:val="0"/>
        <w:spacing w:before="0" w:after="320" w:line="449" w:lineRule="exact"/>
        <w:ind w:left="760" w:right="0" w:firstLine="460"/>
        <w:jc w:val="both"/>
      </w:pPr>
      <w:r>
        <w:rPr>
          <w:color w:val="000000"/>
          <w:spacing w:val="0"/>
          <w:w w:val="100"/>
          <w:position w:val="0"/>
        </w:rPr>
        <w:t>公司治理各方面符合《上市公司治理准则》和《深圳证券交易所创业板股票上市规则》、 《深圳证券交易所创业板上市公司规范运作指引》等要求。截至报告期末，公司治理的实际状 况与中国证监会发布的有关上市公司治理的规范性文件不存在重大差异。</w:t>
      </w:r>
    </w:p>
    <w:p>
      <w:pPr>
        <w:pStyle w:val="Style52"/>
        <w:keepNext/>
        <w:keepLines/>
        <w:widowControl w:val="0"/>
        <w:shd w:val="clear" w:color="auto" w:fill="auto"/>
        <w:tabs>
          <w:tab w:pos="1123" w:val="left"/>
        </w:tabs>
        <w:bidi w:val="0"/>
        <w:spacing w:before="0" w:after="0" w:line="449" w:lineRule="exact"/>
        <w:ind w:left="0" w:right="0" w:firstLine="760"/>
        <w:jc w:val="both"/>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sz w:val="24"/>
          <w:szCs w:val="24"/>
        </w:rPr>
        <w:t>1</w:t>
      </w:r>
      <w:bookmarkEnd w:id="542"/>
      <w:r>
        <w:rPr>
          <w:color w:val="000000"/>
          <w:spacing w:val="0"/>
          <w:w w:val="100"/>
          <w:position w:val="0"/>
        </w:rPr>
        <w:t>、</w:t>
        <w:tab/>
        <w:t>关于股东与股东大会</w:t>
      </w:r>
      <w:bookmarkEnd w:id="540"/>
      <w:bookmarkEnd w:id="541"/>
      <w:bookmarkEnd w:id="543"/>
    </w:p>
    <w:p>
      <w:pPr>
        <w:pStyle w:val="Style44"/>
        <w:keepNext w:val="0"/>
        <w:keepLines w:val="0"/>
        <w:widowControl w:val="0"/>
        <w:shd w:val="clear" w:color="auto" w:fill="auto"/>
        <w:bidi w:val="0"/>
        <w:spacing w:before="0" w:after="320" w:line="449" w:lineRule="exact"/>
        <w:ind w:left="760" w:right="0" w:firstLine="460"/>
        <w:jc w:val="both"/>
      </w:pPr>
      <w:r>
        <w:rPr>
          <w:color w:val="000000"/>
          <w:spacing w:val="0"/>
          <w:w w:val="100"/>
          <w:position w:val="0"/>
        </w:rPr>
        <w:t>报告期内，公司召开股东大会</w:t>
      </w:r>
      <w:r>
        <w:rPr>
          <w:rFonts w:ascii="Times New Roman" w:eastAsia="Times New Roman" w:hAnsi="Times New Roman" w:cs="Times New Roman"/>
          <w:color w:val="000000"/>
          <w:spacing w:val="0"/>
          <w:w w:val="100"/>
          <w:position w:val="0"/>
        </w:rPr>
        <w:t>3</w:t>
      </w:r>
      <w:r>
        <w:rPr>
          <w:color w:val="000000"/>
          <w:spacing w:val="0"/>
          <w:w w:val="100"/>
          <w:position w:val="0"/>
        </w:rPr>
        <w:t>次。公司召开的股东大会不存在违反《上市公司股东大会 规则》的情形，公司未发生单独或合并持有本公司有表决权股份总数</w:t>
      </w:r>
      <w:r>
        <w:rPr>
          <w:rFonts w:ascii="Times New Roman" w:eastAsia="Times New Roman" w:hAnsi="Times New Roman" w:cs="Times New Roman"/>
          <w:color w:val="000000"/>
          <w:spacing w:val="0"/>
          <w:w w:val="100"/>
          <w:position w:val="0"/>
        </w:rPr>
        <w:t>10%</w:t>
      </w:r>
      <w:r>
        <w:rPr>
          <w:color w:val="000000"/>
          <w:spacing w:val="0"/>
          <w:w w:val="100"/>
          <w:position w:val="0"/>
        </w:rPr>
        <w:t>以上的股东请求召开 临时股东大会的情形，也无应监事会提议召开的股东大会。按照《公司法》、《公司章程》的 规定应由股东大会审议的重大事项，本公司均通过股东大会审议，不存在绕过股东大会的情况， 也不存在先实施后审议的情况。公司平等对待所有股东，并采用现场结合网络投票的方式为股 东参加股东大会提供便利，确保全体股东特别是中小股东享有平等地位，充分行使股东的权利。</w:t>
      </w:r>
    </w:p>
    <w:p>
      <w:pPr>
        <w:pStyle w:val="Style52"/>
        <w:keepNext/>
        <w:keepLines/>
        <w:widowControl w:val="0"/>
        <w:shd w:val="clear" w:color="auto" w:fill="auto"/>
        <w:tabs>
          <w:tab w:pos="1137" w:val="left"/>
        </w:tabs>
        <w:bidi w:val="0"/>
        <w:spacing w:before="0" w:after="0" w:line="449" w:lineRule="exact"/>
        <w:ind w:left="0" w:right="0" w:firstLine="760"/>
        <w:jc w:val="both"/>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sz w:val="24"/>
          <w:szCs w:val="24"/>
        </w:rPr>
        <w:t>2</w:t>
      </w:r>
      <w:bookmarkEnd w:id="546"/>
      <w:r>
        <w:rPr>
          <w:color w:val="000000"/>
          <w:spacing w:val="0"/>
          <w:w w:val="100"/>
          <w:position w:val="0"/>
        </w:rPr>
        <w:t>、</w:t>
        <w:tab/>
        <w:t>关于董事和董事会</w:t>
      </w:r>
      <w:bookmarkEnd w:id="544"/>
      <w:bookmarkEnd w:id="545"/>
      <w:bookmarkEnd w:id="547"/>
    </w:p>
    <w:p>
      <w:pPr>
        <w:pStyle w:val="Style44"/>
        <w:keepNext w:val="0"/>
        <w:keepLines w:val="0"/>
        <w:widowControl w:val="0"/>
        <w:shd w:val="clear" w:color="auto" w:fill="auto"/>
        <w:bidi w:val="0"/>
        <w:spacing w:before="0" w:after="0" w:line="450" w:lineRule="exact"/>
        <w:ind w:left="760" w:right="0" w:firstLine="460"/>
        <w:jc w:val="left"/>
      </w:pPr>
      <w:r>
        <w:rPr>
          <w:color w:val="000000"/>
          <w:spacing w:val="0"/>
          <w:w w:val="100"/>
          <w:position w:val="0"/>
        </w:rPr>
        <w:t>公司董事会设董事</w:t>
      </w:r>
      <w:r>
        <w:rPr>
          <w:rFonts w:ascii="Times New Roman" w:eastAsia="Times New Roman" w:hAnsi="Times New Roman" w:cs="Times New Roman"/>
          <w:color w:val="000000"/>
          <w:spacing w:val="0"/>
          <w:w w:val="100"/>
          <w:position w:val="0"/>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名，独立董事人数达到董事会人数的三分之一， 且人员构成符合法律、法规和《公司章程》的要求。公司董事能够依据《深圳证券交易所创业 板上市公司规范运作指引》、《公司章程》、《董事会议事规则》、《独立董事工作制度》等 开展工作，出席董事会会议和股东大会会议，忠实、诚信、勤勉地履行职责和义务。</w:t>
      </w:r>
    </w:p>
    <w:p>
      <w:pPr>
        <w:pStyle w:val="Style44"/>
        <w:keepNext w:val="0"/>
        <w:keepLines w:val="0"/>
        <w:widowControl w:val="0"/>
        <w:shd w:val="clear" w:color="auto" w:fill="auto"/>
        <w:bidi w:val="0"/>
        <w:spacing w:before="0" w:after="320" w:line="449" w:lineRule="exact"/>
        <w:ind w:left="760" w:right="0" w:firstLine="460"/>
        <w:jc w:val="left"/>
      </w:pPr>
      <w:r>
        <w:rPr>
          <w:color w:val="000000"/>
          <w:spacing w:val="0"/>
          <w:w w:val="100"/>
          <w:position w:val="0"/>
        </w:rPr>
        <w:t>报告期内，公司董事会共召开了</w:t>
      </w:r>
      <w:r>
        <w:rPr>
          <w:rFonts w:ascii="Times New Roman" w:eastAsia="Times New Roman" w:hAnsi="Times New Roman" w:cs="Times New Roman"/>
          <w:color w:val="000000"/>
          <w:spacing w:val="0"/>
          <w:w w:val="100"/>
          <w:position w:val="0"/>
        </w:rPr>
        <w:t>8</w:t>
      </w:r>
      <w:r>
        <w:rPr>
          <w:color w:val="000000"/>
          <w:spacing w:val="0"/>
          <w:w w:val="100"/>
          <w:position w:val="0"/>
        </w:rPr>
        <w:t>次会议，会议严格按照有关规定召集、召开，记录完整、 准确，并妥善保存；独立董事认真履行职责，为进一步完善公司的法人治理结构，规范公司运 作发挥了良好的作用。董事会下设立的三个专门委员会：审计委员会、薪酬与考核委员会及战 略委员会，严格依据公司董事会所制订的职权范围运作，并就专业事项进行研究和讨论，形成 建议和意见，对董事会负责，为董事会的决策提供了积极有效的支撑。</w:t>
      </w:r>
    </w:p>
    <w:p>
      <w:pPr>
        <w:pStyle w:val="Style52"/>
        <w:keepNext/>
        <w:keepLines/>
        <w:widowControl w:val="0"/>
        <w:shd w:val="clear" w:color="auto" w:fill="auto"/>
        <w:tabs>
          <w:tab w:pos="1137" w:val="left"/>
        </w:tabs>
        <w:bidi w:val="0"/>
        <w:spacing w:before="0" w:after="200" w:line="449" w:lineRule="exact"/>
        <w:ind w:left="0" w:right="0" w:firstLine="760"/>
        <w:jc w:val="both"/>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sz w:val="24"/>
          <w:szCs w:val="24"/>
        </w:rPr>
        <w:t>3</w:t>
      </w:r>
      <w:bookmarkEnd w:id="550"/>
      <w:r>
        <w:rPr>
          <w:color w:val="000000"/>
          <w:spacing w:val="0"/>
          <w:w w:val="100"/>
          <w:position w:val="0"/>
        </w:rPr>
        <w:t>、</w:t>
        <w:tab/>
        <w:t>关于监事和监事会</w:t>
      </w:r>
      <w:bookmarkEnd w:id="548"/>
      <w:bookmarkEnd w:id="549"/>
      <w:bookmarkEnd w:id="551"/>
    </w:p>
    <w:p>
      <w:pPr>
        <w:pStyle w:val="Style44"/>
        <w:keepNext w:val="0"/>
        <w:keepLines w:val="0"/>
        <w:widowControl w:val="0"/>
        <w:shd w:val="clear" w:color="auto" w:fill="auto"/>
        <w:bidi w:val="0"/>
        <w:spacing w:before="0" w:after="160" w:line="240" w:lineRule="auto"/>
        <w:ind w:left="1220" w:right="0" w:firstLine="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名，监事会的人数和构成符合法律、法规的</w:t>
      </w:r>
    </w:p>
    <w:p>
      <w:pPr>
        <w:pStyle w:val="Style28"/>
        <w:keepNext w:val="0"/>
        <w:keepLines w:val="0"/>
        <w:widowControl w:val="0"/>
        <w:shd w:val="clear" w:color="auto" w:fill="auto"/>
        <w:bidi w:val="0"/>
        <w:spacing w:before="0" w:after="180" w:line="240" w:lineRule="auto"/>
        <w:ind w:left="0" w:right="0" w:firstLine="0"/>
        <w:jc w:val="center"/>
        <w:sectPr>
          <w:headerReference w:type="default" r:id="rId83"/>
          <w:footerReference w:type="default" r:id="rId84"/>
          <w:headerReference w:type="even" r:id="rId85"/>
          <w:footerReference w:type="even" r:id="rId86"/>
          <w:footnotePr>
            <w:pos w:val="pageBottom"/>
            <w:numFmt w:val="decimal"/>
            <w:numRestart w:val="continuous"/>
          </w:footnotePr>
          <w:pgSz w:w="11900" w:h="16840"/>
          <w:pgMar w:top="1522" w:right="644" w:bottom="562" w:left="644" w:header="0" w:footer="134" w:gutter="0"/>
          <w:pgNumType w:start="83"/>
          <w:cols w:space="720"/>
          <w:noEndnote/>
          <w:rtlGutter w:val="0"/>
          <w:docGrid w:linePitch="360"/>
        </w:sectPr>
      </w:pPr>
      <w:r>
        <w:rPr>
          <w:color w:val="000000"/>
          <w:spacing w:val="0"/>
          <w:w w:val="100"/>
          <w:position w:val="0"/>
        </w:rPr>
        <w:t>82</w:t>
      </w:r>
    </w:p>
    <w:p>
      <w:pPr>
        <w:pStyle w:val="Style44"/>
        <w:keepNext w:val="0"/>
        <w:keepLines w:val="0"/>
        <w:widowControl w:val="0"/>
        <w:shd w:val="clear" w:color="auto" w:fill="auto"/>
        <w:bidi w:val="0"/>
        <w:spacing w:before="0" w:after="320" w:line="449" w:lineRule="exact"/>
        <w:ind w:left="760" w:right="0" w:firstLine="0"/>
        <w:jc w:val="both"/>
      </w:pPr>
      <w:r>
        <w:rPr>
          <w:color w:val="000000"/>
          <w:spacing w:val="0"/>
          <w:w w:val="100"/>
          <w:position w:val="0"/>
        </w:rPr>
        <w:t>要求。公司已制定《监事会议事规则》等制度确保监事会向全体股东负责，对公司重大事项、 财务状况以及公司董事、高级管理人员履行职责的合法合规性进行有效监督，维护公司及股东 的合法权益。公司监事会会议的召集、召开等程序符合相关规定的要求，监事会决议依照《深 圳证券交易所创业板股票上市规则》、《公司章程》及《监事会议事规则》的规定，披露及时充 分。</w:t>
      </w:r>
    </w:p>
    <w:p>
      <w:pPr>
        <w:pStyle w:val="Style52"/>
        <w:keepNext/>
        <w:keepLines/>
        <w:widowControl w:val="0"/>
        <w:shd w:val="clear" w:color="auto" w:fill="auto"/>
        <w:tabs>
          <w:tab w:pos="1120" w:val="left"/>
        </w:tabs>
        <w:bidi w:val="0"/>
        <w:spacing w:before="0" w:after="0" w:line="446" w:lineRule="exact"/>
        <w:ind w:left="0" w:right="0" w:firstLine="760"/>
        <w:jc w:val="left"/>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sz w:val="24"/>
          <w:szCs w:val="24"/>
        </w:rPr>
        <w:t>4</w:t>
      </w:r>
      <w:bookmarkEnd w:id="554"/>
      <w:r>
        <w:rPr>
          <w:color w:val="000000"/>
          <w:spacing w:val="0"/>
          <w:w w:val="100"/>
          <w:position w:val="0"/>
        </w:rPr>
        <w:t>、</w:t>
        <w:tab/>
        <w:t>关于公司与控股股东、实际控制人</w:t>
      </w:r>
      <w:bookmarkEnd w:id="552"/>
      <w:bookmarkEnd w:id="553"/>
      <w:bookmarkEnd w:id="555"/>
    </w:p>
    <w:p>
      <w:pPr>
        <w:pStyle w:val="Style44"/>
        <w:keepNext w:val="0"/>
        <w:keepLines w:val="0"/>
        <w:widowControl w:val="0"/>
        <w:shd w:val="clear" w:color="auto" w:fill="auto"/>
        <w:bidi w:val="0"/>
        <w:spacing w:before="0" w:after="320" w:line="446" w:lineRule="exact"/>
        <w:ind w:left="1220" w:right="0" w:firstLine="0"/>
        <w:jc w:val="left"/>
      </w:pPr>
      <w:r>
        <w:rPr>
          <w:color w:val="000000"/>
          <w:spacing w:val="0"/>
          <w:w w:val="100"/>
          <w:position w:val="0"/>
        </w:rPr>
        <w:t>公司不存在控股股东、实际控制人。</w:t>
      </w:r>
    </w:p>
    <w:p>
      <w:pPr>
        <w:pStyle w:val="Style52"/>
        <w:keepNext/>
        <w:keepLines/>
        <w:widowControl w:val="0"/>
        <w:shd w:val="clear" w:color="auto" w:fill="auto"/>
        <w:tabs>
          <w:tab w:pos="1120" w:val="left"/>
        </w:tabs>
        <w:bidi w:val="0"/>
        <w:spacing w:before="0" w:after="0" w:line="446" w:lineRule="exact"/>
        <w:ind w:left="0" w:right="0" w:firstLine="760"/>
        <w:jc w:val="left"/>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sz w:val="24"/>
          <w:szCs w:val="24"/>
        </w:rPr>
        <w:t>5</w:t>
      </w:r>
      <w:bookmarkEnd w:id="558"/>
      <w:r>
        <w:rPr>
          <w:color w:val="000000"/>
          <w:spacing w:val="0"/>
          <w:w w:val="100"/>
          <w:position w:val="0"/>
        </w:rPr>
        <w:t>、</w:t>
        <w:tab/>
        <w:t>关于信息披露与透明度</w:t>
      </w:r>
      <w:bookmarkEnd w:id="556"/>
      <w:bookmarkEnd w:id="557"/>
      <w:bookmarkEnd w:id="559"/>
    </w:p>
    <w:p>
      <w:pPr>
        <w:pStyle w:val="Style44"/>
        <w:keepNext w:val="0"/>
        <w:keepLines w:val="0"/>
        <w:widowControl w:val="0"/>
        <w:shd w:val="clear" w:color="auto" w:fill="auto"/>
        <w:bidi w:val="0"/>
        <w:spacing w:before="0" w:after="0" w:line="446" w:lineRule="exact"/>
        <w:ind w:left="760" w:right="0" w:firstLine="460"/>
        <w:jc w:val="both"/>
      </w:pPr>
      <w:r>
        <w:rPr>
          <w:color w:val="000000"/>
          <w:spacing w:val="0"/>
          <w:w w:val="100"/>
          <w:position w:val="0"/>
        </w:rPr>
        <w:t>公司严格按照有关法律法规以及《信息披露管理制度》、《投资者关系管理制度》的要求， 真实、准确、及时、公平、完整地披露有关信息。为规范公司的内幕信息管理，防范内幕信息 知情人员滥用知情权，泄漏内幕信息，进行内幕交易，损害广大投资者的合法权益，根据《中 华人民共和国公司法》、《中华人民共和国证券法》、《上市公司信息披露管理办法》、《深 圳证券交易所创业板股票上市规则》等有关法律、法规和《公司章程》、公司制定的《内幕信 息知情人管理制度》等有关规定，在重要情况发生时，公司第一时间建立内幕信息知情人档案 登记。</w:t>
      </w:r>
    </w:p>
    <w:p>
      <w:pPr>
        <w:pStyle w:val="Style44"/>
        <w:keepNext w:val="0"/>
        <w:keepLines w:val="0"/>
        <w:widowControl w:val="0"/>
        <w:shd w:val="clear" w:color="auto" w:fill="auto"/>
        <w:bidi w:val="0"/>
        <w:spacing w:before="0" w:after="0" w:line="446" w:lineRule="exact"/>
        <w:ind w:left="760" w:right="0" w:firstLine="460"/>
        <w:jc w:val="both"/>
      </w:pPr>
      <w:r>
        <w:rPr>
          <w:color w:val="000000"/>
          <w:spacing w:val="0"/>
          <w:w w:val="100"/>
          <w:position w:val="0"/>
        </w:rPr>
        <w:t>公司指定董事会秘书负责信息披露工作，协调公司与投资者的关系，接待股东来访，回答 投资者咨询，向投资者提供公司已披露的资料；以巨潮资讯网为信息披露网站，《中国证券报》、</w:t>
      </w:r>
    </w:p>
    <w:p>
      <w:pPr>
        <w:pStyle w:val="Style44"/>
        <w:keepNext w:val="0"/>
        <w:keepLines w:val="0"/>
        <w:widowControl w:val="0"/>
        <w:shd w:val="clear" w:color="auto" w:fill="auto"/>
        <w:bidi w:val="0"/>
        <w:spacing w:before="0" w:after="0" w:line="446" w:lineRule="exact"/>
        <w:ind w:left="760" w:right="0" w:firstLine="0"/>
        <w:jc w:val="both"/>
      </w:pPr>
      <w:r>
        <w:rPr>
          <w:color w:val="000000"/>
          <w:spacing w:val="0"/>
          <w:w w:val="100"/>
          <w:position w:val="0"/>
        </w:rPr>
        <w:t>《证券时报》、《证券日报》、《上海证券报》为公司定期报告披露的提示性公告指定披露报 刊，使公司所有投资者能够以平等的机会获得公司信息；维护电话专线、专用邮箱、互动易平 台等多种沟通渠道，采取积极回复投资者咨询的态度，持续重视和维护与投资者之间良好的互 动关系。同时，公司利用自有公众微信平台、官方网站为信息披露的补充手段，传播公司简讯 和公司新闻，为关注公司的投资者提供更丰富的信息获取通道。</w:t>
      </w:r>
    </w:p>
    <w:p>
      <w:pPr>
        <w:pStyle w:val="Style44"/>
        <w:keepNext w:val="0"/>
        <w:keepLines w:val="0"/>
        <w:widowControl w:val="0"/>
        <w:shd w:val="clear" w:color="auto" w:fill="auto"/>
        <w:bidi w:val="0"/>
        <w:spacing w:before="0" w:after="320" w:line="449" w:lineRule="exact"/>
        <w:ind w:left="760" w:right="0" w:firstLine="460"/>
        <w:jc w:val="both"/>
      </w:pPr>
      <w:r>
        <w:rPr>
          <w:color w:val="000000"/>
          <w:spacing w:val="0"/>
          <w:w w:val="100"/>
          <w:position w:val="0"/>
        </w:rPr>
        <w:t>今后，公司仍将进一步加强投资者关系管理工作，不断尝试更加有效和充分的管理方式和 方法，不断提高公司信息透明度，在符合各项法律法规、规章制度的基础上，最大程度地保障 全体股东的合法权益。</w:t>
      </w:r>
    </w:p>
    <w:p>
      <w:pPr>
        <w:pStyle w:val="Style52"/>
        <w:keepNext/>
        <w:keepLines/>
        <w:widowControl w:val="0"/>
        <w:shd w:val="clear" w:color="auto" w:fill="auto"/>
        <w:tabs>
          <w:tab w:pos="1120" w:val="left"/>
        </w:tabs>
        <w:bidi w:val="0"/>
        <w:spacing w:before="0" w:after="0" w:line="446" w:lineRule="exact"/>
        <w:ind w:left="0" w:right="0" w:firstLine="760"/>
        <w:jc w:val="left"/>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sz w:val="24"/>
          <w:szCs w:val="24"/>
        </w:rPr>
        <w:t>6</w:t>
      </w:r>
      <w:bookmarkEnd w:id="562"/>
      <w:r>
        <w:rPr>
          <w:color w:val="000000"/>
          <w:spacing w:val="0"/>
          <w:w w:val="100"/>
          <w:position w:val="0"/>
        </w:rPr>
        <w:t>、</w:t>
        <w:tab/>
        <w:t>关于绩效评价与激励约束机制</w:t>
      </w:r>
      <w:bookmarkEnd w:id="560"/>
      <w:bookmarkEnd w:id="561"/>
      <w:bookmarkEnd w:id="563"/>
    </w:p>
    <w:p>
      <w:pPr>
        <w:pStyle w:val="Style44"/>
        <w:keepNext w:val="0"/>
        <w:keepLines w:val="0"/>
        <w:widowControl w:val="0"/>
        <w:shd w:val="clear" w:color="auto" w:fill="auto"/>
        <w:bidi w:val="0"/>
        <w:spacing w:before="0" w:after="0" w:line="454" w:lineRule="exact"/>
        <w:ind w:left="760" w:right="0" w:firstLine="460"/>
        <w:jc w:val="both"/>
      </w:pPr>
      <w:r>
        <w:rPr>
          <w:color w:val="000000"/>
          <w:spacing w:val="0"/>
          <w:w w:val="100"/>
          <w:position w:val="0"/>
        </w:rPr>
        <w:t>公司已建立绩效评价激励体系，董事会薪酬与考核委员会负责对公司的董事、高级管理人 员进行绩效考核，公司现有的考核及激励约束机制符合公司的发展现状。高级管理人员的聘任 公开、透明，符合法律、法规的规定。</w:t>
      </w:r>
    </w:p>
    <w:p>
      <w:pPr>
        <w:pStyle w:val="Style52"/>
        <w:keepNext/>
        <w:keepLines/>
        <w:widowControl w:val="0"/>
        <w:shd w:val="clear" w:color="auto" w:fill="auto"/>
        <w:bidi w:val="0"/>
        <w:spacing w:before="0" w:after="0" w:line="240" w:lineRule="auto"/>
        <w:ind w:left="0" w:right="0" w:firstLine="72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sz w:val="24"/>
          <w:szCs w:val="24"/>
        </w:rPr>
        <w:t>7</w:t>
      </w:r>
      <w:bookmarkEnd w:id="566"/>
      <w:r>
        <w:rPr>
          <w:color w:val="000000"/>
          <w:spacing w:val="0"/>
          <w:w w:val="100"/>
          <w:position w:val="0"/>
        </w:rPr>
        <w:t>、关于相关利益者</w:t>
      </w:r>
      <w:bookmarkEnd w:id="564"/>
      <w:bookmarkEnd w:id="565"/>
      <w:bookmarkEnd w:id="567"/>
    </w:p>
    <w:p>
      <w:pPr>
        <w:pStyle w:val="Style44"/>
        <w:keepNext w:val="0"/>
        <w:keepLines w:val="0"/>
        <w:widowControl w:val="0"/>
        <w:shd w:val="clear" w:color="auto" w:fill="auto"/>
        <w:bidi w:val="0"/>
        <w:spacing w:before="0" w:after="160" w:line="449" w:lineRule="exact"/>
        <w:ind w:left="720" w:right="0" w:firstLine="500"/>
        <w:jc w:val="left"/>
      </w:pPr>
      <w:r>
        <w:rPr>
          <w:color w:val="000000"/>
          <w:spacing w:val="0"/>
          <w:w w:val="100"/>
          <w:position w:val="0"/>
        </w:rPr>
        <w:t>公司充分尊重和维护相关利益者的合法权益，积极与相关利益者合作，加强与各方的沟通 和交流，实现投资者、客户、供应商、员工及社会等各方利益的协调平衡，共同推动公司持续、 健康的发展。</w:t>
      </w:r>
    </w:p>
    <w:p>
      <w:pPr>
        <w:pStyle w:val="Style44"/>
        <w:keepNext w:val="0"/>
        <w:keepLines w:val="0"/>
        <w:widowControl w:val="0"/>
        <w:shd w:val="clear" w:color="auto" w:fill="auto"/>
        <w:bidi w:val="0"/>
        <w:spacing w:before="0" w:after="0" w:line="422" w:lineRule="exact"/>
        <w:ind w:left="720" w:right="0" w:firstLine="40"/>
        <w:jc w:val="left"/>
      </w:pPr>
      <w:r>
        <w:rPr>
          <w:color w:val="000000"/>
          <w:spacing w:val="0"/>
          <w:w w:val="100"/>
          <w:position w:val="0"/>
        </w:rPr>
        <w:t xml:space="preserve">公司治理的实际状况与中国证监会发布的有关上市公司治理的规范性文件是否存在重大差异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44"/>
        <w:keepNext w:val="0"/>
        <w:keepLines w:val="0"/>
        <w:widowControl w:val="0"/>
        <w:shd w:val="clear" w:color="auto" w:fill="auto"/>
        <w:bidi w:val="0"/>
        <w:spacing w:before="0" w:after="200" w:line="422" w:lineRule="exact"/>
        <w:ind w:left="720" w:right="0" w:firstLine="40"/>
        <w:jc w:val="left"/>
      </w:pPr>
      <w:r>
        <w:rPr>
          <w:color w:val="000000"/>
          <w:spacing w:val="0"/>
          <w:w w:val="100"/>
          <w:position w:val="0"/>
        </w:rPr>
        <w:t>公司治理的实际状况与中国证监会发布的有关上市公司治理的规范性文件不存在重大差异。</w:t>
      </w:r>
    </w:p>
    <w:p>
      <w:pPr>
        <w:pStyle w:val="Style42"/>
        <w:keepNext/>
        <w:keepLines/>
        <w:widowControl w:val="0"/>
        <w:shd w:val="clear" w:color="auto" w:fill="auto"/>
        <w:tabs>
          <w:tab w:pos="1277" w:val="left"/>
        </w:tabs>
        <w:bidi w:val="0"/>
        <w:spacing w:before="0" w:after="160" w:line="436" w:lineRule="exact"/>
        <w:ind w:left="720" w:right="0" w:firstLine="40"/>
        <w:jc w:val="left"/>
      </w:pPr>
      <w:bookmarkStart w:id="568" w:name="bookmark568"/>
      <w:bookmarkStart w:id="569" w:name="bookmark569"/>
      <w:bookmarkStart w:id="570" w:name="bookmark570"/>
      <w:bookmarkStart w:id="571" w:name="bookmark571"/>
      <w:r>
        <w:rPr>
          <w:color w:val="000000"/>
          <w:spacing w:val="0"/>
          <w:w w:val="100"/>
          <w:position w:val="0"/>
        </w:rPr>
        <w:t>二</w:t>
      </w:r>
      <w:bookmarkEnd w:id="570"/>
      <w:r>
        <w:rPr>
          <w:color w:val="000000"/>
          <w:spacing w:val="0"/>
          <w:w w:val="100"/>
          <w:position w:val="0"/>
        </w:rPr>
        <w:t>、</w:t>
        <w:tab/>
        <w:t>公司相对于控股股东在业务、人员、资产、机构、财务等方面的独立情况</w:t>
      </w:r>
      <w:bookmarkEnd w:id="568"/>
      <w:bookmarkEnd w:id="569"/>
      <w:bookmarkEnd w:id="571"/>
    </w:p>
    <w:p>
      <w:pPr>
        <w:pStyle w:val="Style44"/>
        <w:keepNext w:val="0"/>
        <w:keepLines w:val="0"/>
        <w:widowControl w:val="0"/>
        <w:shd w:val="clear" w:color="auto" w:fill="auto"/>
        <w:bidi w:val="0"/>
        <w:spacing w:before="0" w:after="320" w:line="436" w:lineRule="exact"/>
        <w:ind w:left="0" w:right="0" w:firstLine="720"/>
        <w:jc w:val="left"/>
      </w:pPr>
      <w:r>
        <w:rPr>
          <w:color w:val="000000"/>
          <w:spacing w:val="0"/>
          <w:w w:val="100"/>
          <w:position w:val="0"/>
        </w:rPr>
        <w:t>不适用，因为公司不存在控股股东。</w:t>
      </w:r>
    </w:p>
    <w:p>
      <w:pPr>
        <w:pStyle w:val="Style42"/>
        <w:keepNext/>
        <w:keepLines/>
        <w:widowControl w:val="0"/>
        <w:shd w:val="clear" w:color="auto" w:fill="auto"/>
        <w:tabs>
          <w:tab w:pos="1242" w:val="left"/>
        </w:tabs>
        <w:bidi w:val="0"/>
        <w:spacing w:before="0" w:after="160" w:line="436" w:lineRule="exact"/>
        <w:ind w:left="0" w:right="0" w:firstLine="720"/>
        <w:jc w:val="left"/>
      </w:pPr>
      <w:bookmarkStart w:id="572" w:name="bookmark572"/>
      <w:bookmarkStart w:id="573" w:name="bookmark573"/>
      <w:bookmarkStart w:id="574" w:name="bookmark574"/>
      <w:bookmarkStart w:id="575" w:name="bookmark575"/>
      <w:r>
        <w:rPr>
          <w:color w:val="000000"/>
          <w:spacing w:val="0"/>
          <w:w w:val="100"/>
          <w:position w:val="0"/>
        </w:rPr>
        <w:t>三</w:t>
      </w:r>
      <w:bookmarkEnd w:id="574"/>
      <w:r>
        <w:rPr>
          <w:color w:val="000000"/>
          <w:spacing w:val="0"/>
          <w:w w:val="100"/>
          <w:position w:val="0"/>
        </w:rPr>
        <w:t>、</w:t>
        <w:tab/>
        <w:t>同业竞争情况</w:t>
      </w:r>
      <w:bookmarkEnd w:id="572"/>
      <w:bookmarkEnd w:id="573"/>
      <w:bookmarkEnd w:id="575"/>
    </w:p>
    <w:p>
      <w:pPr>
        <w:pStyle w:val="Style44"/>
        <w:keepNext w:val="0"/>
        <w:keepLines w:val="0"/>
        <w:widowControl w:val="0"/>
        <w:shd w:val="clear" w:color="auto" w:fill="auto"/>
        <w:bidi w:val="0"/>
        <w:spacing w:before="0" w:after="160" w:line="436" w:lineRule="exact"/>
        <w:ind w:left="0" w:right="0" w:firstLine="7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2"/>
        <w:keepNext/>
        <w:keepLines/>
        <w:widowControl w:val="0"/>
        <w:shd w:val="clear" w:color="auto" w:fill="auto"/>
        <w:tabs>
          <w:tab w:pos="1242" w:val="left"/>
        </w:tabs>
        <w:bidi w:val="0"/>
        <w:spacing w:before="0" w:after="160" w:line="436" w:lineRule="exact"/>
        <w:ind w:left="0" w:right="0" w:firstLine="720"/>
        <w:jc w:val="left"/>
      </w:pPr>
      <w:bookmarkStart w:id="576" w:name="bookmark576"/>
      <w:bookmarkStart w:id="577" w:name="bookmark577"/>
      <w:bookmarkStart w:id="578" w:name="bookmark578"/>
      <w:bookmarkStart w:id="579" w:name="bookmark579"/>
      <w:r>
        <w:rPr>
          <w:color w:val="000000"/>
          <w:spacing w:val="0"/>
          <w:w w:val="100"/>
          <w:position w:val="0"/>
        </w:rPr>
        <w:t>四</w:t>
      </w:r>
      <w:bookmarkEnd w:id="578"/>
      <w:r>
        <w:rPr>
          <w:color w:val="000000"/>
          <w:spacing w:val="0"/>
          <w:w w:val="100"/>
          <w:position w:val="0"/>
        </w:rPr>
        <w:t>、</w:t>
        <w:tab/>
        <w:t>报告期内召开的年度股东大会和临时股东大会的有关情况</w:t>
      </w:r>
      <w:bookmarkEnd w:id="576"/>
      <w:bookmarkEnd w:id="577"/>
      <w:bookmarkEnd w:id="579"/>
    </w:p>
    <w:p>
      <w:pPr>
        <w:pStyle w:val="Style52"/>
        <w:keepNext/>
        <w:keepLines/>
        <w:widowControl w:val="0"/>
        <w:shd w:val="clear" w:color="auto" w:fill="auto"/>
        <w:bidi w:val="0"/>
        <w:spacing w:before="0" w:after="320" w:line="436" w:lineRule="exact"/>
        <w:ind w:left="0" w:right="0" w:firstLine="720"/>
        <w:jc w:val="left"/>
      </w:pPr>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1</w:t>
      </w:r>
      <w:r>
        <w:rPr>
          <w:color w:val="000000"/>
          <w:spacing w:val="0"/>
          <w:w w:val="100"/>
          <w:position w:val="0"/>
        </w:rPr>
        <w:t>、本报告期股东大会情况</w:t>
      </w:r>
      <w:bookmarkEnd w:id="580"/>
      <w:bookmarkEnd w:id="581"/>
      <w:bookmarkEnd w:id="582"/>
    </w:p>
    <w:tbl>
      <w:tblPr>
        <w:tblOverlap w:val="never"/>
        <w:jc w:val="center"/>
        <w:tblLayout w:type="fixed"/>
      </w:tblPr>
      <w:tblGrid>
        <w:gridCol w:w="2808"/>
        <w:gridCol w:w="1416"/>
        <w:gridCol w:w="1704"/>
        <w:gridCol w:w="1272"/>
        <w:gridCol w:w="1277"/>
        <w:gridCol w:w="1104"/>
      </w:tblGrid>
      <w:tr>
        <w:trPr>
          <w:trHeight w:val="52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会议类型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投资者参与比例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披露日期</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披露索引</w:t>
            </w:r>
          </w:p>
        </w:tc>
      </w:tr>
      <w:tr>
        <w:trPr>
          <w:trHeight w:val="51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年第一次临时股东大会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临时股东大会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4.4325%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2020-2-3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2020-013</w:t>
            </w:r>
          </w:p>
        </w:tc>
      </w:tr>
      <w:tr>
        <w:trPr>
          <w:trHeight w:val="51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0"/>
                <w:szCs w:val="20"/>
              </w:rPr>
              <w:t>年度股东大会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年度股东大会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5.1665%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2020-5-14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2020-5-14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2020-048</w:t>
            </w:r>
          </w:p>
        </w:tc>
      </w:tr>
      <w:tr>
        <w:trPr>
          <w:trHeight w:val="53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年第二次临时股东大会</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临时股东大会</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4.9518%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2020-9-14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2020-9-14</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2020-066</w:t>
            </w:r>
          </w:p>
        </w:tc>
      </w:tr>
    </w:tbl>
    <w:p>
      <w:pPr>
        <w:widowControl w:val="0"/>
        <w:spacing w:after="319" w:line="1" w:lineRule="exact"/>
      </w:pPr>
    </w:p>
    <w:p>
      <w:pPr>
        <w:pStyle w:val="Style52"/>
        <w:keepNext/>
        <w:keepLines/>
        <w:widowControl w:val="0"/>
        <w:shd w:val="clear" w:color="auto" w:fill="auto"/>
        <w:bidi w:val="0"/>
        <w:spacing w:before="0" w:after="320" w:line="240" w:lineRule="auto"/>
        <w:ind w:left="0" w:right="0" w:firstLine="72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2</w:t>
      </w:r>
      <w:bookmarkEnd w:id="585"/>
      <w:r>
        <w:rPr>
          <w:color w:val="000000"/>
          <w:spacing w:val="0"/>
          <w:w w:val="100"/>
          <w:position w:val="0"/>
        </w:rPr>
        <w:t>、表决权恢复的优先股股东请求召开临时股东大会</w:t>
      </w:r>
      <w:bookmarkEnd w:id="583"/>
      <w:bookmarkEnd w:id="584"/>
      <w:bookmarkEnd w:id="586"/>
    </w:p>
    <w:p>
      <w:pPr>
        <w:pStyle w:val="Style44"/>
        <w:keepNext w:val="0"/>
        <w:keepLines w:val="0"/>
        <w:widowControl w:val="0"/>
        <w:shd w:val="clear" w:color="auto" w:fill="auto"/>
        <w:bidi w:val="0"/>
        <w:spacing w:before="0" w:after="320" w:line="240" w:lineRule="auto"/>
        <w:ind w:left="0" w:right="0" w:firstLine="7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2"/>
        <w:keepNext/>
        <w:keepLines/>
        <w:widowControl w:val="0"/>
        <w:shd w:val="clear" w:color="auto" w:fill="auto"/>
        <w:bidi w:val="0"/>
        <w:spacing w:before="0" w:after="320" w:line="240" w:lineRule="auto"/>
        <w:ind w:left="0" w:right="0" w:firstLine="720"/>
        <w:jc w:val="left"/>
      </w:pPr>
      <w:bookmarkStart w:id="587" w:name="bookmark587"/>
      <w:bookmarkStart w:id="588" w:name="bookmark588"/>
      <w:bookmarkStart w:id="589" w:name="bookmark589"/>
      <w:bookmarkStart w:id="590" w:name="bookmark590"/>
      <w:r>
        <w:rPr>
          <w:color w:val="000000"/>
          <w:spacing w:val="0"/>
          <w:w w:val="100"/>
          <w:position w:val="0"/>
        </w:rPr>
        <w:t>五</w:t>
      </w:r>
      <w:bookmarkEnd w:id="589"/>
      <w:r>
        <w:rPr>
          <w:color w:val="000000"/>
          <w:spacing w:val="0"/>
          <w:w w:val="100"/>
          <w:position w:val="0"/>
        </w:rPr>
        <w:t>、报告期内独立董事履行职责的情况</w:t>
      </w:r>
      <w:bookmarkEnd w:id="587"/>
      <w:bookmarkEnd w:id="588"/>
      <w:bookmarkEnd w:id="590"/>
    </w:p>
    <w:p>
      <w:pPr>
        <w:pStyle w:val="Style52"/>
        <w:keepNext/>
        <w:keepLines/>
        <w:widowControl w:val="0"/>
        <w:shd w:val="clear" w:color="auto" w:fill="auto"/>
        <w:bidi w:val="0"/>
        <w:spacing w:before="0" w:after="320" w:line="240" w:lineRule="auto"/>
        <w:ind w:left="0" w:right="0" w:firstLine="720"/>
        <w:jc w:val="left"/>
        <w:rPr>
          <w:sz w:val="20"/>
          <w:szCs w:val="20"/>
        </w:rPr>
      </w:pPr>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、独立董事出席董事会及股东大会的情况</w:t>
      </w:r>
      <w:bookmarkEnd w:id="591"/>
      <w:bookmarkEnd w:id="592"/>
      <w:bookmarkEnd w:id="593"/>
    </w:p>
    <w:tbl>
      <w:tblPr>
        <w:tblOverlap w:val="never"/>
        <w:jc w:val="center"/>
        <w:tblLayout w:type="fixed"/>
      </w:tblPr>
      <w:tblGrid>
        <w:gridCol w:w="1392"/>
        <w:gridCol w:w="1277"/>
        <w:gridCol w:w="1272"/>
        <w:gridCol w:w="1277"/>
        <w:gridCol w:w="1133"/>
        <w:gridCol w:w="1138"/>
        <w:gridCol w:w="1272"/>
        <w:gridCol w:w="1147"/>
      </w:tblGrid>
      <w:tr>
        <w:trPr>
          <w:trHeight w:val="528" w:hRule="exact"/>
        </w:trPr>
        <w:tc>
          <w:tcPr>
            <w:gridSpan w:val="8"/>
            <w:tcBorders>
              <w:top w:val="single" w:sz="4"/>
              <w:left w:val="single" w:sz="4"/>
              <w:right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独立董事出席董事会及股东大会的情况</w:t>
            </w:r>
          </w:p>
        </w:tc>
      </w:tr>
      <w:tr>
        <w:trPr>
          <w:trHeight w:val="907"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独立董事姓名</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本报告期应 参加董事会</w:t>
            </w:r>
          </w:p>
          <w:p>
            <w:pPr>
              <w:pStyle w:val="Style2"/>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次数</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现场出席次 数</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以通讯方式 参加次数</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委托出席次 数</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缺席次数</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是否连续两 次未亲自参 加会议</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出席股东大 会次数</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孟亚平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r>
      <w:tr>
        <w:trPr>
          <w:trHeight w:val="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肖幼美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r>
    </w:tbl>
    <w:tbl>
      <w:tblPr>
        <w:tblOverlap w:val="never"/>
        <w:jc w:val="center"/>
        <w:tblLayout w:type="fixed"/>
      </w:tblPr>
      <w:tblGrid>
        <w:gridCol w:w="1392"/>
        <w:gridCol w:w="1277"/>
        <w:gridCol w:w="1272"/>
        <w:gridCol w:w="1277"/>
        <w:gridCol w:w="1133"/>
        <w:gridCol w:w="1138"/>
        <w:gridCol w:w="1272"/>
        <w:gridCol w:w="1147"/>
      </w:tblGrid>
      <w:tr>
        <w:trPr>
          <w:trHeight w:val="53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刘震国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r>
    </w:tbl>
    <w:p>
      <w:pPr>
        <w:pStyle w:val="Style44"/>
        <w:keepNext w:val="0"/>
        <w:keepLines w:val="0"/>
        <w:widowControl w:val="0"/>
        <w:shd w:val="clear" w:color="auto" w:fill="auto"/>
        <w:bidi w:val="0"/>
        <w:spacing w:before="0" w:after="220" w:line="449" w:lineRule="exact"/>
        <w:ind w:left="0" w:right="0" w:firstLine="760"/>
        <w:jc w:val="left"/>
      </w:pPr>
      <w:r>
        <w:rPr>
          <w:color w:val="000000"/>
          <w:spacing w:val="0"/>
          <w:w w:val="100"/>
          <w:position w:val="0"/>
        </w:rPr>
        <w:t>连续两次未亲自出席董事会的说明</w:t>
      </w:r>
    </w:p>
    <w:p>
      <w:pPr>
        <w:pStyle w:val="Style44"/>
        <w:keepNext w:val="0"/>
        <w:keepLines w:val="0"/>
        <w:widowControl w:val="0"/>
        <w:shd w:val="clear" w:color="auto" w:fill="auto"/>
        <w:bidi w:val="0"/>
        <w:spacing w:before="0" w:after="0" w:line="427" w:lineRule="auto"/>
        <w:ind w:left="0" w:right="0" w:firstLine="7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2"/>
        <w:keepNext/>
        <w:keepLines/>
        <w:widowControl w:val="0"/>
        <w:shd w:val="clear" w:color="auto" w:fill="auto"/>
        <w:tabs>
          <w:tab w:pos="1152" w:val="left"/>
        </w:tabs>
        <w:bidi w:val="0"/>
        <w:spacing w:before="0" w:after="140" w:line="449" w:lineRule="exact"/>
        <w:ind w:left="0" w:right="0" w:firstLine="760"/>
        <w:jc w:val="left"/>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2</w:t>
      </w:r>
      <w:bookmarkEnd w:id="596"/>
      <w:r>
        <w:rPr>
          <w:color w:val="000000"/>
          <w:spacing w:val="0"/>
          <w:w w:val="100"/>
          <w:position w:val="0"/>
        </w:rPr>
        <w:t>、</w:t>
        <w:tab/>
        <w:t>独立董事对公司有关事项提出异议的情况</w:t>
      </w:r>
      <w:bookmarkEnd w:id="594"/>
      <w:bookmarkEnd w:id="595"/>
      <w:bookmarkEnd w:id="597"/>
    </w:p>
    <w:p>
      <w:pPr>
        <w:pStyle w:val="Style44"/>
        <w:keepNext w:val="0"/>
        <w:keepLines w:val="0"/>
        <w:widowControl w:val="0"/>
        <w:shd w:val="clear" w:color="auto" w:fill="auto"/>
        <w:bidi w:val="0"/>
        <w:spacing w:before="0" w:after="220" w:line="449" w:lineRule="exact"/>
        <w:ind w:left="0" w:right="0" w:firstLine="760"/>
        <w:jc w:val="left"/>
      </w:pPr>
      <w:r>
        <w:rPr>
          <w:color w:val="000000"/>
          <w:spacing w:val="0"/>
          <w:w w:val="100"/>
          <w:position w:val="0"/>
        </w:rPr>
        <w:t>独立董事对公司有关事项是否提出异议</w:t>
      </w:r>
    </w:p>
    <w:p>
      <w:pPr>
        <w:pStyle w:val="Style44"/>
        <w:keepNext w:val="0"/>
        <w:keepLines w:val="0"/>
        <w:widowControl w:val="0"/>
        <w:shd w:val="clear" w:color="auto" w:fill="auto"/>
        <w:bidi w:val="0"/>
        <w:spacing w:before="0" w:after="0" w:line="427" w:lineRule="auto"/>
        <w:ind w:left="0" w:right="0" w:firstLine="76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44"/>
        <w:keepNext w:val="0"/>
        <w:keepLines w:val="0"/>
        <w:widowControl w:val="0"/>
        <w:shd w:val="clear" w:color="auto" w:fill="auto"/>
        <w:bidi w:val="0"/>
        <w:spacing w:before="0" w:after="140" w:line="449" w:lineRule="exact"/>
        <w:ind w:left="0" w:right="0" w:firstLine="760"/>
        <w:jc w:val="left"/>
      </w:pPr>
      <w:r>
        <w:rPr>
          <w:color w:val="000000"/>
          <w:spacing w:val="0"/>
          <w:w w:val="100"/>
          <w:position w:val="0"/>
        </w:rPr>
        <w:t>报告期内独立董事对公司有关事项未提出异议。</w:t>
      </w:r>
    </w:p>
    <w:p>
      <w:pPr>
        <w:pStyle w:val="Style52"/>
        <w:keepNext/>
        <w:keepLines/>
        <w:widowControl w:val="0"/>
        <w:shd w:val="clear" w:color="auto" w:fill="auto"/>
        <w:tabs>
          <w:tab w:pos="1152" w:val="left"/>
        </w:tabs>
        <w:bidi w:val="0"/>
        <w:spacing w:before="0" w:after="140" w:line="449" w:lineRule="exact"/>
        <w:ind w:left="0" w:right="0" w:firstLine="76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3</w:t>
      </w:r>
      <w:bookmarkEnd w:id="600"/>
      <w:r>
        <w:rPr>
          <w:color w:val="000000"/>
          <w:spacing w:val="0"/>
          <w:w w:val="100"/>
          <w:position w:val="0"/>
        </w:rPr>
        <w:t>、</w:t>
        <w:tab/>
        <w:t>独立董事履行职责的其他说明</w:t>
      </w:r>
      <w:bookmarkEnd w:id="598"/>
      <w:bookmarkEnd w:id="599"/>
      <w:bookmarkEnd w:id="601"/>
    </w:p>
    <w:p>
      <w:pPr>
        <w:pStyle w:val="Style44"/>
        <w:keepNext w:val="0"/>
        <w:keepLines w:val="0"/>
        <w:widowControl w:val="0"/>
        <w:shd w:val="clear" w:color="auto" w:fill="auto"/>
        <w:bidi w:val="0"/>
        <w:spacing w:before="0" w:after="0" w:line="449" w:lineRule="exact"/>
        <w:ind w:left="0" w:right="0" w:firstLine="760"/>
        <w:jc w:val="left"/>
      </w:pPr>
      <w:r>
        <w:rPr>
          <w:color w:val="000000"/>
          <w:spacing w:val="0"/>
          <w:w w:val="100"/>
          <w:position w:val="0"/>
        </w:rPr>
        <w:t>独立董事对公司有关建议是否被采纳</w:t>
      </w:r>
    </w:p>
    <w:p>
      <w:pPr>
        <w:pStyle w:val="Style44"/>
        <w:keepNext w:val="0"/>
        <w:keepLines w:val="0"/>
        <w:widowControl w:val="0"/>
        <w:shd w:val="clear" w:color="auto" w:fill="auto"/>
        <w:bidi w:val="0"/>
        <w:spacing w:before="0" w:after="80" w:line="449" w:lineRule="exact"/>
        <w:ind w:left="0" w:right="0" w:firstLine="760"/>
        <w:jc w:val="left"/>
      </w:pPr>
      <w:r>
        <w:rPr>
          <w:color w:val="000000"/>
          <w:spacing w:val="0"/>
          <w:w w:val="100"/>
          <w:position w:val="0"/>
        </w:rPr>
        <w:t>寸</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44"/>
        <w:keepNext w:val="0"/>
        <w:keepLines w:val="0"/>
        <w:widowControl w:val="0"/>
        <w:shd w:val="clear" w:color="auto" w:fill="auto"/>
        <w:bidi w:val="0"/>
        <w:spacing w:before="0" w:after="0" w:line="449" w:lineRule="exact"/>
        <w:ind w:left="0" w:right="0" w:firstLine="760"/>
        <w:jc w:val="left"/>
      </w:pPr>
      <w:r>
        <w:rPr>
          <w:color w:val="000000"/>
          <w:spacing w:val="0"/>
          <w:w w:val="100"/>
          <w:position w:val="0"/>
        </w:rPr>
        <w:t>独立董事对公司有关建议被采纳或未被采纳的说明</w:t>
      </w:r>
    </w:p>
    <w:p>
      <w:pPr>
        <w:pStyle w:val="Style44"/>
        <w:keepNext w:val="0"/>
        <w:keepLines w:val="0"/>
        <w:widowControl w:val="0"/>
        <w:shd w:val="clear" w:color="auto" w:fill="auto"/>
        <w:bidi w:val="0"/>
        <w:spacing w:before="0" w:after="320" w:line="448" w:lineRule="exact"/>
        <w:ind w:left="760" w:right="0" w:firstLine="480"/>
        <w:jc w:val="both"/>
      </w:pPr>
      <w:r>
        <w:rPr>
          <w:color w:val="000000"/>
          <w:spacing w:val="0"/>
          <w:w w:val="100"/>
          <w:position w:val="0"/>
        </w:rPr>
        <w:t>公司独立董事勤勉尽责，严格按照《公司法》、《证券法》、《创业板股票上市规则》及《公 司章程》、《董事会议事规则》和《独立董事制度》等相关规定，关注公司运作，独立履行职责， 对公司内部控制建设、管理体系建设、公司制度完善和重大决策等方面提出了很多宝贵的专业 性建议，对公司财务及经营活动进行了有效监督，提高了公司决策的科学性，为完善公司监督 机制，维护公司和全体股东的合法权益发挥了应有的作用。</w:t>
      </w:r>
    </w:p>
    <w:p>
      <w:pPr>
        <w:pStyle w:val="Style42"/>
        <w:keepNext/>
        <w:keepLines/>
        <w:widowControl w:val="0"/>
        <w:shd w:val="clear" w:color="auto" w:fill="auto"/>
        <w:bidi w:val="0"/>
        <w:spacing w:before="0" w:after="140" w:line="449" w:lineRule="exact"/>
        <w:ind w:left="0" w:right="0" w:firstLine="760"/>
        <w:jc w:val="left"/>
      </w:pPr>
      <w:bookmarkStart w:id="602" w:name="bookmark602"/>
      <w:bookmarkStart w:id="603" w:name="bookmark603"/>
      <w:bookmarkStart w:id="604" w:name="bookmark604"/>
      <w:bookmarkStart w:id="605" w:name="bookmark605"/>
      <w:r>
        <w:rPr>
          <w:color w:val="000000"/>
          <w:spacing w:val="0"/>
          <w:w w:val="100"/>
          <w:position w:val="0"/>
        </w:rPr>
        <w:t>六</w:t>
      </w:r>
      <w:bookmarkEnd w:id="604"/>
      <w:r>
        <w:rPr>
          <w:color w:val="000000"/>
          <w:spacing w:val="0"/>
          <w:w w:val="100"/>
          <w:position w:val="0"/>
        </w:rPr>
        <w:t>、董事会下设专门委员会在报告期内履行职责情况</w:t>
      </w:r>
      <w:bookmarkEnd w:id="602"/>
      <w:bookmarkEnd w:id="603"/>
      <w:bookmarkEnd w:id="605"/>
    </w:p>
    <w:p>
      <w:pPr>
        <w:pStyle w:val="Style44"/>
        <w:keepNext w:val="0"/>
        <w:keepLines w:val="0"/>
        <w:widowControl w:val="0"/>
        <w:shd w:val="clear" w:color="auto" w:fill="auto"/>
        <w:bidi w:val="0"/>
        <w:spacing w:before="0" w:after="0" w:line="449" w:lineRule="exact"/>
        <w:ind w:left="760" w:right="0" w:firstLine="480"/>
        <w:jc w:val="both"/>
      </w:pPr>
      <w:r>
        <w:rPr>
          <w:color w:val="000000"/>
          <w:spacing w:val="0"/>
          <w:w w:val="100"/>
          <w:position w:val="0"/>
        </w:rPr>
        <w:t>公司董事会下设三个专门委员会：审计委员会、薪酬与考核委员会、战略委员会。上述委 员会严格依据公司董事会所制订的职权范围及各专门委员会的议事规则运作，并就专业事项进 行研究和讨论，形成建议和意见，为董事会的决策提供了积极有效的支撑。</w:t>
      </w:r>
    </w:p>
    <w:p>
      <w:pPr>
        <w:pStyle w:val="Style44"/>
        <w:keepNext w:val="0"/>
        <w:keepLines w:val="0"/>
        <w:widowControl w:val="0"/>
        <w:shd w:val="clear" w:color="auto" w:fill="auto"/>
        <w:bidi w:val="0"/>
        <w:spacing w:before="0" w:after="140" w:line="449" w:lineRule="exact"/>
        <w:ind w:left="760" w:right="0" w:firstLine="480"/>
        <w:jc w:val="both"/>
      </w:pPr>
      <w:r>
        <w:rPr>
          <w:color w:val="000000"/>
          <w:spacing w:val="0"/>
          <w:w w:val="100"/>
          <w:position w:val="0"/>
        </w:rPr>
        <w:t>报告期内，公司审计委员会</w:t>
      </w:r>
      <w:r>
        <w:rPr>
          <w:rFonts w:ascii="Times New Roman" w:eastAsia="Times New Roman" w:hAnsi="Times New Roman" w:cs="Times New Roman"/>
          <w:color w:val="000000"/>
          <w:spacing w:val="0"/>
          <w:w w:val="100"/>
          <w:position w:val="0"/>
        </w:rPr>
        <w:t>2020</w:t>
      </w:r>
      <w:r>
        <w:rPr>
          <w:color w:val="000000"/>
          <w:spacing w:val="0"/>
          <w:w w:val="100"/>
          <w:position w:val="0"/>
        </w:rPr>
        <w:t>年度共组织了五次审计委员会会议，分别审议通过了</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年度报告及摘要、</w:t>
      </w:r>
      <w:r>
        <w:rPr>
          <w:rFonts w:ascii="Times New Roman" w:eastAsia="Times New Roman" w:hAnsi="Times New Roman" w:cs="Times New Roman"/>
          <w:color w:val="000000"/>
          <w:spacing w:val="0"/>
          <w:w w:val="100"/>
          <w:position w:val="0"/>
        </w:rPr>
        <w:t>2020</w:t>
      </w:r>
      <w:r>
        <w:rPr>
          <w:color w:val="000000"/>
          <w:spacing w:val="0"/>
          <w:w w:val="100"/>
          <w:position w:val="0"/>
        </w:rPr>
        <w:t>年第一季度报告、</w:t>
      </w:r>
      <w:r>
        <w:rPr>
          <w:rFonts w:ascii="Times New Roman" w:eastAsia="Times New Roman" w:hAnsi="Times New Roman" w:cs="Times New Roman"/>
          <w:color w:val="000000"/>
          <w:spacing w:val="0"/>
          <w:w w:val="100"/>
          <w:position w:val="0"/>
        </w:rPr>
        <w:t>2020</w:t>
      </w:r>
      <w:r>
        <w:rPr>
          <w:color w:val="000000"/>
          <w:spacing w:val="0"/>
          <w:w w:val="100"/>
          <w:position w:val="0"/>
        </w:rPr>
        <w:t>年半年度报告及摘要和</w:t>
      </w:r>
      <w:r>
        <w:rPr>
          <w:rFonts w:ascii="Times New Roman" w:eastAsia="Times New Roman" w:hAnsi="Times New Roman" w:cs="Times New Roman"/>
          <w:color w:val="000000"/>
          <w:spacing w:val="0"/>
          <w:w w:val="100"/>
          <w:position w:val="0"/>
        </w:rPr>
        <w:t>2020</w:t>
      </w:r>
      <w:r>
        <w:rPr>
          <w:color w:val="000000"/>
          <w:spacing w:val="0"/>
          <w:w w:val="100"/>
          <w:position w:val="0"/>
        </w:rPr>
        <w:t>年第三季度报告等相 关议案。审计委员会各委员定期查阅公司的财务报表及经营数据，在公司年度报告编制、审计 过程中切实履行独立董事的职责，监督核查披露信息；向公司管理层了解本年度的经营情况和 重大事项的进展情况；与注册会计师面对面沟通审计情况，督促会计师事务所在认真审计的情 况下及时提交审计报告。公司薪酬与考核委员会审核并同意了《关于聘任公司副总经理的议案》； 战略委员会审核并同意了《关于集中优势大力发展主业、继续推进创新驱动发展战略的议案》。</w:t>
      </w:r>
    </w:p>
    <w:p>
      <w:pPr>
        <w:pStyle w:val="Style42"/>
        <w:keepNext/>
        <w:keepLines/>
        <w:widowControl w:val="0"/>
        <w:shd w:val="clear" w:color="auto" w:fill="auto"/>
        <w:tabs>
          <w:tab w:pos="1282" w:val="left"/>
        </w:tabs>
        <w:bidi w:val="0"/>
        <w:spacing w:before="0" w:after="160" w:line="240" w:lineRule="auto"/>
        <w:ind w:left="0" w:right="0" w:firstLine="760"/>
        <w:jc w:val="left"/>
      </w:pPr>
      <w:bookmarkStart w:id="606" w:name="bookmark606"/>
      <w:bookmarkStart w:id="607" w:name="bookmark607"/>
      <w:bookmarkStart w:id="608" w:name="bookmark608"/>
      <w:bookmarkStart w:id="609" w:name="bookmark609"/>
      <w:r>
        <w:rPr>
          <w:color w:val="000000"/>
          <w:spacing w:val="0"/>
          <w:w w:val="100"/>
          <w:position w:val="0"/>
        </w:rPr>
        <w:t>七</w:t>
      </w:r>
      <w:bookmarkEnd w:id="608"/>
      <w:r>
        <w:rPr>
          <w:color w:val="000000"/>
          <w:spacing w:val="0"/>
          <w:w w:val="100"/>
          <w:position w:val="0"/>
        </w:rPr>
        <w:t>、</w:t>
        <w:tab/>
        <w:t>监事会工作情况</w:t>
      </w:r>
      <w:bookmarkEnd w:id="606"/>
      <w:bookmarkEnd w:id="607"/>
      <w:bookmarkEnd w:id="609"/>
    </w:p>
    <w:p>
      <w:pPr>
        <w:pStyle w:val="Style44"/>
        <w:keepNext w:val="0"/>
        <w:keepLines w:val="0"/>
        <w:widowControl w:val="0"/>
        <w:shd w:val="clear" w:color="auto" w:fill="auto"/>
        <w:bidi w:val="0"/>
        <w:spacing w:before="0" w:after="200" w:line="448" w:lineRule="exact"/>
        <w:ind w:left="0" w:right="0" w:firstLine="760"/>
        <w:jc w:val="left"/>
      </w:pPr>
      <w:r>
        <w:rPr>
          <w:color w:val="000000"/>
          <w:spacing w:val="0"/>
          <w:w w:val="100"/>
          <w:position w:val="0"/>
        </w:rPr>
        <w:t>监事会在报告期内的监督活动是否发现公司存在风险</w:t>
      </w:r>
    </w:p>
    <w:p>
      <w:pPr>
        <w:pStyle w:val="Style44"/>
        <w:keepNext w:val="0"/>
        <w:keepLines w:val="0"/>
        <w:widowControl w:val="0"/>
        <w:shd w:val="clear" w:color="auto" w:fill="auto"/>
        <w:bidi w:val="0"/>
        <w:spacing w:before="0" w:after="0" w:line="425" w:lineRule="auto"/>
        <w:ind w:left="0" w:right="0" w:firstLine="76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44"/>
        <w:keepNext w:val="0"/>
        <w:keepLines w:val="0"/>
        <w:widowControl w:val="0"/>
        <w:shd w:val="clear" w:color="auto" w:fill="auto"/>
        <w:bidi w:val="0"/>
        <w:spacing w:before="0" w:after="200" w:line="448" w:lineRule="exact"/>
        <w:ind w:left="0" w:right="0" w:firstLine="760"/>
        <w:jc w:val="left"/>
      </w:pPr>
      <w:r>
        <w:rPr>
          <w:color w:val="000000"/>
          <w:spacing w:val="0"/>
          <w:w w:val="100"/>
          <w:position w:val="0"/>
        </w:rPr>
        <w:t>公司监事会对报告期内的监督事项无异议。</w:t>
      </w:r>
    </w:p>
    <w:p>
      <w:pPr>
        <w:pStyle w:val="Style42"/>
        <w:keepNext/>
        <w:keepLines/>
        <w:widowControl w:val="0"/>
        <w:shd w:val="clear" w:color="auto" w:fill="auto"/>
        <w:tabs>
          <w:tab w:pos="1282" w:val="left"/>
        </w:tabs>
        <w:bidi w:val="0"/>
        <w:spacing w:before="0" w:after="160" w:line="448" w:lineRule="exact"/>
        <w:ind w:left="0" w:right="0" w:firstLine="760"/>
        <w:jc w:val="left"/>
      </w:pPr>
      <w:bookmarkStart w:id="610" w:name="bookmark610"/>
      <w:bookmarkStart w:id="611" w:name="bookmark611"/>
      <w:bookmarkStart w:id="612" w:name="bookmark612"/>
      <w:bookmarkStart w:id="613" w:name="bookmark613"/>
      <w:r>
        <w:rPr>
          <w:color w:val="000000"/>
          <w:spacing w:val="0"/>
          <w:w w:val="100"/>
          <w:position w:val="0"/>
        </w:rPr>
        <w:t>八</w:t>
      </w:r>
      <w:bookmarkEnd w:id="612"/>
      <w:r>
        <w:rPr>
          <w:color w:val="000000"/>
          <w:spacing w:val="0"/>
          <w:w w:val="100"/>
          <w:position w:val="0"/>
        </w:rPr>
        <w:t>、</w:t>
        <w:tab/>
        <w:t>高级管理人员的考评及激励情况</w:t>
      </w:r>
      <w:bookmarkEnd w:id="610"/>
      <w:bookmarkEnd w:id="611"/>
      <w:bookmarkEnd w:id="613"/>
    </w:p>
    <w:p>
      <w:pPr>
        <w:pStyle w:val="Style44"/>
        <w:keepNext w:val="0"/>
        <w:keepLines w:val="0"/>
        <w:widowControl w:val="0"/>
        <w:shd w:val="clear" w:color="auto" w:fill="auto"/>
        <w:bidi w:val="0"/>
        <w:spacing w:before="0" w:after="300" w:line="448" w:lineRule="exact"/>
        <w:ind w:left="760" w:right="0" w:firstLine="460"/>
        <w:jc w:val="both"/>
      </w:pPr>
      <w:r>
        <w:rPr>
          <w:color w:val="000000"/>
          <w:spacing w:val="0"/>
          <w:w w:val="100"/>
          <w:position w:val="0"/>
        </w:rPr>
        <w:t>公司依据国家法律法规并结合实际情况制定了薪酬管理制度，建立以贡献、绩效、能力与 职位为导向的价值评价体系，不断完善绩效考核机制和激励机制，公司高级管理人员严格按照 相关法律法规的规定和要求进行聘任，确保公开、透明、公正，同时公司董事会设立薪酬和考 核委员会，负责对高级管理人员进行绩效考核。</w:t>
      </w:r>
    </w:p>
    <w:p>
      <w:pPr>
        <w:pStyle w:val="Style42"/>
        <w:keepNext/>
        <w:keepLines/>
        <w:widowControl w:val="0"/>
        <w:shd w:val="clear" w:color="auto" w:fill="auto"/>
        <w:tabs>
          <w:tab w:pos="1282" w:val="left"/>
        </w:tabs>
        <w:bidi w:val="0"/>
        <w:spacing w:before="0" w:after="360" w:line="448" w:lineRule="exact"/>
        <w:ind w:left="0" w:right="0" w:firstLine="760"/>
        <w:jc w:val="left"/>
      </w:pPr>
      <w:bookmarkStart w:id="614" w:name="bookmark614"/>
      <w:bookmarkStart w:id="615" w:name="bookmark615"/>
      <w:bookmarkStart w:id="616" w:name="bookmark616"/>
      <w:bookmarkStart w:id="617" w:name="bookmark617"/>
      <w:r>
        <w:rPr>
          <w:color w:val="000000"/>
          <w:spacing w:val="0"/>
          <w:w w:val="100"/>
          <w:position w:val="0"/>
        </w:rPr>
        <w:t>九</w:t>
      </w:r>
      <w:bookmarkEnd w:id="616"/>
      <w:r>
        <w:rPr>
          <w:color w:val="000000"/>
          <w:spacing w:val="0"/>
          <w:w w:val="100"/>
          <w:position w:val="0"/>
        </w:rPr>
        <w:t>、</w:t>
        <w:tab/>
        <w:t>内部控制评价报告</w:t>
      </w:r>
      <w:bookmarkEnd w:id="614"/>
      <w:bookmarkEnd w:id="615"/>
      <w:bookmarkEnd w:id="617"/>
    </w:p>
    <w:p>
      <w:pPr>
        <w:pStyle w:val="Style52"/>
        <w:keepNext/>
        <w:keepLines/>
        <w:widowControl w:val="0"/>
        <w:shd w:val="clear" w:color="auto" w:fill="auto"/>
        <w:tabs>
          <w:tab w:pos="1191" w:val="left"/>
        </w:tabs>
        <w:bidi w:val="0"/>
        <w:spacing w:before="0" w:line="240" w:lineRule="auto"/>
        <w:ind w:left="0" w:right="0" w:firstLine="760"/>
        <w:jc w:val="left"/>
        <w:rPr>
          <w:sz w:val="20"/>
          <w:szCs w:val="20"/>
        </w:rPr>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sz w:val="22"/>
          <w:szCs w:val="22"/>
        </w:rPr>
        <w:t>1</w:t>
      </w:r>
      <w:bookmarkEnd w:id="620"/>
      <w:r>
        <w:rPr>
          <w:color w:val="000000"/>
          <w:spacing w:val="0"/>
          <w:w w:val="100"/>
          <w:position w:val="0"/>
          <w:sz w:val="20"/>
          <w:szCs w:val="20"/>
        </w:rPr>
        <w:t>、</w:t>
        <w:tab/>
        <w:t>报告期内发现的内部控制重大缺陷的具体情况</w:t>
      </w:r>
      <w:bookmarkEnd w:id="618"/>
      <w:bookmarkEnd w:id="619"/>
      <w:bookmarkEnd w:id="621"/>
    </w:p>
    <w:p>
      <w:pPr>
        <w:pStyle w:val="Style44"/>
        <w:keepNext w:val="0"/>
        <w:keepLines w:val="0"/>
        <w:widowControl w:val="0"/>
        <w:shd w:val="clear" w:color="auto" w:fill="auto"/>
        <w:bidi w:val="0"/>
        <w:spacing w:before="0" w:after="360" w:line="240" w:lineRule="auto"/>
        <w:ind w:left="0" w:right="0" w:firstLine="760"/>
        <w:jc w:val="left"/>
        <w:rPr>
          <w:sz w:val="50"/>
          <w:szCs w:val="5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是</w:t>
      </w:r>
      <w:r>
        <w:rPr>
          <w:i/>
          <w:iCs/>
          <w:color w:val="000000"/>
          <w:spacing w:val="0"/>
          <w:w w:val="100"/>
          <w:position w:val="0"/>
          <w:sz w:val="20"/>
          <w:szCs w:val="20"/>
        </w:rPr>
        <w:t>V</w:t>
      </w:r>
      <w:r>
        <w:rPr>
          <w:b/>
          <w:bCs/>
          <w:i/>
          <w:iCs/>
          <w:color w:val="000000"/>
          <w:spacing w:val="0"/>
          <w:w w:val="100"/>
          <w:position w:val="0"/>
          <w:sz w:val="50"/>
          <w:szCs w:val="50"/>
        </w:rPr>
        <w:t>否</w:t>
      </w:r>
    </w:p>
    <w:p>
      <w:pPr>
        <w:pStyle w:val="Style52"/>
        <w:keepNext/>
        <w:keepLines/>
        <w:widowControl w:val="0"/>
        <w:shd w:val="clear" w:color="auto" w:fill="auto"/>
        <w:tabs>
          <w:tab w:pos="1191" w:val="left"/>
        </w:tabs>
        <w:bidi w:val="0"/>
        <w:spacing w:before="0" w:line="240" w:lineRule="auto"/>
        <w:ind w:left="0" w:right="0" w:firstLine="760"/>
        <w:jc w:val="left"/>
        <w:rPr>
          <w:sz w:val="20"/>
          <w:szCs w:val="20"/>
        </w:rPr>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sz w:val="22"/>
          <w:szCs w:val="22"/>
        </w:rPr>
        <w:t>2</w:t>
      </w:r>
      <w:bookmarkEnd w:id="624"/>
      <w:r>
        <w:rPr>
          <w:color w:val="000000"/>
          <w:spacing w:val="0"/>
          <w:w w:val="100"/>
          <w:position w:val="0"/>
          <w:sz w:val="20"/>
          <w:szCs w:val="20"/>
        </w:rPr>
        <w:t>、</w:t>
        <w:tab/>
        <w:t>内控自我评价报告</w:t>
      </w:r>
      <w:bookmarkEnd w:id="622"/>
      <w:bookmarkEnd w:id="623"/>
      <w:bookmarkEnd w:id="625"/>
    </w:p>
    <w:tbl>
      <w:tblPr>
        <w:tblOverlap w:val="never"/>
        <w:jc w:val="center"/>
        <w:tblLayout w:type="fixed"/>
      </w:tblPr>
      <w:tblGrid>
        <w:gridCol w:w="3202"/>
        <w:gridCol w:w="3322"/>
        <w:gridCol w:w="2390"/>
      </w:tblGrid>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23</w:t>
            </w:r>
            <w:r>
              <w:rPr>
                <w:color w:val="000000"/>
                <w:spacing w:val="0"/>
                <w:w w:val="100"/>
                <w:position w:val="0"/>
                <w:sz w:val="20"/>
                <w:szCs w:val="20"/>
              </w:rPr>
              <w:t>日</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年度内部控制自我评价报告</w:t>
            </w:r>
          </w:p>
        </w:tc>
      </w:tr>
      <w:tr>
        <w:trPr>
          <w:trHeight w:val="6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纳入评价范围单位资产总额占公 司合并财务报表资产总额的比例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r>
        <w:trPr>
          <w:trHeight w:val="6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纳入评价范围单位营业收入占公 司合并财务报表营业收入的比例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r>
        <w:trPr>
          <w:trHeight w:val="52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缺陷认定标准</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非财务报告</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52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p>
      <w:pPr>
        <w:pStyle w:val="Style42"/>
        <w:keepNext/>
        <w:keepLines/>
        <w:widowControl w:val="0"/>
        <w:shd w:val="clear" w:color="auto" w:fill="auto"/>
        <w:bidi w:val="0"/>
        <w:spacing w:before="0" w:after="340" w:line="240" w:lineRule="auto"/>
        <w:ind w:left="0" w:right="0" w:firstLine="760"/>
        <w:jc w:val="both"/>
      </w:pPr>
      <w:bookmarkStart w:id="626" w:name="bookmark626"/>
      <w:bookmarkStart w:id="627" w:name="bookmark627"/>
      <w:bookmarkStart w:id="628" w:name="bookmark628"/>
      <w:r>
        <w:rPr>
          <w:color w:val="000000"/>
          <w:spacing w:val="0"/>
          <w:w w:val="100"/>
          <w:position w:val="0"/>
        </w:rPr>
        <w:t>十、内部控制审计报告或鉴证报告</w:t>
      </w:r>
      <w:bookmarkEnd w:id="626"/>
      <w:bookmarkEnd w:id="627"/>
      <w:bookmarkEnd w:id="628"/>
    </w:p>
    <w:p>
      <w:pPr>
        <w:pStyle w:val="Style44"/>
        <w:keepNext w:val="0"/>
        <w:keepLines w:val="0"/>
        <w:widowControl w:val="0"/>
        <w:shd w:val="clear" w:color="auto" w:fill="auto"/>
        <w:bidi w:val="0"/>
        <w:spacing w:before="0" w:after="120" w:line="240" w:lineRule="auto"/>
        <w:ind w:left="0" w:right="0" w:firstLine="7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235"/>
        <w:gridCol w:w="5678"/>
      </w:tblGrid>
      <w:tr>
        <w:trPr>
          <w:trHeight w:val="52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内部控制鉴证报告中的审议意见段</w:t>
            </w:r>
          </w:p>
        </w:tc>
      </w:tr>
      <w:tr>
        <w:trPr>
          <w:trHeight w:val="523" w:hRule="exact"/>
        </w:trPr>
        <w:tc>
          <w:tcPr>
            <w:gridSpan w:val="2"/>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内控鉴证报告披露情况</w:t>
            </w: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内部控制鉴证报告全文披露日期</w:t>
            </w: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内部控制鉴证报告全文披露索引</w:t>
            </w: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内控鉴证报告意见类型</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非财务报告是否存在重大缺陷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44"/>
        <w:keepNext w:val="0"/>
        <w:keepLines w:val="0"/>
        <w:widowControl w:val="0"/>
        <w:shd w:val="clear" w:color="auto" w:fill="auto"/>
        <w:bidi w:val="0"/>
        <w:spacing w:before="0" w:after="220" w:line="490" w:lineRule="exact"/>
        <w:ind w:left="0" w:right="0" w:firstLine="760"/>
        <w:jc w:val="both"/>
      </w:pPr>
      <w:r>
        <w:rPr>
          <w:color w:val="000000"/>
          <w:spacing w:val="0"/>
          <w:w w:val="100"/>
          <w:position w:val="0"/>
        </w:rPr>
        <w:t>会计师事务所是否出具非标准意见的内部控制鉴证报告</w:t>
      </w:r>
    </w:p>
    <w:p>
      <w:pPr>
        <w:pStyle w:val="Style44"/>
        <w:keepNext w:val="0"/>
        <w:keepLines w:val="0"/>
        <w:widowControl w:val="0"/>
        <w:shd w:val="clear" w:color="auto" w:fill="auto"/>
        <w:bidi w:val="0"/>
        <w:spacing w:before="0" w:after="0" w:line="466" w:lineRule="auto"/>
        <w:ind w:left="0" w:right="0" w:firstLine="76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44"/>
        <w:keepNext w:val="0"/>
        <w:keepLines w:val="0"/>
        <w:widowControl w:val="0"/>
        <w:shd w:val="clear" w:color="auto" w:fill="auto"/>
        <w:bidi w:val="0"/>
        <w:spacing w:before="0" w:after="160" w:line="490" w:lineRule="exact"/>
        <w:ind w:left="760" w:right="0" w:firstLine="0"/>
        <w:jc w:val="left"/>
        <w:sectPr>
          <w:headerReference w:type="default" r:id="rId87"/>
          <w:footerReference w:type="default" r:id="rId88"/>
          <w:headerReference w:type="even" r:id="rId89"/>
          <w:footerReference w:type="even" r:id="rId90"/>
          <w:footnotePr>
            <w:pos w:val="pageBottom"/>
            <w:numFmt w:val="decimal"/>
            <w:numRestart w:val="continuous"/>
          </w:footnotePr>
          <w:pgSz w:w="11900" w:h="16840"/>
          <w:pgMar w:top="1201" w:right="644" w:bottom="1139" w:left="644" w:header="0" w:footer="3" w:gutter="0"/>
          <w:pgNumType w:start="83"/>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color w:val="000000"/>
          <w:spacing w:val="0"/>
          <w:w w:val="100"/>
          <w:position w:val="0"/>
        </w:rPr>
        <w:t>寸</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2"/>
        <w:keepNext/>
        <w:keepLines/>
        <w:widowControl w:val="0"/>
        <w:shd w:val="clear" w:color="auto" w:fill="auto"/>
        <w:bidi w:val="0"/>
        <w:spacing w:before="0" w:after="980" w:line="240" w:lineRule="auto"/>
        <w:ind w:left="0" w:right="0" w:firstLine="0"/>
        <w:jc w:val="center"/>
      </w:pPr>
      <w:bookmarkStart w:id="629" w:name="bookmark629"/>
      <w:bookmarkStart w:id="630" w:name="bookmark630"/>
      <w:bookmarkStart w:id="631" w:name="bookmark631"/>
      <w:r>
        <w:rPr>
          <w:color w:val="000000"/>
          <w:spacing w:val="0"/>
          <w:w w:val="100"/>
          <w:position w:val="0"/>
        </w:rPr>
        <w:t>第十一节公司债券相关情况</w:t>
      </w:r>
      <w:bookmarkEnd w:id="629"/>
      <w:bookmarkEnd w:id="630"/>
      <w:bookmarkEnd w:id="631"/>
    </w:p>
    <w:p>
      <w:pPr>
        <w:pStyle w:val="Style44"/>
        <w:keepNext w:val="0"/>
        <w:keepLines w:val="0"/>
        <w:widowControl w:val="0"/>
        <w:shd w:val="clear" w:color="auto" w:fill="auto"/>
        <w:bidi w:val="0"/>
        <w:spacing w:before="0" w:after="180" w:line="240" w:lineRule="auto"/>
        <w:ind w:left="0" w:right="0" w:firstLine="760"/>
        <w:jc w:val="left"/>
      </w:pPr>
      <w:r>
        <w:rPr>
          <w:color w:val="000000"/>
          <w:spacing w:val="0"/>
          <w:w w:val="100"/>
          <w:position w:val="0"/>
        </w:rPr>
        <w:t>公司是否存在公开发行并在证券交易所上市，且在年度报告批准报出日未到期或到期未能全额</w:t>
      </w:r>
    </w:p>
    <w:p>
      <w:pPr>
        <w:pStyle w:val="Style44"/>
        <w:keepNext w:val="0"/>
        <w:keepLines w:val="0"/>
        <w:widowControl w:val="0"/>
        <w:shd w:val="clear" w:color="auto" w:fill="auto"/>
        <w:bidi w:val="0"/>
        <w:spacing w:before="0" w:after="240" w:line="240" w:lineRule="auto"/>
        <w:ind w:left="0" w:right="0" w:firstLine="760"/>
        <w:jc w:val="left"/>
      </w:pPr>
      <w:r>
        <w:rPr>
          <w:color w:val="000000"/>
          <w:spacing w:val="0"/>
          <w:w w:val="100"/>
          <w:position w:val="0"/>
        </w:rPr>
        <w:t>兑付的公司债券</w:t>
      </w:r>
    </w:p>
    <w:p>
      <w:pPr>
        <w:pStyle w:val="Style44"/>
        <w:keepNext w:val="0"/>
        <w:keepLines w:val="0"/>
        <w:widowControl w:val="0"/>
        <w:shd w:val="clear" w:color="auto" w:fill="auto"/>
        <w:bidi w:val="0"/>
        <w:spacing w:before="0" w:after="240" w:line="240" w:lineRule="auto"/>
        <w:ind w:left="0" w:right="0" w:firstLine="760"/>
        <w:jc w:val="left"/>
        <w:sectPr>
          <w:footnotePr>
            <w:pos w:val="pageBottom"/>
            <w:numFmt w:val="decimal"/>
            <w:numRestart w:val="continuous"/>
          </w:footnotePr>
          <w:pgSz w:w="11900" w:h="16840"/>
          <w:pgMar w:top="1863" w:right="644" w:bottom="1863" w:left="644" w:header="0" w:footer="3" w:gutter="0"/>
          <w:cols w:space="720"/>
          <w:noEndnote/>
          <w:rtlGutter w:val="0"/>
          <w:docGrid w:linePitch="360"/>
        </w:sectPr>
      </w:pPr>
      <w:r>
        <w:rPr>
          <w:color w:val="000000"/>
          <w:spacing w:val="0"/>
          <w:w w:val="100"/>
          <w:position w:val="0"/>
        </w:rPr>
        <w:t>否</w:t>
      </w:r>
    </w:p>
    <w:p>
      <w:pPr>
        <w:pStyle w:val="Style22"/>
        <w:keepNext/>
        <w:keepLines/>
        <w:widowControl w:val="0"/>
        <w:shd w:val="clear" w:color="auto" w:fill="auto"/>
        <w:bidi w:val="0"/>
        <w:spacing w:before="460" w:after="580" w:line="240" w:lineRule="auto"/>
        <w:ind w:left="0" w:right="0" w:firstLine="0"/>
        <w:jc w:val="center"/>
      </w:pPr>
      <w:bookmarkStart w:id="632" w:name="bookmark632"/>
      <w:bookmarkStart w:id="633" w:name="bookmark633"/>
      <w:bookmarkStart w:id="634" w:name="bookmark634"/>
      <w:r>
        <w:rPr>
          <w:color w:val="000000"/>
          <w:spacing w:val="0"/>
          <w:w w:val="100"/>
          <w:position w:val="0"/>
        </w:rPr>
        <w:t>第十二节财务报告</w:t>
      </w:r>
      <w:bookmarkEnd w:id="632"/>
      <w:bookmarkEnd w:id="633"/>
      <w:bookmarkEnd w:id="634"/>
    </w:p>
    <w:p>
      <w:pPr>
        <w:pStyle w:val="Style42"/>
        <w:keepNext/>
        <w:keepLines/>
        <w:widowControl w:val="0"/>
        <w:shd w:val="clear" w:color="auto" w:fill="auto"/>
        <w:bidi w:val="0"/>
        <w:spacing w:before="0" w:after="320" w:line="240" w:lineRule="auto"/>
        <w:ind w:left="0" w:right="0" w:firstLine="480"/>
        <w:jc w:val="both"/>
      </w:pPr>
      <w:bookmarkStart w:id="635" w:name="bookmark635"/>
      <w:bookmarkStart w:id="636" w:name="bookmark636"/>
      <w:bookmarkStart w:id="637" w:name="bookmark637"/>
      <w:bookmarkStart w:id="638" w:name="bookmark638"/>
      <w:r>
        <w:rPr>
          <w:color w:val="000000"/>
          <w:spacing w:val="0"/>
          <w:w w:val="100"/>
          <w:position w:val="0"/>
        </w:rPr>
        <w:t>一</w:t>
      </w:r>
      <w:bookmarkEnd w:id="637"/>
      <w:r>
        <w:rPr>
          <w:color w:val="000000"/>
          <w:spacing w:val="0"/>
          <w:w w:val="100"/>
          <w:position w:val="0"/>
        </w:rPr>
        <w:t>、审计报告</w:t>
      </w:r>
      <w:bookmarkEnd w:id="635"/>
      <w:bookmarkEnd w:id="636"/>
      <w:bookmarkEnd w:id="638"/>
    </w:p>
    <w:tbl>
      <w:tblPr>
        <w:tblOverlap w:val="never"/>
        <w:jc w:val="center"/>
        <w:tblLayout w:type="fixed"/>
      </w:tblPr>
      <w:tblGrid>
        <w:gridCol w:w="4344"/>
        <w:gridCol w:w="4546"/>
      </w:tblGrid>
      <w:tr>
        <w:trPr>
          <w:trHeight w:val="58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标准的无保留意见</w:t>
            </w:r>
          </w:p>
        </w:tc>
      </w:tr>
      <w:tr>
        <w:trPr>
          <w:trHeight w:val="57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23</w:t>
            </w:r>
            <w:r>
              <w:rPr>
                <w:color w:val="000000"/>
                <w:spacing w:val="0"/>
                <w:w w:val="100"/>
                <w:position w:val="0"/>
                <w:sz w:val="20"/>
                <w:szCs w:val="20"/>
              </w:rPr>
              <w:t>日</w:t>
            </w:r>
          </w:p>
        </w:tc>
      </w:tr>
      <w:tr>
        <w:trPr>
          <w:trHeight w:val="57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中兴财光华会计师事务所（特殊普通合伙）</w:t>
            </w:r>
          </w:p>
        </w:tc>
      </w:tr>
      <w:tr>
        <w:trPr>
          <w:trHeight w:val="57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中兴财光华审会字（</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2"/>
                <w:szCs w:val="22"/>
              </w:rPr>
              <w:t>318080</w:t>
            </w:r>
            <w:r>
              <w:rPr>
                <w:color w:val="000000"/>
                <w:spacing w:val="0"/>
                <w:w w:val="100"/>
                <w:position w:val="0"/>
                <w:sz w:val="20"/>
                <w:szCs w:val="20"/>
              </w:rPr>
              <w:t>号</w:t>
            </w:r>
          </w:p>
        </w:tc>
      </w:tr>
      <w:tr>
        <w:trPr>
          <w:trHeight w:val="586"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王焕军、马福珠</w:t>
            </w:r>
          </w:p>
        </w:tc>
      </w:tr>
    </w:tbl>
    <w:p>
      <w:pPr>
        <w:widowControl w:val="0"/>
        <w:spacing w:after="619" w:line="1" w:lineRule="exact"/>
      </w:pPr>
    </w:p>
    <w:p>
      <w:pPr>
        <w:pStyle w:val="Style2"/>
        <w:keepNext w:val="0"/>
        <w:keepLines w:val="0"/>
        <w:widowControl w:val="0"/>
        <w:shd w:val="clear" w:color="auto" w:fill="auto"/>
        <w:bidi w:val="0"/>
        <w:spacing w:before="0" w:after="40" w:line="240" w:lineRule="auto"/>
        <w:ind w:left="0" w:right="0" w:firstLine="0"/>
        <w:jc w:val="center"/>
        <w:rPr>
          <w:sz w:val="32"/>
          <w:szCs w:val="32"/>
        </w:rPr>
      </w:pPr>
      <w:r>
        <w:rPr>
          <w:b/>
          <w:bCs/>
          <w:color w:val="000000"/>
          <w:spacing w:val="0"/>
          <w:w w:val="100"/>
          <w:position w:val="0"/>
          <w:sz w:val="32"/>
          <w:szCs w:val="32"/>
        </w:rPr>
        <w:t>审计报告</w:t>
      </w:r>
    </w:p>
    <w:p>
      <w:pPr>
        <w:pStyle w:val="Style44"/>
        <w:keepNext w:val="0"/>
        <w:keepLines w:val="0"/>
        <w:widowControl w:val="0"/>
        <w:shd w:val="clear" w:color="auto" w:fill="auto"/>
        <w:bidi w:val="0"/>
        <w:spacing w:before="0" w:after="40" w:line="466" w:lineRule="exact"/>
        <w:ind w:left="0" w:right="0" w:firstLine="480"/>
        <w:jc w:val="both"/>
      </w:pPr>
      <w:r>
        <w:rPr>
          <w:color w:val="000000"/>
          <w:spacing w:val="0"/>
          <w:w w:val="100"/>
          <w:position w:val="0"/>
        </w:rPr>
        <w:t>国民技术股份有限公司全体股东：</w:t>
      </w:r>
    </w:p>
    <w:p>
      <w:pPr>
        <w:pStyle w:val="Style44"/>
        <w:keepNext w:val="0"/>
        <w:keepLines w:val="0"/>
        <w:widowControl w:val="0"/>
        <w:shd w:val="clear" w:color="auto" w:fill="auto"/>
        <w:tabs>
          <w:tab w:pos="1342" w:val="left"/>
        </w:tabs>
        <w:bidi w:val="0"/>
        <w:spacing w:before="0" w:after="40" w:line="466" w:lineRule="exact"/>
        <w:ind w:left="0" w:right="0" w:firstLine="840"/>
        <w:jc w:val="both"/>
      </w:pPr>
      <w:bookmarkStart w:id="639" w:name="bookmark639"/>
      <w:r>
        <w:rPr>
          <w:b/>
          <w:bCs/>
          <w:color w:val="000000"/>
          <w:spacing w:val="0"/>
          <w:w w:val="100"/>
          <w:position w:val="0"/>
        </w:rPr>
        <w:t>一</w:t>
      </w:r>
      <w:bookmarkEnd w:id="639"/>
      <w:r>
        <w:rPr>
          <w:b/>
          <w:bCs/>
          <w:color w:val="000000"/>
          <w:spacing w:val="0"/>
          <w:w w:val="100"/>
          <w:position w:val="0"/>
        </w:rPr>
        <w:t>、</w:t>
        <w:tab/>
        <w:t>审计意见</w:t>
      </w:r>
    </w:p>
    <w:p>
      <w:pPr>
        <w:pStyle w:val="Style44"/>
        <w:keepNext w:val="0"/>
        <w:keepLines w:val="0"/>
        <w:widowControl w:val="0"/>
        <w:shd w:val="clear" w:color="auto" w:fill="auto"/>
        <w:bidi w:val="0"/>
        <w:spacing w:before="0" w:after="40" w:line="466" w:lineRule="exact"/>
        <w:ind w:left="480" w:right="0"/>
        <w:jc w:val="both"/>
      </w:pPr>
      <w:r>
        <w:rPr>
          <w:color w:val="000000"/>
          <w:spacing w:val="0"/>
          <w:w w:val="100"/>
          <w:position w:val="0"/>
        </w:rPr>
        <w:t>我们审计了国民技术股份有限公司（以下简称国民技术公司）财务报表，包括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年度的合并及公司利润表、合并及公司现金流量表、合并 及公司股东权益变动表以及财务报表附注。</w:t>
      </w:r>
    </w:p>
    <w:p>
      <w:pPr>
        <w:pStyle w:val="Style44"/>
        <w:keepNext w:val="0"/>
        <w:keepLines w:val="0"/>
        <w:widowControl w:val="0"/>
        <w:shd w:val="clear" w:color="auto" w:fill="auto"/>
        <w:bidi w:val="0"/>
        <w:spacing w:before="0" w:after="40" w:line="468" w:lineRule="exact"/>
        <w:ind w:left="480" w:right="0"/>
        <w:jc w:val="both"/>
      </w:pPr>
      <w:r>
        <w:rPr>
          <w:color w:val="000000"/>
          <w:spacing w:val="0"/>
          <w:w w:val="100"/>
          <w:position w:val="0"/>
        </w:rPr>
        <w:t>我们认为，后附的财务报表在所有重大方面按照企业会计准则的规定编制，公允反映了国民 技术公司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年度的合并及公司经营成果和现 金流量。</w:t>
      </w:r>
    </w:p>
    <w:p>
      <w:pPr>
        <w:pStyle w:val="Style44"/>
        <w:keepNext w:val="0"/>
        <w:keepLines w:val="0"/>
        <w:widowControl w:val="0"/>
        <w:shd w:val="clear" w:color="auto" w:fill="auto"/>
        <w:tabs>
          <w:tab w:pos="1342" w:val="left"/>
        </w:tabs>
        <w:bidi w:val="0"/>
        <w:spacing w:before="0" w:after="40" w:line="466" w:lineRule="exact"/>
        <w:ind w:left="0" w:right="0" w:firstLine="840"/>
        <w:jc w:val="both"/>
      </w:pPr>
      <w:bookmarkStart w:id="640" w:name="bookmark640"/>
      <w:r>
        <w:rPr>
          <w:b/>
          <w:bCs/>
          <w:color w:val="000000"/>
          <w:spacing w:val="0"/>
          <w:w w:val="100"/>
          <w:position w:val="0"/>
        </w:rPr>
        <w:t>二</w:t>
      </w:r>
      <w:bookmarkEnd w:id="640"/>
      <w:r>
        <w:rPr>
          <w:b/>
          <w:bCs/>
          <w:color w:val="000000"/>
          <w:spacing w:val="0"/>
          <w:w w:val="100"/>
          <w:position w:val="0"/>
        </w:rPr>
        <w:t>、</w:t>
        <w:tab/>
        <w:t>形成审计意见的基础</w:t>
      </w:r>
    </w:p>
    <w:p>
      <w:pPr>
        <w:pStyle w:val="Style44"/>
        <w:keepNext w:val="0"/>
        <w:keepLines w:val="0"/>
        <w:widowControl w:val="0"/>
        <w:shd w:val="clear" w:color="auto" w:fill="auto"/>
        <w:bidi w:val="0"/>
        <w:spacing w:before="0" w:after="40" w:line="466" w:lineRule="exact"/>
        <w:ind w:left="480" w:right="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则，我们独立于国民技术公司，并履行了职业道德方面的其他责任。我们相信，我们获取的审计 证据是充分、适当的，为发表审计意见提供了基础。</w:t>
      </w:r>
    </w:p>
    <w:p>
      <w:pPr>
        <w:pStyle w:val="Style44"/>
        <w:keepNext w:val="0"/>
        <w:keepLines w:val="0"/>
        <w:widowControl w:val="0"/>
        <w:shd w:val="clear" w:color="auto" w:fill="auto"/>
        <w:tabs>
          <w:tab w:pos="1347" w:val="left"/>
        </w:tabs>
        <w:bidi w:val="0"/>
        <w:spacing w:before="0" w:after="40" w:line="466" w:lineRule="exact"/>
        <w:ind w:left="0" w:right="0" w:firstLine="840"/>
        <w:jc w:val="both"/>
      </w:pPr>
      <w:bookmarkStart w:id="641" w:name="bookmark641"/>
      <w:r>
        <w:rPr>
          <w:b/>
          <w:bCs/>
          <w:color w:val="000000"/>
          <w:spacing w:val="0"/>
          <w:w w:val="100"/>
          <w:position w:val="0"/>
        </w:rPr>
        <w:t>三</w:t>
      </w:r>
      <w:bookmarkEnd w:id="641"/>
      <w:r>
        <w:rPr>
          <w:b/>
          <w:bCs/>
          <w:color w:val="000000"/>
          <w:spacing w:val="0"/>
          <w:w w:val="100"/>
          <w:position w:val="0"/>
        </w:rPr>
        <w:t>、</w:t>
        <w:tab/>
        <w:t>关键审计事项</w:t>
      </w:r>
    </w:p>
    <w:p>
      <w:pPr>
        <w:pStyle w:val="Style44"/>
        <w:keepNext w:val="0"/>
        <w:keepLines w:val="0"/>
        <w:widowControl w:val="0"/>
        <w:shd w:val="clear" w:color="auto" w:fill="auto"/>
        <w:bidi w:val="0"/>
        <w:spacing w:before="0" w:after="40" w:line="466" w:lineRule="exact"/>
        <w:ind w:left="480" w:right="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应对以对财务报表整体进行审计并形成审计意见为背景，我们不对这些事项单独发表意见。我们</w:t>
      </w:r>
    </w:p>
    <w:p>
      <w:pPr>
        <w:pStyle w:val="Style44"/>
        <w:keepNext w:val="0"/>
        <w:keepLines w:val="0"/>
        <w:widowControl w:val="0"/>
        <w:shd w:val="clear" w:color="auto" w:fill="auto"/>
        <w:bidi w:val="0"/>
        <w:spacing w:before="0" w:after="0" w:line="475" w:lineRule="exact"/>
        <w:ind w:left="0" w:right="0" w:firstLine="480"/>
        <w:jc w:val="both"/>
      </w:pPr>
      <w:r>
        <w:rPr>
          <w:color w:val="000000"/>
          <w:spacing w:val="0"/>
          <w:w w:val="100"/>
          <w:position w:val="0"/>
        </w:rPr>
        <w:t>确定下列事项是需要在审计报告中沟通的关键审计事项。</w:t>
      </w:r>
    </w:p>
    <w:p>
      <w:pPr>
        <w:pStyle w:val="Style44"/>
        <w:keepNext w:val="0"/>
        <w:keepLines w:val="0"/>
        <w:widowControl w:val="0"/>
        <w:shd w:val="clear" w:color="auto" w:fill="auto"/>
        <w:tabs>
          <w:tab w:pos="1507" w:val="left"/>
        </w:tabs>
        <w:bidi w:val="0"/>
        <w:spacing w:before="0" w:after="0" w:line="475" w:lineRule="exact"/>
        <w:ind w:left="0" w:right="0" w:firstLine="880"/>
        <w:jc w:val="left"/>
      </w:pPr>
      <w:bookmarkStart w:id="642" w:name="bookmark642"/>
      <w:r>
        <w:rPr>
          <w:color w:val="000000"/>
          <w:spacing w:val="0"/>
          <w:w w:val="100"/>
          <w:position w:val="0"/>
        </w:rPr>
        <w:t>（</w:t>
      </w:r>
      <w:bookmarkEnd w:id="642"/>
      <w:r>
        <w:rPr>
          <w:color w:val="000000"/>
          <w:spacing w:val="0"/>
          <w:w w:val="100"/>
          <w:position w:val="0"/>
        </w:rPr>
        <w:t>一）</w:t>
        <w:tab/>
        <w:t>华夏芯（北京）通用处理器技术有限公司业绩补偿款及股权转让</w:t>
      </w:r>
    </w:p>
    <w:p>
      <w:pPr>
        <w:pStyle w:val="Style44"/>
        <w:keepNext w:val="0"/>
        <w:keepLines w:val="0"/>
        <w:widowControl w:val="0"/>
        <w:numPr>
          <w:ilvl w:val="0"/>
          <w:numId w:val="9"/>
        </w:numPr>
        <w:shd w:val="clear" w:color="auto" w:fill="auto"/>
        <w:tabs>
          <w:tab w:pos="1205" w:val="left"/>
        </w:tabs>
        <w:bidi w:val="0"/>
        <w:spacing w:before="0" w:after="0" w:line="475" w:lineRule="exact"/>
        <w:ind w:left="0" w:right="0" w:firstLine="880"/>
        <w:jc w:val="both"/>
      </w:pPr>
      <w:bookmarkStart w:id="643" w:name="bookmark643"/>
      <w:bookmarkEnd w:id="643"/>
      <w:r>
        <w:rPr>
          <w:color w:val="000000"/>
          <w:spacing w:val="0"/>
          <w:w w:val="100"/>
          <w:position w:val="0"/>
        </w:rPr>
        <w:t>事项描述</w:t>
      </w:r>
    </w:p>
    <w:p>
      <w:pPr>
        <w:pStyle w:val="Style44"/>
        <w:keepNext w:val="0"/>
        <w:keepLines w:val="0"/>
        <w:widowControl w:val="0"/>
        <w:shd w:val="clear" w:color="auto" w:fill="auto"/>
        <w:bidi w:val="0"/>
        <w:spacing w:before="0" w:after="0" w:line="461" w:lineRule="exact"/>
        <w:ind w:left="480" w:right="0"/>
        <w:jc w:val="both"/>
      </w:pPr>
      <w:r>
        <w:rPr>
          <w:color w:val="000000"/>
          <w:spacing w:val="0"/>
          <w:w w:val="100"/>
          <w:position w:val="0"/>
        </w:rPr>
        <w:t>相关信息披露详见财务报表附注五、</w:t>
      </w:r>
      <w:r>
        <w:rPr>
          <w:rFonts w:ascii="Times New Roman" w:eastAsia="Times New Roman" w:hAnsi="Times New Roman" w:cs="Times New Roman"/>
          <w:color w:val="000000"/>
          <w:spacing w:val="0"/>
          <w:w w:val="100"/>
          <w:position w:val="0"/>
        </w:rPr>
        <w:t xml:space="preserve">9 </w:t>
      </w:r>
      <w:r>
        <w:rPr>
          <w:color w:val="000000"/>
          <w:spacing w:val="0"/>
          <w:w w:val="100"/>
          <w:position w:val="0"/>
        </w:rPr>
        <w:t>“持有待售资产”、附注五、</w:t>
      </w:r>
      <w:r>
        <w:rPr>
          <w:rFonts w:ascii="Times New Roman" w:eastAsia="Times New Roman" w:hAnsi="Times New Roman" w:cs="Times New Roman"/>
          <w:color w:val="000000"/>
          <w:spacing w:val="0"/>
          <w:w w:val="100"/>
          <w:position w:val="0"/>
        </w:rPr>
        <w:t>11</w:t>
      </w:r>
      <w:r>
        <w:rPr>
          <w:color w:val="000000"/>
          <w:spacing w:val="0"/>
          <w:w w:val="100"/>
          <w:position w:val="0"/>
        </w:rPr>
        <w:t>“长期股权投资”、附注 五、</w:t>
      </w:r>
      <w:r>
        <w:rPr>
          <w:rFonts w:ascii="Times New Roman" w:eastAsia="Times New Roman" w:hAnsi="Times New Roman" w:cs="Times New Roman"/>
          <w:color w:val="000000"/>
          <w:spacing w:val="0"/>
          <w:w w:val="100"/>
          <w:position w:val="0"/>
        </w:rPr>
        <w:t xml:space="preserve">51 </w:t>
      </w:r>
      <w:r>
        <w:rPr>
          <w:color w:val="000000"/>
          <w:spacing w:val="0"/>
          <w:w w:val="100"/>
          <w:position w:val="0"/>
        </w:rPr>
        <w:t>“营业外收入”、附注十三、（一）“华夏芯业绩补偿款及股权转让事项”。</w:t>
      </w:r>
    </w:p>
    <w:p>
      <w:pPr>
        <w:pStyle w:val="Style44"/>
        <w:keepNext w:val="0"/>
        <w:keepLines w:val="0"/>
        <w:widowControl w:val="0"/>
        <w:shd w:val="clear" w:color="auto" w:fill="auto"/>
        <w:bidi w:val="0"/>
        <w:spacing w:before="0" w:after="0" w:line="466" w:lineRule="exact"/>
        <w:ind w:left="480" w:right="0"/>
        <w:jc w:val="both"/>
      </w:pPr>
      <w:r>
        <w:rPr>
          <w:color w:val="000000"/>
          <w:spacing w:val="0"/>
          <w:w w:val="100"/>
          <w:position w:val="0"/>
        </w:rPr>
        <w:t>根据《关于华夏芯（北京）通用处理器技术有限公司之增资协议》约定，业绩承诺方李科奕 承诺在</w:t>
      </w:r>
      <w:r>
        <w:rPr>
          <w:rFonts w:ascii="Times New Roman" w:eastAsia="Times New Roman" w:hAnsi="Times New Roman" w:cs="Times New Roman"/>
          <w:color w:val="000000"/>
          <w:spacing w:val="0"/>
          <w:w w:val="100"/>
          <w:position w:val="0"/>
        </w:rPr>
        <w:t>2018-2020</w:t>
      </w:r>
      <w:r>
        <w:rPr>
          <w:color w:val="000000"/>
          <w:spacing w:val="0"/>
          <w:w w:val="100"/>
          <w:position w:val="0"/>
        </w:rPr>
        <w:t>年度华夏芯（北京）通用处理器技术有限公司（以下简称“华夏芯”）完成相应 的财务指标及运营指标。截至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日，因华夏芯未完成</w:t>
      </w:r>
      <w:r>
        <w:rPr>
          <w:rFonts w:ascii="Times New Roman" w:eastAsia="Times New Roman" w:hAnsi="Times New Roman" w:cs="Times New Roman"/>
          <w:color w:val="000000"/>
          <w:spacing w:val="0"/>
          <w:w w:val="100"/>
          <w:position w:val="0"/>
        </w:rPr>
        <w:t>2019</w:t>
      </w:r>
      <w:r>
        <w:rPr>
          <w:color w:val="000000"/>
          <w:spacing w:val="0"/>
          <w:w w:val="100"/>
          <w:position w:val="0"/>
        </w:rPr>
        <w:t>年度业绩承诺应向国民 技术公司全资子公司深圳前海国民投资管理有限公司（以下简称"国民投资”）合计支付业绩补 偿款</w:t>
      </w:r>
      <w:r>
        <w:rPr>
          <w:rFonts w:ascii="Times New Roman" w:eastAsia="Times New Roman" w:hAnsi="Times New Roman" w:cs="Times New Roman"/>
          <w:color w:val="000000"/>
          <w:spacing w:val="0"/>
          <w:w w:val="100"/>
          <w:position w:val="0"/>
        </w:rPr>
        <w:t>7,464.74</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日前国民投资已收到上述业绩补偿款，本年增加营业外收入 </w:t>
      </w:r>
      <w:r>
        <w:rPr>
          <w:rFonts w:ascii="Times New Roman" w:eastAsia="Times New Roman" w:hAnsi="Times New Roman" w:cs="Times New Roman"/>
          <w:color w:val="000000"/>
          <w:spacing w:val="0"/>
          <w:w w:val="100"/>
          <w:position w:val="0"/>
        </w:rPr>
        <w:t xml:space="preserve">7,464.74 </w:t>
      </w:r>
      <w:r>
        <w:rPr>
          <w:color w:val="000000"/>
          <w:spacing w:val="0"/>
          <w:w w:val="100"/>
          <w:position w:val="0"/>
        </w:rPr>
        <w:t>万元。</w:t>
      </w:r>
    </w:p>
    <w:p>
      <w:pPr>
        <w:pStyle w:val="Style44"/>
        <w:keepNext w:val="0"/>
        <w:keepLines w:val="0"/>
        <w:widowControl w:val="0"/>
        <w:shd w:val="clear" w:color="auto" w:fill="auto"/>
        <w:bidi w:val="0"/>
        <w:spacing w:before="0" w:after="0" w:line="475" w:lineRule="exact"/>
        <w:ind w:left="48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日与业绩承诺方李科奕签署的《补偿及股权转让协议》，国民投资以 </w:t>
      </w:r>
      <w:r>
        <w:rPr>
          <w:rFonts w:ascii="Times New Roman" w:eastAsia="Times New Roman" w:hAnsi="Times New Roman" w:cs="Times New Roman"/>
          <w:color w:val="000000"/>
          <w:spacing w:val="0"/>
          <w:w w:val="100"/>
          <w:position w:val="0"/>
        </w:rPr>
        <w:t>16,921.37</w:t>
      </w:r>
      <w:r>
        <w:rPr>
          <w:color w:val="000000"/>
          <w:spacing w:val="0"/>
          <w:w w:val="100"/>
          <w:position w:val="0"/>
        </w:rPr>
        <w:t>万元的对价将持有的华夏芯</w:t>
      </w:r>
      <w:r>
        <w:rPr>
          <w:rFonts w:ascii="Times New Roman" w:eastAsia="Times New Roman" w:hAnsi="Times New Roman" w:cs="Times New Roman"/>
          <w:color w:val="000000"/>
          <w:spacing w:val="0"/>
          <w:w w:val="100"/>
          <w:position w:val="0"/>
        </w:rPr>
        <w:t>21.374%</w:t>
      </w:r>
      <w:r>
        <w:rPr>
          <w:color w:val="000000"/>
          <w:spacing w:val="0"/>
          <w:w w:val="100"/>
          <w:position w:val="0"/>
        </w:rPr>
        <w:t>股权转让给业绩承诺方。截至财务报表批准报出日， 公司已收到全部股权转让款，预计在</w:t>
      </w:r>
      <w:r>
        <w:rPr>
          <w:rFonts w:ascii="Times New Roman" w:eastAsia="Times New Roman" w:hAnsi="Times New Roman" w:cs="Times New Roman"/>
          <w:color w:val="000000"/>
          <w:spacing w:val="0"/>
          <w:w w:val="100"/>
          <w:position w:val="0"/>
        </w:rPr>
        <w:t>2021</w:t>
      </w:r>
      <w:r>
        <w:rPr>
          <w:color w:val="000000"/>
          <w:spacing w:val="0"/>
          <w:w w:val="100"/>
          <w:position w:val="0"/>
        </w:rPr>
        <w:t>年完成股权交割手续，</w:t>
      </w:r>
      <w:r>
        <w:rPr>
          <w:rFonts w:ascii="Times New Roman" w:eastAsia="Times New Roman" w:hAnsi="Times New Roman" w:cs="Times New Roman"/>
          <w:color w:val="000000"/>
          <w:spacing w:val="0"/>
          <w:w w:val="100"/>
          <w:position w:val="0"/>
        </w:rPr>
        <w:t>2020</w:t>
      </w:r>
      <w:r>
        <w:rPr>
          <w:color w:val="000000"/>
          <w:spacing w:val="0"/>
          <w:w w:val="100"/>
          <w:position w:val="0"/>
        </w:rPr>
        <w:t>年公司将长期股权投资转 为持有待售资产。</w:t>
      </w:r>
    </w:p>
    <w:p>
      <w:pPr>
        <w:pStyle w:val="Style44"/>
        <w:keepNext w:val="0"/>
        <w:keepLines w:val="0"/>
        <w:widowControl w:val="0"/>
        <w:shd w:val="clear" w:color="auto" w:fill="auto"/>
        <w:bidi w:val="0"/>
        <w:spacing w:before="0" w:after="0" w:line="475" w:lineRule="exact"/>
        <w:ind w:left="0" w:right="0" w:firstLine="880"/>
        <w:jc w:val="left"/>
      </w:pPr>
      <w:r>
        <w:rPr>
          <w:color w:val="000000"/>
          <w:spacing w:val="0"/>
          <w:w w:val="100"/>
          <w:position w:val="0"/>
        </w:rPr>
        <w:t>该事项对</w:t>
      </w:r>
      <w:r>
        <w:rPr>
          <w:rFonts w:ascii="Times New Roman" w:eastAsia="Times New Roman" w:hAnsi="Times New Roman" w:cs="Times New Roman"/>
          <w:color w:val="000000"/>
          <w:spacing w:val="0"/>
          <w:w w:val="100"/>
          <w:position w:val="0"/>
        </w:rPr>
        <w:t>2020</w:t>
      </w:r>
      <w:r>
        <w:rPr>
          <w:color w:val="000000"/>
          <w:spacing w:val="0"/>
          <w:w w:val="100"/>
          <w:position w:val="0"/>
        </w:rPr>
        <w:t>年财务报表影响重大。因此，我们将该事项认定为关键审计事项。</w:t>
      </w:r>
    </w:p>
    <w:p>
      <w:pPr>
        <w:pStyle w:val="Style44"/>
        <w:keepNext w:val="0"/>
        <w:keepLines w:val="0"/>
        <w:widowControl w:val="0"/>
        <w:numPr>
          <w:ilvl w:val="0"/>
          <w:numId w:val="9"/>
        </w:numPr>
        <w:shd w:val="clear" w:color="auto" w:fill="auto"/>
        <w:tabs>
          <w:tab w:pos="1224" w:val="left"/>
        </w:tabs>
        <w:bidi w:val="0"/>
        <w:spacing w:before="0" w:after="0" w:line="475" w:lineRule="exact"/>
        <w:ind w:left="0" w:right="0" w:firstLine="880"/>
        <w:jc w:val="left"/>
      </w:pPr>
      <w:bookmarkStart w:id="644" w:name="bookmark644"/>
      <w:bookmarkEnd w:id="644"/>
      <w:r>
        <w:rPr>
          <w:color w:val="000000"/>
          <w:spacing w:val="0"/>
          <w:w w:val="100"/>
          <w:position w:val="0"/>
        </w:rPr>
        <w:t>审计应对</w:t>
      </w:r>
    </w:p>
    <w:p>
      <w:pPr>
        <w:pStyle w:val="Style44"/>
        <w:keepNext w:val="0"/>
        <w:keepLines w:val="0"/>
        <w:widowControl w:val="0"/>
        <w:shd w:val="clear" w:color="auto" w:fill="auto"/>
        <w:bidi w:val="0"/>
        <w:spacing w:before="0" w:after="0" w:line="475" w:lineRule="exact"/>
        <w:ind w:left="0" w:right="0" w:firstLine="880"/>
        <w:jc w:val="left"/>
      </w:pPr>
      <w:r>
        <w:rPr>
          <w:color w:val="000000"/>
          <w:spacing w:val="0"/>
          <w:w w:val="100"/>
          <w:position w:val="0"/>
        </w:rPr>
        <w:t>我们针对上述关键审计事项执行的主要审计程序如下：</w:t>
      </w:r>
    </w:p>
    <w:p>
      <w:pPr>
        <w:pStyle w:val="Style44"/>
        <w:keepNext w:val="0"/>
        <w:keepLines w:val="0"/>
        <w:widowControl w:val="0"/>
        <w:shd w:val="clear" w:color="auto" w:fill="auto"/>
        <w:tabs>
          <w:tab w:pos="1520" w:val="left"/>
        </w:tabs>
        <w:bidi w:val="0"/>
        <w:spacing w:before="0" w:after="0" w:line="475" w:lineRule="exact"/>
        <w:ind w:left="480" w:right="0"/>
        <w:jc w:val="both"/>
      </w:pPr>
      <w:bookmarkStart w:id="645" w:name="bookmark645"/>
      <w:r>
        <w:rPr>
          <w:color w:val="000000"/>
          <w:spacing w:val="0"/>
          <w:w w:val="100"/>
          <w:position w:val="0"/>
        </w:rPr>
        <w:t>（</w:t>
      </w:r>
      <w:bookmarkEnd w:id="645"/>
      <w:r>
        <w:rPr>
          <w:rFonts w:ascii="Times New Roman" w:eastAsia="Times New Roman" w:hAnsi="Times New Roman" w:cs="Times New Roman"/>
          <w:color w:val="000000"/>
          <w:spacing w:val="0"/>
          <w:w w:val="100"/>
          <w:position w:val="0"/>
        </w:rPr>
        <w:t>1</w:t>
      </w:r>
      <w:r>
        <w:rPr>
          <w:color w:val="000000"/>
          <w:spacing w:val="0"/>
          <w:w w:val="100"/>
          <w:position w:val="0"/>
        </w:rPr>
        <w:t>）</w:t>
        <w:tab/>
        <w:t>查阅上述《关于华夏芯（北京）通用处理器技术有限公司之增资协议》、《补偿及股权转 让协议》及国民技术公司相关决议文件；</w:t>
      </w:r>
    </w:p>
    <w:p>
      <w:pPr>
        <w:pStyle w:val="Style44"/>
        <w:keepNext w:val="0"/>
        <w:keepLines w:val="0"/>
        <w:widowControl w:val="0"/>
        <w:shd w:val="clear" w:color="auto" w:fill="auto"/>
        <w:tabs>
          <w:tab w:pos="1395" w:val="left"/>
        </w:tabs>
        <w:bidi w:val="0"/>
        <w:spacing w:before="0" w:after="0" w:line="475" w:lineRule="exact"/>
        <w:ind w:left="0" w:right="0" w:firstLine="880"/>
        <w:jc w:val="left"/>
      </w:pPr>
      <w:bookmarkStart w:id="646" w:name="bookmark646"/>
      <w:r>
        <w:rPr>
          <w:color w:val="000000"/>
          <w:spacing w:val="0"/>
          <w:w w:val="100"/>
          <w:position w:val="0"/>
        </w:rPr>
        <w:t>（</w:t>
      </w:r>
      <w:bookmarkEnd w:id="646"/>
      <w:r>
        <w:rPr>
          <w:rFonts w:ascii="Times New Roman" w:eastAsia="Times New Roman" w:hAnsi="Times New Roman" w:cs="Times New Roman"/>
          <w:color w:val="000000"/>
          <w:spacing w:val="0"/>
          <w:w w:val="100"/>
          <w:position w:val="0"/>
        </w:rPr>
        <w:t>2</w:t>
      </w:r>
      <w:r>
        <w:rPr>
          <w:color w:val="000000"/>
          <w:spacing w:val="0"/>
          <w:w w:val="100"/>
          <w:position w:val="0"/>
        </w:rPr>
        <w:t>）</w:t>
        <w:tab/>
        <w:t>查阅华夏芯</w:t>
      </w:r>
      <w:r>
        <w:rPr>
          <w:rFonts w:ascii="Times New Roman" w:eastAsia="Times New Roman" w:hAnsi="Times New Roman" w:cs="Times New Roman"/>
          <w:color w:val="000000"/>
          <w:spacing w:val="0"/>
          <w:w w:val="100"/>
          <w:position w:val="0"/>
        </w:rPr>
        <w:t>2019</w:t>
      </w:r>
      <w:r>
        <w:rPr>
          <w:color w:val="000000"/>
          <w:spacing w:val="0"/>
          <w:w w:val="100"/>
          <w:position w:val="0"/>
        </w:rPr>
        <w:t>年度审计报告，复核其业绩补偿款计算过程；</w:t>
      </w:r>
    </w:p>
    <w:p>
      <w:pPr>
        <w:pStyle w:val="Style44"/>
        <w:keepNext w:val="0"/>
        <w:keepLines w:val="0"/>
        <w:widowControl w:val="0"/>
        <w:shd w:val="clear" w:color="auto" w:fill="auto"/>
        <w:tabs>
          <w:tab w:pos="1525" w:val="left"/>
        </w:tabs>
        <w:bidi w:val="0"/>
        <w:spacing w:before="0" w:after="0" w:line="480" w:lineRule="exact"/>
        <w:ind w:left="480" w:right="0"/>
        <w:jc w:val="both"/>
      </w:pPr>
      <w:bookmarkStart w:id="647" w:name="bookmark647"/>
      <w:r>
        <w:rPr>
          <w:color w:val="000000"/>
          <w:spacing w:val="0"/>
          <w:w w:val="100"/>
          <w:position w:val="0"/>
        </w:rPr>
        <w:t>（</w:t>
      </w:r>
      <w:bookmarkEnd w:id="647"/>
      <w:r>
        <w:rPr>
          <w:rFonts w:ascii="Times New Roman" w:eastAsia="Times New Roman" w:hAnsi="Times New Roman" w:cs="Times New Roman"/>
          <w:color w:val="000000"/>
          <w:spacing w:val="0"/>
          <w:w w:val="100"/>
          <w:position w:val="0"/>
        </w:rPr>
        <w:t>3</w:t>
      </w:r>
      <w:r>
        <w:rPr>
          <w:color w:val="000000"/>
          <w:spacing w:val="0"/>
          <w:w w:val="100"/>
          <w:position w:val="0"/>
        </w:rPr>
        <w:t>）</w:t>
        <w:tab/>
        <w:t>就该事项对国民技术公司管理层</w:t>
      </w:r>
      <w:r>
        <w:rPr>
          <w:rFonts w:ascii="Times New Roman" w:eastAsia="Times New Roman" w:hAnsi="Times New Roman" w:cs="Times New Roman"/>
          <w:color w:val="000000"/>
          <w:spacing w:val="0"/>
          <w:w w:val="100"/>
          <w:position w:val="0"/>
        </w:rPr>
        <w:t>（</w:t>
      </w:r>
      <w:r>
        <w:rPr>
          <w:color w:val="000000"/>
          <w:spacing w:val="0"/>
          <w:w w:val="100"/>
          <w:position w:val="0"/>
        </w:rPr>
        <w:t>以下简称管理层</w:t>
      </w:r>
      <w:r>
        <w:rPr>
          <w:rFonts w:ascii="Times New Roman" w:eastAsia="Times New Roman" w:hAnsi="Times New Roman" w:cs="Times New Roman"/>
          <w:color w:val="000000"/>
          <w:spacing w:val="0"/>
          <w:w w:val="100"/>
          <w:position w:val="0"/>
        </w:rPr>
        <w:t>）</w:t>
      </w:r>
      <w:r>
        <w:rPr>
          <w:color w:val="000000"/>
          <w:spacing w:val="0"/>
          <w:w w:val="100"/>
          <w:position w:val="0"/>
        </w:rPr>
        <w:t>、华夏芯管理层和其他相关方进行访 谈并实施函证，以确定事项的真实性；</w:t>
      </w:r>
    </w:p>
    <w:p>
      <w:pPr>
        <w:pStyle w:val="Style44"/>
        <w:keepNext w:val="0"/>
        <w:keepLines w:val="0"/>
        <w:widowControl w:val="0"/>
        <w:shd w:val="clear" w:color="auto" w:fill="auto"/>
        <w:tabs>
          <w:tab w:pos="1395" w:val="left"/>
        </w:tabs>
        <w:bidi w:val="0"/>
        <w:spacing w:before="0" w:after="0" w:line="480" w:lineRule="exact"/>
        <w:ind w:left="0" w:right="0" w:firstLine="880"/>
        <w:jc w:val="left"/>
      </w:pPr>
      <w:bookmarkStart w:id="648" w:name="bookmark648"/>
      <w:r>
        <w:rPr>
          <w:color w:val="000000"/>
          <w:spacing w:val="0"/>
          <w:w w:val="100"/>
          <w:position w:val="0"/>
        </w:rPr>
        <w:t>（</w:t>
      </w:r>
      <w:bookmarkEnd w:id="648"/>
      <w:r>
        <w:rPr>
          <w:rFonts w:ascii="Times New Roman" w:eastAsia="Times New Roman" w:hAnsi="Times New Roman" w:cs="Times New Roman"/>
          <w:color w:val="000000"/>
          <w:spacing w:val="0"/>
          <w:w w:val="100"/>
          <w:position w:val="0"/>
        </w:rPr>
        <w:t>4</w:t>
      </w:r>
      <w:r>
        <w:rPr>
          <w:color w:val="000000"/>
          <w:spacing w:val="0"/>
          <w:w w:val="100"/>
          <w:position w:val="0"/>
        </w:rPr>
        <w:t>）</w:t>
        <w:tab/>
        <w:t>检查相关银行收款回单，与资金流水核对，确认款项已实际收到；</w:t>
      </w:r>
    </w:p>
    <w:p>
      <w:pPr>
        <w:pStyle w:val="Style44"/>
        <w:keepNext w:val="0"/>
        <w:keepLines w:val="0"/>
        <w:widowControl w:val="0"/>
        <w:shd w:val="clear" w:color="auto" w:fill="auto"/>
        <w:tabs>
          <w:tab w:pos="1395" w:val="left"/>
        </w:tabs>
        <w:bidi w:val="0"/>
        <w:spacing w:before="0" w:after="0" w:line="475" w:lineRule="exact"/>
        <w:ind w:left="0" w:right="0" w:firstLine="880"/>
        <w:jc w:val="left"/>
      </w:pPr>
      <w:bookmarkStart w:id="649" w:name="bookmark649"/>
      <w:r>
        <w:rPr>
          <w:color w:val="000000"/>
          <w:spacing w:val="0"/>
          <w:w w:val="100"/>
          <w:position w:val="0"/>
        </w:rPr>
        <w:t>（</w:t>
      </w:r>
      <w:bookmarkEnd w:id="649"/>
      <w:r>
        <w:rPr>
          <w:rFonts w:ascii="Times New Roman" w:eastAsia="Times New Roman" w:hAnsi="Times New Roman" w:cs="Times New Roman"/>
          <w:color w:val="000000"/>
          <w:spacing w:val="0"/>
          <w:w w:val="100"/>
          <w:position w:val="0"/>
        </w:rPr>
        <w:t>5</w:t>
      </w:r>
      <w:r>
        <w:rPr>
          <w:color w:val="000000"/>
          <w:spacing w:val="0"/>
          <w:w w:val="100"/>
          <w:position w:val="0"/>
        </w:rPr>
        <w:t>）</w:t>
        <w:tab/>
        <w:t>查询华夏芯工商信息及股权变更、股份质押情况；</w:t>
      </w:r>
    </w:p>
    <w:p>
      <w:pPr>
        <w:pStyle w:val="Style44"/>
        <w:keepNext w:val="0"/>
        <w:keepLines w:val="0"/>
        <w:widowControl w:val="0"/>
        <w:shd w:val="clear" w:color="auto" w:fill="auto"/>
        <w:tabs>
          <w:tab w:pos="1395" w:val="left"/>
        </w:tabs>
        <w:bidi w:val="0"/>
        <w:spacing w:before="0" w:after="0" w:line="475" w:lineRule="exact"/>
        <w:ind w:left="0" w:right="0" w:firstLine="880"/>
        <w:jc w:val="left"/>
      </w:pPr>
      <w:bookmarkStart w:id="650" w:name="bookmark650"/>
      <w:r>
        <w:rPr>
          <w:color w:val="000000"/>
          <w:spacing w:val="0"/>
          <w:w w:val="100"/>
          <w:position w:val="0"/>
        </w:rPr>
        <w:t>（</w:t>
      </w:r>
      <w:bookmarkEnd w:id="650"/>
      <w:r>
        <w:rPr>
          <w:rFonts w:ascii="Times New Roman" w:eastAsia="Times New Roman" w:hAnsi="Times New Roman" w:cs="Times New Roman"/>
          <w:color w:val="000000"/>
          <w:spacing w:val="0"/>
          <w:w w:val="100"/>
          <w:position w:val="0"/>
        </w:rPr>
        <w:t>6</w:t>
      </w:r>
      <w:r>
        <w:rPr>
          <w:color w:val="000000"/>
          <w:spacing w:val="0"/>
          <w:w w:val="100"/>
          <w:position w:val="0"/>
        </w:rPr>
        <w:t>）</w:t>
        <w:tab/>
        <w:t>评估管理层对该事项的会计处理及披露。</w:t>
      </w:r>
    </w:p>
    <w:p>
      <w:pPr>
        <w:pStyle w:val="Style44"/>
        <w:keepNext w:val="0"/>
        <w:keepLines w:val="0"/>
        <w:widowControl w:val="0"/>
        <w:shd w:val="clear" w:color="auto" w:fill="auto"/>
        <w:tabs>
          <w:tab w:pos="1507" w:val="left"/>
        </w:tabs>
        <w:bidi w:val="0"/>
        <w:spacing w:before="0" w:after="0" w:line="475" w:lineRule="exact"/>
        <w:ind w:left="0" w:right="0" w:firstLine="880"/>
        <w:jc w:val="left"/>
      </w:pPr>
      <w:bookmarkStart w:id="651" w:name="bookmark651"/>
      <w:r>
        <w:rPr>
          <w:color w:val="000000"/>
          <w:spacing w:val="0"/>
          <w:w w:val="100"/>
          <w:position w:val="0"/>
        </w:rPr>
        <w:t>（</w:t>
      </w:r>
      <w:bookmarkEnd w:id="651"/>
      <w:r>
        <w:rPr>
          <w:color w:val="000000"/>
          <w:spacing w:val="0"/>
          <w:w w:val="100"/>
          <w:position w:val="0"/>
        </w:rPr>
        <w:t>二）</w:t>
        <w:tab/>
        <w:t>收入确认</w:t>
      </w:r>
    </w:p>
    <w:p>
      <w:pPr>
        <w:pStyle w:val="Style44"/>
        <w:keepNext w:val="0"/>
        <w:keepLines w:val="0"/>
        <w:widowControl w:val="0"/>
        <w:numPr>
          <w:ilvl w:val="0"/>
          <w:numId w:val="11"/>
        </w:numPr>
        <w:shd w:val="clear" w:color="auto" w:fill="auto"/>
        <w:bidi w:val="0"/>
        <w:spacing w:before="0" w:after="0" w:line="475" w:lineRule="exact"/>
        <w:ind w:left="0" w:right="0" w:firstLine="880"/>
        <w:jc w:val="left"/>
      </w:pPr>
      <w:bookmarkStart w:id="652" w:name="bookmark652"/>
      <w:bookmarkEnd w:id="652"/>
      <w:r>
        <w:rPr>
          <w:color w:val="000000"/>
          <w:spacing w:val="0"/>
          <w:w w:val="100"/>
          <w:position w:val="0"/>
        </w:rPr>
        <w:t>事项描述</w:t>
      </w:r>
    </w:p>
    <w:p>
      <w:pPr>
        <w:pStyle w:val="Style44"/>
        <w:keepNext w:val="0"/>
        <w:keepLines w:val="0"/>
        <w:widowControl w:val="0"/>
        <w:shd w:val="clear" w:color="auto" w:fill="auto"/>
        <w:bidi w:val="0"/>
        <w:spacing w:before="0" w:after="0" w:line="470" w:lineRule="exact"/>
        <w:ind w:left="0" w:right="0" w:firstLine="880"/>
        <w:jc w:val="left"/>
      </w:pPr>
      <w:r>
        <w:rPr>
          <w:color w:val="000000"/>
          <w:spacing w:val="0"/>
          <w:w w:val="100"/>
          <w:position w:val="0"/>
        </w:rPr>
        <w:t>相关信息披露详见财务报表附注五、</w:t>
      </w:r>
      <w:r>
        <w:rPr>
          <w:rFonts w:ascii="Times New Roman" w:eastAsia="Times New Roman" w:hAnsi="Times New Roman" w:cs="Times New Roman"/>
          <w:color w:val="000000"/>
          <w:spacing w:val="0"/>
          <w:w w:val="100"/>
          <w:position w:val="0"/>
        </w:rPr>
        <w:t xml:space="preserve">39 </w:t>
      </w:r>
      <w:r>
        <w:rPr>
          <w:color w:val="000000"/>
          <w:spacing w:val="0"/>
          <w:w w:val="100"/>
          <w:position w:val="0"/>
        </w:rPr>
        <w:t>“营业收入和营业成本”。</w:t>
      </w:r>
    </w:p>
    <w:p>
      <w:pPr>
        <w:pStyle w:val="Style44"/>
        <w:keepNext w:val="0"/>
        <w:keepLines w:val="0"/>
        <w:widowControl w:val="0"/>
        <w:shd w:val="clear" w:color="auto" w:fill="auto"/>
        <w:bidi w:val="0"/>
        <w:spacing w:before="0" w:after="0" w:line="470" w:lineRule="exact"/>
        <w:ind w:left="480" w:right="0"/>
        <w:jc w:val="both"/>
      </w:pPr>
      <w:r>
        <w:rPr>
          <w:color w:val="000000"/>
          <w:spacing w:val="0"/>
          <w:w w:val="100"/>
          <w:position w:val="0"/>
        </w:rPr>
        <w:t>国民技术公司的营业收入主要系销售芯片类产品及负极材料等，</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年度营业收入金额为 </w:t>
      </w:r>
      <w:r>
        <w:rPr>
          <w:rFonts w:ascii="Times New Roman" w:eastAsia="Times New Roman" w:hAnsi="Times New Roman" w:cs="Times New Roman"/>
          <w:color w:val="000000"/>
          <w:spacing w:val="0"/>
          <w:w w:val="100"/>
          <w:position w:val="0"/>
        </w:rPr>
        <w:t>37,970.72</w:t>
      </w:r>
      <w:r>
        <w:rPr>
          <w:color w:val="000000"/>
          <w:spacing w:val="0"/>
          <w:w w:val="100"/>
          <w:position w:val="0"/>
        </w:rPr>
        <w:t>万元，其中主营业务收入为</w:t>
      </w:r>
      <w:r>
        <w:rPr>
          <w:rFonts w:ascii="Times New Roman" w:eastAsia="Times New Roman" w:hAnsi="Times New Roman" w:cs="Times New Roman"/>
          <w:color w:val="000000"/>
          <w:spacing w:val="0"/>
          <w:w w:val="100"/>
          <w:position w:val="0"/>
        </w:rPr>
        <w:t>35,965.71</w:t>
      </w:r>
      <w:r>
        <w:rPr>
          <w:color w:val="000000"/>
          <w:spacing w:val="0"/>
          <w:w w:val="100"/>
          <w:position w:val="0"/>
        </w:rPr>
        <w:t>万元，占营业收入的</w:t>
      </w:r>
      <w:r>
        <w:rPr>
          <w:rFonts w:ascii="Times New Roman" w:eastAsia="Times New Roman" w:hAnsi="Times New Roman" w:cs="Times New Roman"/>
          <w:color w:val="000000"/>
          <w:spacing w:val="0"/>
          <w:w w:val="100"/>
          <w:position w:val="0"/>
        </w:rPr>
        <w:t>94.72%</w:t>
      </w:r>
      <w:r>
        <w:rPr>
          <w:color w:val="000000"/>
          <w:spacing w:val="0"/>
          <w:w w:val="100"/>
          <w:position w:val="0"/>
        </w:rPr>
        <w:t>。由于营业收入是国 民技术公司关键业绩指标之一，可能存在管理层通过不恰当的收入确认以达到特定目标或预期的 固有风险。因此，我们将收入确认确定为关键审计事项。</w:t>
      </w:r>
    </w:p>
    <w:p>
      <w:pPr>
        <w:pStyle w:val="Style44"/>
        <w:keepNext w:val="0"/>
        <w:keepLines w:val="0"/>
        <w:widowControl w:val="0"/>
        <w:numPr>
          <w:ilvl w:val="0"/>
          <w:numId w:val="11"/>
        </w:numPr>
        <w:shd w:val="clear" w:color="auto" w:fill="auto"/>
        <w:bidi w:val="0"/>
        <w:spacing w:before="0" w:after="0" w:line="470" w:lineRule="exact"/>
        <w:ind w:left="0" w:right="0" w:firstLine="880"/>
        <w:jc w:val="both"/>
      </w:pPr>
      <w:bookmarkStart w:id="653" w:name="bookmark653"/>
      <w:bookmarkEnd w:id="653"/>
      <w:r>
        <w:rPr>
          <w:color w:val="000000"/>
          <w:spacing w:val="0"/>
          <w:w w:val="100"/>
          <w:position w:val="0"/>
        </w:rPr>
        <w:t>审计应对</w:t>
      </w:r>
    </w:p>
    <w:p>
      <w:pPr>
        <w:pStyle w:val="Style44"/>
        <w:keepNext w:val="0"/>
        <w:keepLines w:val="0"/>
        <w:widowControl w:val="0"/>
        <w:shd w:val="clear" w:color="auto" w:fill="auto"/>
        <w:tabs>
          <w:tab w:pos="1525" w:val="left"/>
        </w:tabs>
        <w:bidi w:val="0"/>
        <w:spacing w:before="0" w:after="0" w:line="474" w:lineRule="exact"/>
        <w:ind w:left="480" w:right="0"/>
        <w:jc w:val="both"/>
      </w:pPr>
      <w:bookmarkStart w:id="654" w:name="bookmark654"/>
      <w:r>
        <w:rPr>
          <w:color w:val="000000"/>
          <w:spacing w:val="0"/>
          <w:w w:val="100"/>
          <w:position w:val="0"/>
        </w:rPr>
        <w:t>（</w:t>
      </w:r>
      <w:bookmarkEnd w:id="654"/>
      <w:r>
        <w:rPr>
          <w:rFonts w:ascii="Times New Roman" w:eastAsia="Times New Roman" w:hAnsi="Times New Roman" w:cs="Times New Roman"/>
          <w:color w:val="000000"/>
          <w:spacing w:val="0"/>
          <w:w w:val="100"/>
          <w:position w:val="0"/>
        </w:rPr>
        <w:t>1</w:t>
      </w:r>
      <w:r>
        <w:rPr>
          <w:color w:val="000000"/>
          <w:spacing w:val="0"/>
          <w:w w:val="100"/>
          <w:position w:val="0"/>
        </w:rPr>
        <w:t>）</w:t>
        <w:tab/>
        <w:t>了解与收入确认相关的关键内部控制，评价这些控制的设计，确定其是否得到执行，并 测试相关内部控制的运行有效性；</w:t>
      </w:r>
    </w:p>
    <w:p>
      <w:pPr>
        <w:pStyle w:val="Style44"/>
        <w:keepNext w:val="0"/>
        <w:keepLines w:val="0"/>
        <w:widowControl w:val="0"/>
        <w:shd w:val="clear" w:color="auto" w:fill="auto"/>
        <w:tabs>
          <w:tab w:pos="1525" w:val="left"/>
        </w:tabs>
        <w:bidi w:val="0"/>
        <w:spacing w:before="0" w:after="0" w:line="474" w:lineRule="exact"/>
        <w:ind w:left="480" w:right="0"/>
        <w:jc w:val="both"/>
      </w:pPr>
      <w:bookmarkStart w:id="655" w:name="bookmark655"/>
      <w:r>
        <w:rPr>
          <w:color w:val="000000"/>
          <w:spacing w:val="0"/>
          <w:w w:val="100"/>
          <w:position w:val="0"/>
        </w:rPr>
        <w:t>（</w:t>
      </w:r>
      <w:bookmarkEnd w:id="655"/>
      <w:r>
        <w:rPr>
          <w:rFonts w:ascii="Times New Roman" w:eastAsia="Times New Roman" w:hAnsi="Times New Roman" w:cs="Times New Roman"/>
          <w:color w:val="000000"/>
          <w:spacing w:val="0"/>
          <w:w w:val="100"/>
          <w:position w:val="0"/>
        </w:rPr>
        <w:t>2</w:t>
      </w:r>
      <w:r>
        <w:rPr>
          <w:color w:val="000000"/>
          <w:spacing w:val="0"/>
          <w:w w:val="100"/>
          <w:position w:val="0"/>
        </w:rPr>
        <w:t>）</w:t>
        <w:tab/>
        <w:t>检查主要的销售合同，了解主要合同条款或条件，评价收入确认政策是否符合企业会计 准则的规定；</w:t>
      </w:r>
    </w:p>
    <w:p>
      <w:pPr>
        <w:pStyle w:val="Style44"/>
        <w:keepNext w:val="0"/>
        <w:keepLines w:val="0"/>
        <w:widowControl w:val="0"/>
        <w:shd w:val="clear" w:color="auto" w:fill="auto"/>
        <w:tabs>
          <w:tab w:pos="1525" w:val="left"/>
        </w:tabs>
        <w:bidi w:val="0"/>
        <w:spacing w:before="0" w:after="0" w:line="474" w:lineRule="exact"/>
        <w:ind w:left="480" w:right="0"/>
        <w:jc w:val="both"/>
      </w:pPr>
      <w:bookmarkStart w:id="656" w:name="bookmark656"/>
      <w:r>
        <w:rPr>
          <w:color w:val="000000"/>
          <w:spacing w:val="0"/>
          <w:w w:val="100"/>
          <w:position w:val="0"/>
        </w:rPr>
        <w:t>（</w:t>
      </w:r>
      <w:bookmarkEnd w:id="656"/>
      <w:r>
        <w:rPr>
          <w:rFonts w:ascii="Times New Roman" w:eastAsia="Times New Roman" w:hAnsi="Times New Roman" w:cs="Times New Roman"/>
          <w:color w:val="000000"/>
          <w:spacing w:val="0"/>
          <w:w w:val="100"/>
          <w:position w:val="0"/>
        </w:rPr>
        <w:t>3</w:t>
      </w:r>
      <w:r>
        <w:rPr>
          <w:color w:val="000000"/>
          <w:spacing w:val="0"/>
          <w:w w:val="100"/>
          <w:position w:val="0"/>
        </w:rPr>
        <w:t>）</w:t>
        <w:tab/>
        <w:t>对于内销收入，以抽样方式检查与收入确认相关的支持性文件，包括销售合同、订单、 销售发票、出库单、物流单据、客户签收单、客户对账单等；对于出口收入，获取电子口岸信息 并与账面记录核对，并以抽样方式检查销售合同、出口报关单、销售发票等支持性文件；</w:t>
      </w:r>
    </w:p>
    <w:p>
      <w:pPr>
        <w:pStyle w:val="Style44"/>
        <w:keepNext w:val="0"/>
        <w:keepLines w:val="0"/>
        <w:widowControl w:val="0"/>
        <w:shd w:val="clear" w:color="auto" w:fill="auto"/>
        <w:tabs>
          <w:tab w:pos="1525" w:val="left"/>
        </w:tabs>
        <w:bidi w:val="0"/>
        <w:spacing w:before="0" w:after="0" w:line="480" w:lineRule="exact"/>
        <w:ind w:left="480" w:right="0"/>
        <w:jc w:val="both"/>
      </w:pPr>
      <w:bookmarkStart w:id="657" w:name="bookmark657"/>
      <w:r>
        <w:rPr>
          <w:color w:val="000000"/>
          <w:spacing w:val="0"/>
          <w:w w:val="100"/>
          <w:position w:val="0"/>
        </w:rPr>
        <w:t>（</w:t>
      </w:r>
      <w:bookmarkEnd w:id="657"/>
      <w:r>
        <w:rPr>
          <w:rFonts w:ascii="Times New Roman" w:eastAsia="Times New Roman" w:hAnsi="Times New Roman" w:cs="Times New Roman"/>
          <w:color w:val="000000"/>
          <w:spacing w:val="0"/>
          <w:w w:val="100"/>
          <w:position w:val="0"/>
        </w:rPr>
        <w:t>4</w:t>
      </w:r>
      <w:r>
        <w:rPr>
          <w:color w:val="000000"/>
          <w:spacing w:val="0"/>
          <w:w w:val="100"/>
          <w:position w:val="0"/>
        </w:rPr>
        <w:t>）</w:t>
        <w:tab/>
        <w:t>对营业收入及毛利率按月度、产品、客户等实施分析程序，识别是否存在重大或异常波 动，并查明波动原因；</w:t>
      </w:r>
    </w:p>
    <w:p>
      <w:pPr>
        <w:pStyle w:val="Style44"/>
        <w:keepNext w:val="0"/>
        <w:keepLines w:val="0"/>
        <w:widowControl w:val="0"/>
        <w:shd w:val="clear" w:color="auto" w:fill="auto"/>
        <w:tabs>
          <w:tab w:pos="1392" w:val="left"/>
        </w:tabs>
        <w:bidi w:val="0"/>
        <w:spacing w:before="0" w:after="0" w:line="480" w:lineRule="exact"/>
        <w:ind w:left="0" w:right="0" w:firstLine="880"/>
        <w:jc w:val="left"/>
      </w:pPr>
      <w:bookmarkStart w:id="658" w:name="bookmark658"/>
      <w:r>
        <w:rPr>
          <w:color w:val="000000"/>
          <w:spacing w:val="0"/>
          <w:w w:val="100"/>
          <w:position w:val="0"/>
        </w:rPr>
        <w:t>（</w:t>
      </w:r>
      <w:bookmarkEnd w:id="658"/>
      <w:r>
        <w:rPr>
          <w:rFonts w:ascii="Times New Roman" w:eastAsia="Times New Roman" w:hAnsi="Times New Roman" w:cs="Times New Roman"/>
          <w:color w:val="000000"/>
          <w:spacing w:val="0"/>
          <w:w w:val="100"/>
          <w:position w:val="0"/>
        </w:rPr>
        <w:t>5</w:t>
      </w:r>
      <w:r>
        <w:rPr>
          <w:color w:val="000000"/>
          <w:spacing w:val="0"/>
          <w:w w:val="100"/>
          <w:position w:val="0"/>
        </w:rPr>
        <w:t>）</w:t>
        <w:tab/>
        <w:t>结合应收账款函证，以抽样方式向主要客户独立函证报告期内销售额；</w:t>
      </w:r>
    </w:p>
    <w:p>
      <w:pPr>
        <w:pStyle w:val="Style44"/>
        <w:keepNext w:val="0"/>
        <w:keepLines w:val="0"/>
        <w:widowControl w:val="0"/>
        <w:shd w:val="clear" w:color="auto" w:fill="auto"/>
        <w:tabs>
          <w:tab w:pos="1392" w:val="left"/>
        </w:tabs>
        <w:bidi w:val="0"/>
        <w:spacing w:before="0" w:after="0" w:line="470" w:lineRule="exact"/>
        <w:ind w:left="0" w:right="0" w:firstLine="880"/>
        <w:jc w:val="left"/>
      </w:pPr>
      <w:bookmarkStart w:id="659" w:name="bookmark659"/>
      <w:r>
        <w:rPr>
          <w:color w:val="000000"/>
          <w:spacing w:val="0"/>
          <w:w w:val="100"/>
          <w:position w:val="0"/>
        </w:rPr>
        <w:t>（</w:t>
      </w:r>
      <w:bookmarkEnd w:id="659"/>
      <w:r>
        <w:rPr>
          <w:rFonts w:ascii="Times New Roman" w:eastAsia="Times New Roman" w:hAnsi="Times New Roman" w:cs="Times New Roman"/>
          <w:color w:val="000000"/>
          <w:spacing w:val="0"/>
          <w:w w:val="100"/>
          <w:position w:val="0"/>
        </w:rPr>
        <w:t>6</w:t>
      </w:r>
      <w:r>
        <w:rPr>
          <w:color w:val="000000"/>
          <w:spacing w:val="0"/>
          <w:w w:val="100"/>
          <w:position w:val="0"/>
        </w:rPr>
        <w:t>）</w:t>
        <w:tab/>
        <w:t>对资产负债表日前后确认的营业收入实施截止测试，评价营业收入是否在恰当期间确认；</w:t>
      </w:r>
    </w:p>
    <w:p>
      <w:pPr>
        <w:pStyle w:val="Style44"/>
        <w:keepNext w:val="0"/>
        <w:keepLines w:val="0"/>
        <w:widowControl w:val="0"/>
        <w:shd w:val="clear" w:color="auto" w:fill="auto"/>
        <w:tabs>
          <w:tab w:pos="1392" w:val="left"/>
        </w:tabs>
        <w:bidi w:val="0"/>
        <w:spacing w:before="0" w:after="0" w:line="470" w:lineRule="exact"/>
        <w:ind w:left="0" w:right="0" w:firstLine="880"/>
        <w:jc w:val="left"/>
      </w:pPr>
      <w:bookmarkStart w:id="660" w:name="bookmark660"/>
      <w:r>
        <w:rPr>
          <w:color w:val="000000"/>
          <w:spacing w:val="0"/>
          <w:w w:val="100"/>
          <w:position w:val="0"/>
        </w:rPr>
        <w:t>（</w:t>
      </w:r>
      <w:bookmarkEnd w:id="660"/>
      <w:r>
        <w:rPr>
          <w:rFonts w:ascii="Times New Roman" w:eastAsia="Times New Roman" w:hAnsi="Times New Roman" w:cs="Times New Roman"/>
          <w:color w:val="000000"/>
          <w:spacing w:val="0"/>
          <w:w w:val="100"/>
          <w:position w:val="0"/>
        </w:rPr>
        <w:t>7</w:t>
      </w:r>
      <w:r>
        <w:rPr>
          <w:color w:val="000000"/>
          <w:spacing w:val="0"/>
          <w:w w:val="100"/>
          <w:position w:val="0"/>
        </w:rPr>
        <w:t>）</w:t>
        <w:tab/>
        <w:t>检查与营业收入相关的信息是否已在财务报表中作出恰当列报。</w:t>
      </w:r>
    </w:p>
    <w:p>
      <w:pPr>
        <w:pStyle w:val="Style44"/>
        <w:keepNext w:val="0"/>
        <w:keepLines w:val="0"/>
        <w:widowControl w:val="0"/>
        <w:shd w:val="clear" w:color="auto" w:fill="auto"/>
        <w:bidi w:val="0"/>
        <w:spacing w:before="0" w:after="0" w:line="470" w:lineRule="exact"/>
        <w:ind w:left="0" w:right="0" w:firstLine="880"/>
        <w:jc w:val="left"/>
      </w:pPr>
      <w:bookmarkStart w:id="661" w:name="bookmark661"/>
      <w:r>
        <w:rPr>
          <w:color w:val="000000"/>
          <w:spacing w:val="0"/>
          <w:w w:val="100"/>
          <w:position w:val="0"/>
        </w:rPr>
        <w:t>（</w:t>
      </w:r>
      <w:bookmarkEnd w:id="661"/>
      <w:r>
        <w:rPr>
          <w:color w:val="000000"/>
          <w:spacing w:val="0"/>
          <w:w w:val="100"/>
          <w:position w:val="0"/>
        </w:rPr>
        <w:t>三）应收款项的可收回性</w:t>
      </w:r>
    </w:p>
    <w:p>
      <w:pPr>
        <w:pStyle w:val="Style44"/>
        <w:keepNext w:val="0"/>
        <w:keepLines w:val="0"/>
        <w:widowControl w:val="0"/>
        <w:numPr>
          <w:ilvl w:val="0"/>
          <w:numId w:val="13"/>
        </w:numPr>
        <w:shd w:val="clear" w:color="auto" w:fill="auto"/>
        <w:bidi w:val="0"/>
        <w:spacing w:before="0" w:after="0" w:line="470" w:lineRule="exact"/>
        <w:ind w:left="0" w:right="0" w:firstLine="880"/>
        <w:jc w:val="left"/>
      </w:pPr>
      <w:bookmarkStart w:id="662" w:name="bookmark662"/>
      <w:bookmarkEnd w:id="662"/>
      <w:r>
        <w:rPr>
          <w:color w:val="000000"/>
          <w:spacing w:val="0"/>
          <w:w w:val="100"/>
          <w:position w:val="0"/>
        </w:rPr>
        <w:t>事项描述</w:t>
      </w:r>
    </w:p>
    <w:p>
      <w:pPr>
        <w:pStyle w:val="Style44"/>
        <w:keepNext w:val="0"/>
        <w:keepLines w:val="0"/>
        <w:widowControl w:val="0"/>
        <w:shd w:val="clear" w:color="auto" w:fill="auto"/>
        <w:bidi w:val="0"/>
        <w:spacing w:before="0" w:after="0" w:line="470" w:lineRule="exact"/>
        <w:ind w:left="0" w:right="0" w:firstLine="880"/>
        <w:jc w:val="left"/>
      </w:pPr>
      <w:r>
        <w:rPr>
          <w:color w:val="000000"/>
          <w:spacing w:val="0"/>
          <w:w w:val="100"/>
          <w:position w:val="0"/>
        </w:rPr>
        <w:t>相关信息披露详见财务报表附注五、</w:t>
      </w:r>
      <w:r>
        <w:rPr>
          <w:rFonts w:ascii="Times New Roman" w:eastAsia="Times New Roman" w:hAnsi="Times New Roman" w:cs="Times New Roman"/>
          <w:color w:val="000000"/>
          <w:spacing w:val="0"/>
          <w:w w:val="100"/>
          <w:position w:val="0"/>
        </w:rPr>
        <w:t xml:space="preserve">4 </w:t>
      </w:r>
      <w:r>
        <w:rPr>
          <w:color w:val="000000"/>
          <w:spacing w:val="0"/>
          <w:w w:val="100"/>
          <w:position w:val="0"/>
        </w:rPr>
        <w:t>“应收账款”。</w:t>
      </w:r>
    </w:p>
    <w:p>
      <w:pPr>
        <w:pStyle w:val="Style44"/>
        <w:keepNext w:val="0"/>
        <w:keepLines w:val="0"/>
        <w:widowControl w:val="0"/>
        <w:shd w:val="clear" w:color="auto" w:fill="auto"/>
        <w:bidi w:val="0"/>
        <w:spacing w:before="0" w:after="0" w:line="470" w:lineRule="exact"/>
        <w:ind w:left="48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日，国民技术公司应收账款账面余额</w:t>
      </w:r>
      <w:r>
        <w:rPr>
          <w:rFonts w:ascii="Times New Roman" w:eastAsia="Times New Roman" w:hAnsi="Times New Roman" w:cs="Times New Roman"/>
          <w:color w:val="000000"/>
          <w:spacing w:val="0"/>
          <w:w w:val="100"/>
          <w:position w:val="0"/>
        </w:rPr>
        <w:t>90,743.73</w:t>
      </w:r>
      <w:r>
        <w:rPr>
          <w:color w:val="000000"/>
          <w:spacing w:val="0"/>
          <w:w w:val="100"/>
          <w:position w:val="0"/>
        </w:rPr>
        <w:t>万元，应收账款坏账准 备金额</w:t>
      </w:r>
      <w:r>
        <w:rPr>
          <w:rFonts w:ascii="Times New Roman" w:eastAsia="Times New Roman" w:hAnsi="Times New Roman" w:cs="Times New Roman"/>
          <w:color w:val="000000"/>
          <w:spacing w:val="0"/>
          <w:w w:val="100"/>
          <w:position w:val="0"/>
        </w:rPr>
        <w:t>70,451.94</w:t>
      </w:r>
      <w:r>
        <w:rPr>
          <w:color w:val="000000"/>
          <w:spacing w:val="0"/>
          <w:w w:val="100"/>
          <w:position w:val="0"/>
        </w:rPr>
        <w:t>万元。</w:t>
      </w:r>
    </w:p>
    <w:p>
      <w:pPr>
        <w:pStyle w:val="Style44"/>
        <w:keepNext w:val="0"/>
        <w:keepLines w:val="0"/>
        <w:widowControl w:val="0"/>
        <w:shd w:val="clear" w:color="auto" w:fill="auto"/>
        <w:bidi w:val="0"/>
        <w:spacing w:before="0" w:after="0" w:line="468" w:lineRule="exact"/>
        <w:ind w:left="48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年，国民技术公司子公司深圳市斯诺实业发展有限公司（以下简称''斯诺实业”）追回 前期已销售未回款的质押物，并对追回的质押物二次销售，取得销售回款</w:t>
      </w:r>
      <w:r>
        <w:rPr>
          <w:rFonts w:ascii="Times New Roman" w:eastAsia="Times New Roman" w:hAnsi="Times New Roman" w:cs="Times New Roman"/>
          <w:color w:val="000000"/>
          <w:spacing w:val="0"/>
          <w:w w:val="100"/>
          <w:position w:val="0"/>
        </w:rPr>
        <w:t>5,652.10</w:t>
      </w:r>
      <w:r>
        <w:rPr>
          <w:color w:val="000000"/>
          <w:spacing w:val="0"/>
          <w:w w:val="100"/>
          <w:position w:val="0"/>
        </w:rPr>
        <w:t>万元，转回应 收账款坏账准备</w:t>
      </w:r>
      <w:r>
        <w:rPr>
          <w:rFonts w:ascii="Times New Roman" w:eastAsia="Times New Roman" w:hAnsi="Times New Roman" w:cs="Times New Roman"/>
          <w:color w:val="000000"/>
          <w:spacing w:val="0"/>
          <w:w w:val="100"/>
          <w:position w:val="0"/>
        </w:rPr>
        <w:t>5,652.10</w:t>
      </w:r>
      <w:r>
        <w:rPr>
          <w:color w:val="000000"/>
          <w:spacing w:val="0"/>
          <w:w w:val="100"/>
          <w:position w:val="0"/>
        </w:rPr>
        <w:t>万元，且本年斯诺实业应收款项计提坏账准备</w:t>
      </w:r>
      <w:r>
        <w:rPr>
          <w:rFonts w:ascii="Times New Roman" w:eastAsia="Times New Roman" w:hAnsi="Times New Roman" w:cs="Times New Roman"/>
          <w:color w:val="000000"/>
          <w:spacing w:val="0"/>
          <w:w w:val="100"/>
          <w:position w:val="0"/>
        </w:rPr>
        <w:t>2,815.14</w:t>
      </w:r>
      <w:r>
        <w:rPr>
          <w:color w:val="000000"/>
          <w:spacing w:val="0"/>
          <w:w w:val="100"/>
          <w:position w:val="0"/>
        </w:rPr>
        <w:t>万元，金额重大。</w:t>
      </w:r>
    </w:p>
    <w:p>
      <w:pPr>
        <w:pStyle w:val="Style44"/>
        <w:keepNext w:val="0"/>
        <w:keepLines w:val="0"/>
        <w:widowControl w:val="0"/>
        <w:shd w:val="clear" w:color="auto" w:fill="auto"/>
        <w:bidi w:val="0"/>
        <w:spacing w:before="0" w:after="0" w:line="470" w:lineRule="exact"/>
        <w:ind w:left="480" w:right="0"/>
        <w:jc w:val="both"/>
      </w:pPr>
      <w:r>
        <w:rPr>
          <w:color w:val="000000"/>
          <w:spacing w:val="0"/>
          <w:w w:val="100"/>
          <w:position w:val="0"/>
        </w:rPr>
        <w:t xml:space="preserve">管理层以预期信用损失为基础进行金融工具减值会计处理并确认损失准备。由于应收款项可 收回性的确定需要管理层识别已发生减值的项目和客观证据、评估预期未来可获取的现金流量并 </w:t>
      </w:r>
      <w:r>
        <w:rPr>
          <w:color w:val="000000"/>
          <w:spacing w:val="0"/>
          <w:w w:val="100"/>
          <w:position w:val="0"/>
        </w:rPr>
        <w:t>确定其现值，涉及管理层运用重大会计估计和判断，且应收款项的可收回性对于财务报表具有重 要性，因此，我们将应收款项的可收回性认定为关键审计事项。</w:t>
      </w:r>
    </w:p>
    <w:p>
      <w:pPr>
        <w:pStyle w:val="Style44"/>
        <w:keepNext w:val="0"/>
        <w:keepLines w:val="0"/>
        <w:widowControl w:val="0"/>
        <w:numPr>
          <w:ilvl w:val="0"/>
          <w:numId w:val="13"/>
        </w:numPr>
        <w:shd w:val="clear" w:color="auto" w:fill="auto"/>
        <w:bidi w:val="0"/>
        <w:spacing w:before="0" w:after="0" w:line="473" w:lineRule="exact"/>
        <w:ind w:left="0" w:right="0" w:firstLine="880"/>
        <w:jc w:val="left"/>
      </w:pPr>
      <w:bookmarkStart w:id="663" w:name="bookmark663"/>
      <w:bookmarkEnd w:id="663"/>
      <w:r>
        <w:rPr>
          <w:color w:val="000000"/>
          <w:spacing w:val="0"/>
          <w:w w:val="100"/>
          <w:position w:val="0"/>
        </w:rPr>
        <w:t>审计应对</w:t>
      </w:r>
    </w:p>
    <w:p>
      <w:pPr>
        <w:pStyle w:val="Style44"/>
        <w:keepNext w:val="0"/>
        <w:keepLines w:val="0"/>
        <w:widowControl w:val="0"/>
        <w:shd w:val="clear" w:color="auto" w:fill="auto"/>
        <w:tabs>
          <w:tab w:pos="1520" w:val="left"/>
        </w:tabs>
        <w:bidi w:val="0"/>
        <w:spacing w:before="0" w:after="0" w:line="475" w:lineRule="exact"/>
        <w:ind w:left="480" w:right="0"/>
        <w:jc w:val="both"/>
      </w:pPr>
      <w:bookmarkStart w:id="664" w:name="bookmark664"/>
      <w:r>
        <w:rPr>
          <w:color w:val="000000"/>
          <w:spacing w:val="0"/>
          <w:w w:val="100"/>
          <w:position w:val="0"/>
        </w:rPr>
        <w:t>（</w:t>
      </w:r>
      <w:bookmarkEnd w:id="664"/>
      <w:r>
        <w:rPr>
          <w:rFonts w:ascii="Times New Roman" w:eastAsia="Times New Roman" w:hAnsi="Times New Roman" w:cs="Times New Roman"/>
          <w:color w:val="000000"/>
          <w:spacing w:val="0"/>
          <w:w w:val="100"/>
          <w:position w:val="0"/>
        </w:rPr>
        <w:t>1</w:t>
      </w:r>
      <w:r>
        <w:rPr>
          <w:color w:val="000000"/>
          <w:spacing w:val="0"/>
          <w:w w:val="100"/>
          <w:position w:val="0"/>
        </w:rPr>
        <w:t>）</w:t>
        <w:tab/>
        <w:t>了解、评估及测试与应收款项日常管理及可收回性评估相关的内部控制的设计及运行有 效性；</w:t>
      </w:r>
    </w:p>
    <w:p>
      <w:pPr>
        <w:pStyle w:val="Style44"/>
        <w:keepNext w:val="0"/>
        <w:keepLines w:val="0"/>
        <w:widowControl w:val="0"/>
        <w:shd w:val="clear" w:color="auto" w:fill="auto"/>
        <w:tabs>
          <w:tab w:pos="1515" w:val="left"/>
        </w:tabs>
        <w:bidi w:val="0"/>
        <w:spacing w:before="0" w:after="0" w:line="470" w:lineRule="exact"/>
        <w:ind w:left="480" w:right="0"/>
        <w:jc w:val="both"/>
      </w:pPr>
      <w:bookmarkStart w:id="665" w:name="bookmark665"/>
      <w:r>
        <w:rPr>
          <w:color w:val="000000"/>
          <w:spacing w:val="0"/>
          <w:w w:val="100"/>
          <w:position w:val="0"/>
        </w:rPr>
        <w:t>（</w:t>
      </w:r>
      <w:bookmarkEnd w:id="665"/>
      <w:r>
        <w:rPr>
          <w:rFonts w:ascii="Times New Roman" w:eastAsia="Times New Roman" w:hAnsi="Times New Roman" w:cs="Times New Roman"/>
          <w:color w:val="000000"/>
          <w:spacing w:val="0"/>
          <w:w w:val="100"/>
          <w:position w:val="0"/>
        </w:rPr>
        <w:t>2</w:t>
      </w:r>
      <w:r>
        <w:rPr>
          <w:color w:val="000000"/>
          <w:spacing w:val="0"/>
          <w:w w:val="100"/>
          <w:position w:val="0"/>
        </w:rPr>
        <w:t>）</w:t>
        <w:tab/>
        <w:t>结合以往应收款项收回情况及同行业公司应收款项坏账准备计提政策，分析国民技术公 司应收款项坏账准备会计政策的合理性；</w:t>
      </w:r>
    </w:p>
    <w:p>
      <w:pPr>
        <w:pStyle w:val="Style44"/>
        <w:keepNext w:val="0"/>
        <w:keepLines w:val="0"/>
        <w:widowControl w:val="0"/>
        <w:shd w:val="clear" w:color="auto" w:fill="auto"/>
        <w:tabs>
          <w:tab w:pos="1525" w:val="left"/>
        </w:tabs>
        <w:bidi w:val="0"/>
        <w:spacing w:before="0" w:after="0" w:line="466" w:lineRule="exact"/>
        <w:ind w:left="480" w:right="0"/>
        <w:jc w:val="both"/>
      </w:pPr>
      <w:bookmarkStart w:id="666" w:name="bookmark666"/>
      <w:r>
        <w:rPr>
          <w:color w:val="000000"/>
          <w:spacing w:val="0"/>
          <w:w w:val="100"/>
          <w:position w:val="0"/>
        </w:rPr>
        <w:t>（</w:t>
      </w:r>
      <w:bookmarkEnd w:id="666"/>
      <w:r>
        <w:rPr>
          <w:rFonts w:ascii="Times New Roman" w:eastAsia="Times New Roman" w:hAnsi="Times New Roman" w:cs="Times New Roman"/>
          <w:color w:val="000000"/>
          <w:spacing w:val="0"/>
          <w:w w:val="100"/>
          <w:position w:val="0"/>
        </w:rPr>
        <w:t>3</w:t>
      </w:r>
      <w:r>
        <w:rPr>
          <w:color w:val="000000"/>
          <w:spacing w:val="0"/>
          <w:w w:val="100"/>
          <w:position w:val="0"/>
        </w:rPr>
        <w:t>）</w:t>
        <w:tab/>
        <w:t>执行应收款项函证程序及检查期后回款，评价应收款项变动的合理性及坏账准备计提的 合理性；</w:t>
      </w:r>
    </w:p>
    <w:p>
      <w:pPr>
        <w:pStyle w:val="Style44"/>
        <w:keepNext w:val="0"/>
        <w:keepLines w:val="0"/>
        <w:widowControl w:val="0"/>
        <w:shd w:val="clear" w:color="auto" w:fill="auto"/>
        <w:tabs>
          <w:tab w:pos="1520" w:val="left"/>
        </w:tabs>
        <w:bidi w:val="0"/>
        <w:spacing w:before="0" w:after="0" w:line="480" w:lineRule="exact"/>
        <w:ind w:left="480" w:right="0"/>
        <w:jc w:val="both"/>
      </w:pPr>
      <w:bookmarkStart w:id="667" w:name="bookmark667"/>
      <w:r>
        <w:rPr>
          <w:color w:val="000000"/>
          <w:spacing w:val="0"/>
          <w:w w:val="100"/>
          <w:position w:val="0"/>
        </w:rPr>
        <w:t>（</w:t>
      </w:r>
      <w:bookmarkEnd w:id="667"/>
      <w:r>
        <w:rPr>
          <w:rFonts w:ascii="Times New Roman" w:eastAsia="Times New Roman" w:hAnsi="Times New Roman" w:cs="Times New Roman"/>
          <w:color w:val="000000"/>
          <w:spacing w:val="0"/>
          <w:w w:val="100"/>
          <w:position w:val="0"/>
        </w:rPr>
        <w:t>4</w:t>
      </w:r>
      <w:r>
        <w:rPr>
          <w:color w:val="000000"/>
          <w:spacing w:val="0"/>
          <w:w w:val="100"/>
          <w:position w:val="0"/>
        </w:rPr>
        <w:t>）</w:t>
        <w:tab/>
        <w:t>获取国民技术公司坏账准备计提表，检查计提方法是否按照会计政策执行，重新计算坏 账准备计提金额是否准确；</w:t>
      </w:r>
    </w:p>
    <w:p>
      <w:pPr>
        <w:pStyle w:val="Style44"/>
        <w:keepNext w:val="0"/>
        <w:keepLines w:val="0"/>
        <w:widowControl w:val="0"/>
        <w:shd w:val="clear" w:color="auto" w:fill="auto"/>
        <w:tabs>
          <w:tab w:pos="1501" w:val="left"/>
        </w:tabs>
        <w:bidi w:val="0"/>
        <w:spacing w:before="0" w:after="0" w:line="475" w:lineRule="exact"/>
        <w:ind w:left="480" w:right="0"/>
        <w:jc w:val="both"/>
      </w:pPr>
      <w:bookmarkStart w:id="668" w:name="bookmark668"/>
      <w:r>
        <w:rPr>
          <w:color w:val="000000"/>
          <w:spacing w:val="0"/>
          <w:w w:val="100"/>
          <w:position w:val="0"/>
        </w:rPr>
        <w:t>（</w:t>
      </w:r>
      <w:bookmarkEnd w:id="668"/>
      <w:r>
        <w:rPr>
          <w:rFonts w:ascii="Times New Roman" w:eastAsia="Times New Roman" w:hAnsi="Times New Roman" w:cs="Times New Roman"/>
          <w:color w:val="000000"/>
          <w:spacing w:val="0"/>
          <w:w w:val="100"/>
          <w:position w:val="0"/>
        </w:rPr>
        <w:t>5</w:t>
      </w:r>
      <w:r>
        <w:rPr>
          <w:color w:val="000000"/>
          <w:spacing w:val="0"/>
          <w:w w:val="100"/>
          <w:position w:val="0"/>
        </w:rPr>
        <w:t>）</w:t>
        <w:tab/>
        <w:t>选取单项计提的应收款项，测试其可回收性。我们在评估应收款项的可回收性时，检查 了相关支持性证据，包括期后收款、客户的信用历史、经营情况、诉讼情况等；</w:t>
      </w:r>
    </w:p>
    <w:p>
      <w:pPr>
        <w:pStyle w:val="Style44"/>
        <w:keepNext w:val="0"/>
        <w:keepLines w:val="0"/>
        <w:widowControl w:val="0"/>
        <w:shd w:val="clear" w:color="auto" w:fill="auto"/>
        <w:tabs>
          <w:tab w:pos="1520" w:val="left"/>
        </w:tabs>
        <w:bidi w:val="0"/>
        <w:spacing w:before="0" w:after="0" w:line="480" w:lineRule="exact"/>
        <w:ind w:left="480" w:right="0"/>
        <w:jc w:val="both"/>
      </w:pPr>
      <w:bookmarkStart w:id="669" w:name="bookmark669"/>
      <w:r>
        <w:rPr>
          <w:color w:val="000000"/>
          <w:spacing w:val="0"/>
          <w:w w:val="100"/>
          <w:position w:val="0"/>
        </w:rPr>
        <w:t>（</w:t>
      </w:r>
      <w:bookmarkEnd w:id="669"/>
      <w:r>
        <w:rPr>
          <w:rFonts w:ascii="Times New Roman" w:eastAsia="Times New Roman" w:hAnsi="Times New Roman" w:cs="Times New Roman"/>
          <w:color w:val="000000"/>
          <w:spacing w:val="0"/>
          <w:w w:val="100"/>
          <w:position w:val="0"/>
        </w:rPr>
        <w:t>6</w:t>
      </w:r>
      <w:r>
        <w:rPr>
          <w:color w:val="000000"/>
          <w:spacing w:val="0"/>
          <w:w w:val="100"/>
          <w:position w:val="0"/>
        </w:rPr>
        <w:t>）</w:t>
        <w:tab/>
        <w:t>对于涉及诉讼事项的应收款项，我们通过查阅相关文件评估应收款项的可收回性，并与 管理层讨论诉讼事项对应收款项可收回金额的估计；</w:t>
      </w:r>
    </w:p>
    <w:p>
      <w:pPr>
        <w:pStyle w:val="Style44"/>
        <w:keepNext w:val="0"/>
        <w:keepLines w:val="0"/>
        <w:widowControl w:val="0"/>
        <w:shd w:val="clear" w:color="auto" w:fill="auto"/>
        <w:tabs>
          <w:tab w:pos="1525" w:val="left"/>
        </w:tabs>
        <w:bidi w:val="0"/>
        <w:spacing w:before="0" w:after="0" w:line="467" w:lineRule="exact"/>
        <w:ind w:left="480" w:right="0"/>
        <w:jc w:val="both"/>
      </w:pPr>
      <w:bookmarkStart w:id="670" w:name="bookmark670"/>
      <w:r>
        <w:rPr>
          <w:color w:val="000000"/>
          <w:spacing w:val="0"/>
          <w:w w:val="100"/>
          <w:position w:val="0"/>
        </w:rPr>
        <w:t>（</w:t>
      </w:r>
      <w:bookmarkEnd w:id="670"/>
      <w:r>
        <w:rPr>
          <w:rFonts w:ascii="Times New Roman" w:eastAsia="Times New Roman" w:hAnsi="Times New Roman" w:cs="Times New Roman"/>
          <w:color w:val="000000"/>
          <w:spacing w:val="0"/>
          <w:w w:val="100"/>
          <w:position w:val="0"/>
        </w:rPr>
        <w:t>7</w:t>
      </w:r>
      <w:r>
        <w:rPr>
          <w:color w:val="000000"/>
          <w:spacing w:val="0"/>
          <w:w w:val="100"/>
          <w:position w:val="0"/>
        </w:rPr>
        <w:t>）</w:t>
        <w:tab/>
        <w:t>复核上期和前期斯诺实业管理层计提坏账准备依据的充分性和合理性；就本年应收账款 坏账准备大额转回事项与斯诺实业管理层进行沟通，并对质押物销售回款诉讼情况进行复核；针 对质押物回款，我们获取了相关销售合同、送货单、银行收款回单、资金代付说明等，并逐一核 对，确认回款是否是质押物回款；</w:t>
      </w:r>
    </w:p>
    <w:p>
      <w:pPr>
        <w:pStyle w:val="Style44"/>
        <w:keepNext w:val="0"/>
        <w:keepLines w:val="0"/>
        <w:widowControl w:val="0"/>
        <w:shd w:val="clear" w:color="auto" w:fill="auto"/>
        <w:tabs>
          <w:tab w:pos="1415" w:val="left"/>
        </w:tabs>
        <w:bidi w:val="0"/>
        <w:spacing w:before="0" w:after="0" w:line="473" w:lineRule="exact"/>
        <w:ind w:left="0" w:right="0" w:firstLine="880"/>
        <w:jc w:val="left"/>
      </w:pPr>
      <w:bookmarkStart w:id="671" w:name="bookmark671"/>
      <w:r>
        <w:rPr>
          <w:color w:val="000000"/>
          <w:spacing w:val="0"/>
          <w:w w:val="100"/>
          <w:position w:val="0"/>
        </w:rPr>
        <w:t>（</w:t>
      </w:r>
      <w:bookmarkEnd w:id="671"/>
      <w:r>
        <w:rPr>
          <w:rFonts w:ascii="Times New Roman" w:eastAsia="Times New Roman" w:hAnsi="Times New Roman" w:cs="Times New Roman"/>
          <w:color w:val="000000"/>
          <w:spacing w:val="0"/>
          <w:w w:val="100"/>
          <w:position w:val="0"/>
        </w:rPr>
        <w:t>8</w:t>
      </w:r>
      <w:r>
        <w:rPr>
          <w:color w:val="000000"/>
          <w:spacing w:val="0"/>
          <w:w w:val="100"/>
          <w:position w:val="0"/>
        </w:rPr>
        <w:t>）</w:t>
        <w:tab/>
        <w:t>评估管理层对应收款项坏账准备的会计处理及披露。</w:t>
      </w:r>
    </w:p>
    <w:p>
      <w:pPr>
        <w:pStyle w:val="Style44"/>
        <w:keepNext w:val="0"/>
        <w:keepLines w:val="0"/>
        <w:widowControl w:val="0"/>
        <w:shd w:val="clear" w:color="auto" w:fill="auto"/>
        <w:bidi w:val="0"/>
        <w:spacing w:before="0" w:after="0" w:line="473" w:lineRule="exact"/>
        <w:ind w:left="0" w:right="0" w:firstLine="880"/>
        <w:jc w:val="left"/>
      </w:pPr>
      <w:bookmarkStart w:id="672" w:name="bookmark672"/>
      <w:r>
        <w:rPr>
          <w:color w:val="000000"/>
          <w:spacing w:val="0"/>
          <w:w w:val="100"/>
          <w:position w:val="0"/>
        </w:rPr>
        <w:t>（</w:t>
      </w:r>
      <w:bookmarkEnd w:id="672"/>
      <w:r>
        <w:rPr>
          <w:color w:val="000000"/>
          <w:spacing w:val="0"/>
          <w:w w:val="100"/>
          <w:position w:val="0"/>
        </w:rPr>
        <w:t>四）商誉减值</w:t>
      </w:r>
    </w:p>
    <w:p>
      <w:pPr>
        <w:pStyle w:val="Style44"/>
        <w:keepNext w:val="0"/>
        <w:keepLines w:val="0"/>
        <w:widowControl w:val="0"/>
        <w:numPr>
          <w:ilvl w:val="0"/>
          <w:numId w:val="15"/>
        </w:numPr>
        <w:shd w:val="clear" w:color="auto" w:fill="auto"/>
        <w:bidi w:val="0"/>
        <w:spacing w:before="0" w:after="0" w:line="473" w:lineRule="exact"/>
        <w:ind w:left="0" w:right="0" w:firstLine="880"/>
        <w:jc w:val="left"/>
      </w:pPr>
      <w:bookmarkStart w:id="673" w:name="bookmark673"/>
      <w:bookmarkEnd w:id="673"/>
      <w:r>
        <w:rPr>
          <w:color w:val="000000"/>
          <w:spacing w:val="0"/>
          <w:w w:val="100"/>
          <w:position w:val="0"/>
        </w:rPr>
        <w:t>事项描述</w:t>
      </w:r>
    </w:p>
    <w:p>
      <w:pPr>
        <w:pStyle w:val="Style44"/>
        <w:keepNext w:val="0"/>
        <w:keepLines w:val="0"/>
        <w:widowControl w:val="0"/>
        <w:shd w:val="clear" w:color="auto" w:fill="auto"/>
        <w:bidi w:val="0"/>
        <w:spacing w:before="0" w:after="0" w:line="473" w:lineRule="exact"/>
        <w:ind w:left="0" w:right="0" w:firstLine="880"/>
        <w:jc w:val="left"/>
      </w:pPr>
      <w:r>
        <w:rPr>
          <w:color w:val="000000"/>
          <w:spacing w:val="0"/>
          <w:w w:val="100"/>
          <w:position w:val="0"/>
        </w:rPr>
        <w:t>相关信息披露详见财务报表附注五、</w:t>
      </w:r>
      <w:r>
        <w:rPr>
          <w:rFonts w:ascii="Times New Roman" w:eastAsia="Times New Roman" w:hAnsi="Times New Roman" w:cs="Times New Roman"/>
          <w:color w:val="000000"/>
          <w:spacing w:val="0"/>
          <w:w w:val="100"/>
          <w:position w:val="0"/>
        </w:rPr>
        <w:t xml:space="preserve">18 </w:t>
      </w:r>
      <w:r>
        <w:rPr>
          <w:color w:val="000000"/>
          <w:spacing w:val="0"/>
          <w:w w:val="100"/>
          <w:position w:val="0"/>
        </w:rPr>
        <w:t>“商誉”。</w:t>
      </w:r>
    </w:p>
    <w:p>
      <w:pPr>
        <w:pStyle w:val="Style44"/>
        <w:keepNext w:val="0"/>
        <w:keepLines w:val="0"/>
        <w:widowControl w:val="0"/>
        <w:shd w:val="clear" w:color="auto" w:fill="auto"/>
        <w:bidi w:val="0"/>
        <w:spacing w:before="0" w:after="0" w:line="466" w:lineRule="exact"/>
        <w:ind w:left="480" w:right="0"/>
        <w:jc w:val="both"/>
      </w:pPr>
      <w:r>
        <w:rPr>
          <w:color w:val="000000"/>
          <w:spacing w:val="0"/>
          <w:w w:val="100"/>
          <w:position w:val="0"/>
        </w:rPr>
        <w:t>国民技术公司收购子公司斯诺实业时产生商誉</w:t>
      </w:r>
      <w:r>
        <w:rPr>
          <w:rFonts w:ascii="Times New Roman" w:eastAsia="Times New Roman" w:hAnsi="Times New Roman" w:cs="Times New Roman"/>
          <w:color w:val="000000"/>
          <w:spacing w:val="0"/>
          <w:w w:val="100"/>
          <w:position w:val="0"/>
        </w:rPr>
        <w:t>104,428.83</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日，国 民技术公司该项商誉减值准备余额为人民币</w:t>
      </w:r>
      <w:r>
        <w:rPr>
          <w:rFonts w:ascii="Times New Roman" w:eastAsia="Times New Roman" w:hAnsi="Times New Roman" w:cs="Times New Roman"/>
          <w:color w:val="000000"/>
          <w:spacing w:val="0"/>
          <w:w w:val="100"/>
          <w:position w:val="0"/>
        </w:rPr>
        <w:t>100,349.41</w:t>
      </w:r>
      <w:r>
        <w:rPr>
          <w:color w:val="000000"/>
          <w:spacing w:val="0"/>
          <w:w w:val="100"/>
          <w:position w:val="0"/>
        </w:rPr>
        <w:t>万元，其中本期计提</w:t>
      </w:r>
      <w:r>
        <w:rPr>
          <w:rFonts w:ascii="Times New Roman" w:eastAsia="Times New Roman" w:hAnsi="Times New Roman" w:cs="Times New Roman"/>
          <w:color w:val="000000"/>
          <w:spacing w:val="0"/>
          <w:w w:val="100"/>
          <w:position w:val="0"/>
        </w:rPr>
        <w:t>772.21</w:t>
      </w:r>
      <w:r>
        <w:rPr>
          <w:color w:val="000000"/>
          <w:spacing w:val="0"/>
          <w:w w:val="100"/>
          <w:position w:val="0"/>
        </w:rPr>
        <w:t>万元。</w:t>
      </w:r>
    </w:p>
    <w:p>
      <w:pPr>
        <w:pStyle w:val="Style44"/>
        <w:keepNext w:val="0"/>
        <w:keepLines w:val="0"/>
        <w:widowControl w:val="0"/>
        <w:shd w:val="clear" w:color="auto" w:fill="auto"/>
        <w:bidi w:val="0"/>
        <w:spacing w:before="0" w:after="0" w:line="490" w:lineRule="exact"/>
        <w:ind w:left="480" w:right="0"/>
        <w:jc w:val="both"/>
      </w:pPr>
      <w:r>
        <w:rPr>
          <w:color w:val="000000"/>
          <w:spacing w:val="0"/>
          <w:w w:val="100"/>
          <w:position w:val="0"/>
        </w:rPr>
        <w:t xml:space="preserve">管理层在每年年度终了对商誉进行减值测试，并依据减值测试的结果调整商誉的账面价值。 商誉减值测试的结果很大程度上依赖于管理层所做的估计和采用的假设，特别是在预测相关 资产组的未来收入增长率、毛利率、经营费用、折现率等涉及管理层的重大判断。该等估计均存 </w:t>
      </w:r>
      <w:r>
        <w:rPr>
          <w:color w:val="000000"/>
          <w:spacing w:val="0"/>
          <w:w w:val="100"/>
          <w:position w:val="0"/>
        </w:rPr>
        <w:t>在重大不确定性，受管理层对未来市场以及对经济环境判断的影响，采用不同的估计和假设会对 评估的商誉可收回价值有很大的影响。</w:t>
      </w:r>
    </w:p>
    <w:p>
      <w:pPr>
        <w:pStyle w:val="Style44"/>
        <w:keepNext w:val="0"/>
        <w:keepLines w:val="0"/>
        <w:widowControl w:val="0"/>
        <w:shd w:val="clear" w:color="auto" w:fill="auto"/>
        <w:bidi w:val="0"/>
        <w:spacing w:before="0" w:after="0" w:line="461" w:lineRule="exact"/>
        <w:ind w:left="480" w:right="0"/>
        <w:jc w:val="both"/>
      </w:pPr>
      <w:r>
        <w:rPr>
          <w:color w:val="000000"/>
          <w:spacing w:val="0"/>
          <w:w w:val="100"/>
          <w:position w:val="0"/>
        </w:rPr>
        <w:t>由于商誉金额重大，且管理层需要作出重大判断，因此我们将商誉的减值确定为关键审计事 项。</w:t>
      </w:r>
    </w:p>
    <w:p>
      <w:pPr>
        <w:pStyle w:val="Style44"/>
        <w:keepNext w:val="0"/>
        <w:keepLines w:val="0"/>
        <w:widowControl w:val="0"/>
        <w:shd w:val="clear" w:color="auto" w:fill="auto"/>
        <w:bidi w:val="0"/>
        <w:spacing w:before="0" w:after="0" w:line="470" w:lineRule="exact"/>
        <w:ind w:left="0" w:right="0" w:firstLine="880"/>
        <w:jc w:val="both"/>
      </w:pPr>
      <w:r>
        <w:rPr>
          <w:rFonts w:ascii="Times New Roman" w:eastAsia="Times New Roman" w:hAnsi="Times New Roman" w:cs="Times New Roman"/>
          <w:color w:val="000000"/>
          <w:spacing w:val="0"/>
          <w:w w:val="100"/>
          <w:position w:val="0"/>
        </w:rPr>
        <w:t>2.</w:t>
      </w:r>
      <w:r>
        <w:rPr>
          <w:color w:val="000000"/>
          <w:spacing w:val="0"/>
          <w:w w:val="100"/>
          <w:position w:val="0"/>
        </w:rPr>
        <w:t>审计应对</w:t>
      </w:r>
    </w:p>
    <w:p>
      <w:pPr>
        <w:pStyle w:val="Style44"/>
        <w:keepNext w:val="0"/>
        <w:keepLines w:val="0"/>
        <w:widowControl w:val="0"/>
        <w:shd w:val="clear" w:color="auto" w:fill="auto"/>
        <w:bidi w:val="0"/>
        <w:spacing w:before="0" w:after="0" w:line="470" w:lineRule="exact"/>
        <w:ind w:left="0" w:right="0" w:firstLine="880"/>
        <w:jc w:val="both"/>
      </w:pPr>
      <w:r>
        <w:rPr>
          <w:color w:val="000000"/>
          <w:spacing w:val="0"/>
          <w:w w:val="100"/>
          <w:position w:val="0"/>
        </w:rPr>
        <w:t>我们针对商誉减值所执行的主要审计程序如下：</w:t>
      </w:r>
    </w:p>
    <w:p>
      <w:pPr>
        <w:pStyle w:val="Style44"/>
        <w:keepNext w:val="0"/>
        <w:keepLines w:val="0"/>
        <w:widowControl w:val="0"/>
        <w:shd w:val="clear" w:color="auto" w:fill="auto"/>
        <w:tabs>
          <w:tab w:pos="1525" w:val="left"/>
        </w:tabs>
        <w:bidi w:val="0"/>
        <w:spacing w:before="0" w:after="0" w:line="466" w:lineRule="exact"/>
        <w:ind w:left="480" w:right="0"/>
        <w:jc w:val="both"/>
      </w:pPr>
      <w:bookmarkStart w:id="674" w:name="bookmark674"/>
      <w:r>
        <w:rPr>
          <w:color w:val="000000"/>
          <w:spacing w:val="0"/>
          <w:w w:val="100"/>
          <w:position w:val="0"/>
        </w:rPr>
        <w:t>（</w:t>
      </w:r>
      <w:bookmarkEnd w:id="674"/>
      <w:r>
        <w:rPr>
          <w:rFonts w:ascii="Times New Roman" w:eastAsia="Times New Roman" w:hAnsi="Times New Roman" w:cs="Times New Roman"/>
          <w:color w:val="000000"/>
          <w:spacing w:val="0"/>
          <w:w w:val="100"/>
          <w:position w:val="0"/>
        </w:rPr>
        <w:t>1</w:t>
      </w:r>
      <w:r>
        <w:rPr>
          <w:color w:val="000000"/>
          <w:spacing w:val="0"/>
          <w:w w:val="100"/>
          <w:position w:val="0"/>
        </w:rPr>
        <w:t>）</w:t>
        <w:tab/>
        <w:t>获取包含商誉的斯诺实业资产组可回收金额的评估报告</w:t>
      </w:r>
      <w:r>
        <w:rPr>
          <w:color w:val="000000"/>
          <w:spacing w:val="0"/>
          <w:w w:val="100"/>
          <w:position w:val="0"/>
        </w:rPr>
        <w:t>，</w:t>
      </w:r>
      <w:r>
        <w:rPr>
          <w:color w:val="000000"/>
          <w:spacing w:val="0"/>
          <w:w w:val="100"/>
          <w:position w:val="0"/>
        </w:rPr>
        <w:t>评价由公司管理层聘请的外部 评估机构的独立性、客观性、经验和资质；</w:t>
      </w:r>
    </w:p>
    <w:p>
      <w:pPr>
        <w:pStyle w:val="Style44"/>
        <w:keepNext w:val="0"/>
        <w:keepLines w:val="0"/>
        <w:widowControl w:val="0"/>
        <w:shd w:val="clear" w:color="auto" w:fill="auto"/>
        <w:tabs>
          <w:tab w:pos="1392" w:val="left"/>
        </w:tabs>
        <w:bidi w:val="0"/>
        <w:spacing w:before="0" w:after="0" w:line="470" w:lineRule="exact"/>
        <w:ind w:left="0" w:right="0" w:firstLine="880"/>
        <w:jc w:val="both"/>
      </w:pPr>
      <w:bookmarkStart w:id="675" w:name="bookmark675"/>
      <w:r>
        <w:rPr>
          <w:color w:val="000000"/>
          <w:spacing w:val="0"/>
          <w:w w:val="100"/>
          <w:position w:val="0"/>
        </w:rPr>
        <w:t>（</w:t>
      </w:r>
      <w:bookmarkEnd w:id="675"/>
      <w:r>
        <w:rPr>
          <w:rFonts w:ascii="Times New Roman" w:eastAsia="Times New Roman" w:hAnsi="Times New Roman" w:cs="Times New Roman"/>
          <w:color w:val="000000"/>
          <w:spacing w:val="0"/>
          <w:w w:val="100"/>
          <w:position w:val="0"/>
        </w:rPr>
        <w:t>2</w:t>
      </w:r>
      <w:r>
        <w:rPr>
          <w:color w:val="000000"/>
          <w:spacing w:val="0"/>
          <w:w w:val="100"/>
          <w:position w:val="0"/>
        </w:rPr>
        <w:t>）</w:t>
        <w:tab/>
        <w:t>复核管理层对资产组的认定和商誉的分摊方法；</w:t>
      </w:r>
    </w:p>
    <w:p>
      <w:pPr>
        <w:pStyle w:val="Style44"/>
        <w:keepNext w:val="0"/>
        <w:keepLines w:val="0"/>
        <w:widowControl w:val="0"/>
        <w:shd w:val="clear" w:color="auto" w:fill="auto"/>
        <w:tabs>
          <w:tab w:pos="1525" w:val="left"/>
        </w:tabs>
        <w:bidi w:val="0"/>
        <w:spacing w:before="0" w:after="0" w:line="475" w:lineRule="exact"/>
        <w:ind w:left="480" w:right="0"/>
        <w:jc w:val="both"/>
      </w:pPr>
      <w:bookmarkStart w:id="676" w:name="bookmark676"/>
      <w:r>
        <w:rPr>
          <w:color w:val="000000"/>
          <w:spacing w:val="0"/>
          <w:w w:val="100"/>
          <w:position w:val="0"/>
        </w:rPr>
        <w:t>（</w:t>
      </w:r>
      <w:bookmarkEnd w:id="676"/>
      <w:r>
        <w:rPr>
          <w:rFonts w:ascii="Times New Roman" w:eastAsia="Times New Roman" w:hAnsi="Times New Roman" w:cs="Times New Roman"/>
          <w:color w:val="000000"/>
          <w:spacing w:val="0"/>
          <w:w w:val="100"/>
          <w:position w:val="0"/>
        </w:rPr>
        <w:t>3</w:t>
      </w:r>
      <w:r>
        <w:rPr>
          <w:color w:val="000000"/>
          <w:spacing w:val="0"/>
          <w:w w:val="100"/>
          <w:position w:val="0"/>
        </w:rPr>
        <w:t>）</w:t>
        <w:tab/>
        <w:t>与外部评估机构专家讨论减值测试过程中所使用的方法、关键评估假设、参数的选择、 预测期收入增长率及后续预测期收入增长率、现金流折现率等的合理性。与上期关键评估参数进 行对比，复核其变动的合理性；</w:t>
      </w:r>
    </w:p>
    <w:p>
      <w:pPr>
        <w:pStyle w:val="Style44"/>
        <w:keepNext w:val="0"/>
        <w:keepLines w:val="0"/>
        <w:widowControl w:val="0"/>
        <w:shd w:val="clear" w:color="auto" w:fill="auto"/>
        <w:tabs>
          <w:tab w:pos="1392" w:val="left"/>
        </w:tabs>
        <w:bidi w:val="0"/>
        <w:spacing w:before="0" w:after="0" w:line="475" w:lineRule="exact"/>
        <w:ind w:left="0" w:right="0" w:firstLine="880"/>
        <w:jc w:val="both"/>
      </w:pPr>
      <w:bookmarkStart w:id="677" w:name="bookmark677"/>
      <w:r>
        <w:rPr>
          <w:color w:val="000000"/>
          <w:spacing w:val="0"/>
          <w:w w:val="100"/>
          <w:position w:val="0"/>
        </w:rPr>
        <w:t>（</w:t>
      </w:r>
      <w:bookmarkEnd w:id="677"/>
      <w:r>
        <w:rPr>
          <w:rFonts w:ascii="Times New Roman" w:eastAsia="Times New Roman" w:hAnsi="Times New Roman" w:cs="Times New Roman"/>
          <w:color w:val="000000"/>
          <w:spacing w:val="0"/>
          <w:w w:val="100"/>
          <w:position w:val="0"/>
        </w:rPr>
        <w:t>4</w:t>
      </w:r>
      <w:r>
        <w:rPr>
          <w:color w:val="000000"/>
          <w:spacing w:val="0"/>
          <w:w w:val="100"/>
          <w:position w:val="0"/>
        </w:rPr>
        <w:t>）</w:t>
        <w:tab/>
        <w:t>复核管理层对于未来现金流量的预测及未来现金流量现值计算的准确性。</w:t>
      </w:r>
    </w:p>
    <w:p>
      <w:pPr>
        <w:pStyle w:val="Style44"/>
        <w:keepNext w:val="0"/>
        <w:keepLines w:val="0"/>
        <w:widowControl w:val="0"/>
        <w:shd w:val="clear" w:color="auto" w:fill="auto"/>
        <w:tabs>
          <w:tab w:pos="1376" w:val="left"/>
        </w:tabs>
        <w:bidi w:val="0"/>
        <w:spacing w:before="0" w:after="0" w:line="470" w:lineRule="exact"/>
        <w:ind w:left="0" w:right="0" w:firstLine="880"/>
        <w:jc w:val="both"/>
      </w:pPr>
      <w:bookmarkStart w:id="678" w:name="bookmark678"/>
      <w:r>
        <w:rPr>
          <w:b/>
          <w:bCs/>
          <w:color w:val="000000"/>
          <w:spacing w:val="0"/>
          <w:w w:val="100"/>
          <w:position w:val="0"/>
        </w:rPr>
        <w:t>四</w:t>
      </w:r>
      <w:bookmarkEnd w:id="678"/>
      <w:r>
        <w:rPr>
          <w:b/>
          <w:bCs/>
          <w:color w:val="000000"/>
          <w:spacing w:val="0"/>
          <w:w w:val="100"/>
          <w:position w:val="0"/>
        </w:rPr>
        <w:t>、</w:t>
        <w:tab/>
        <w:t>其他信息</w:t>
      </w:r>
    </w:p>
    <w:p>
      <w:pPr>
        <w:pStyle w:val="Style44"/>
        <w:keepNext w:val="0"/>
        <w:keepLines w:val="0"/>
        <w:widowControl w:val="0"/>
        <w:shd w:val="clear" w:color="auto" w:fill="auto"/>
        <w:bidi w:val="0"/>
        <w:spacing w:before="0" w:after="0" w:line="475" w:lineRule="exact"/>
        <w:ind w:left="480" w:right="0"/>
        <w:jc w:val="both"/>
      </w:pPr>
      <w:r>
        <w:rPr>
          <w:color w:val="000000"/>
          <w:spacing w:val="0"/>
          <w:w w:val="100"/>
          <w:position w:val="0"/>
        </w:rPr>
        <w:t>国民技术公司管理层对其他信息负责。其他信息包括国民技术公司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年年度报告中涵盖 的信息，但不包括财务报表和我们的审计报告。</w:t>
      </w:r>
    </w:p>
    <w:p>
      <w:pPr>
        <w:pStyle w:val="Style44"/>
        <w:keepNext w:val="0"/>
        <w:keepLines w:val="0"/>
        <w:widowControl w:val="0"/>
        <w:shd w:val="clear" w:color="auto" w:fill="auto"/>
        <w:bidi w:val="0"/>
        <w:spacing w:before="0" w:after="0" w:line="461" w:lineRule="exact"/>
        <w:ind w:left="480" w:right="0"/>
        <w:jc w:val="both"/>
      </w:pPr>
      <w:r>
        <w:rPr>
          <w:color w:val="000000"/>
          <w:spacing w:val="0"/>
          <w:w w:val="100"/>
          <w:position w:val="0"/>
        </w:rPr>
        <w:t>我们对财务报表发表的审计意见不涵盖其他信息，我们也不对其他信息发表任何形式的鉴证 结论。</w:t>
      </w:r>
    </w:p>
    <w:p>
      <w:pPr>
        <w:pStyle w:val="Style44"/>
        <w:keepNext w:val="0"/>
        <w:keepLines w:val="0"/>
        <w:widowControl w:val="0"/>
        <w:shd w:val="clear" w:color="auto" w:fill="auto"/>
        <w:bidi w:val="0"/>
        <w:spacing w:before="0" w:after="0" w:line="466" w:lineRule="exact"/>
        <w:ind w:left="480" w:right="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44"/>
        <w:keepNext w:val="0"/>
        <w:keepLines w:val="0"/>
        <w:widowControl w:val="0"/>
        <w:shd w:val="clear" w:color="auto" w:fill="auto"/>
        <w:bidi w:val="0"/>
        <w:spacing w:before="0" w:after="0" w:line="480" w:lineRule="exact"/>
        <w:ind w:left="480" w:right="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44"/>
        <w:keepNext w:val="0"/>
        <w:keepLines w:val="0"/>
        <w:widowControl w:val="0"/>
        <w:shd w:val="clear" w:color="auto" w:fill="auto"/>
        <w:tabs>
          <w:tab w:pos="1382" w:val="left"/>
        </w:tabs>
        <w:bidi w:val="0"/>
        <w:spacing w:before="0" w:after="0" w:line="470" w:lineRule="exact"/>
        <w:ind w:left="0" w:right="0" w:firstLine="880"/>
        <w:jc w:val="both"/>
      </w:pPr>
      <w:bookmarkStart w:id="679" w:name="bookmark679"/>
      <w:r>
        <w:rPr>
          <w:b/>
          <w:bCs/>
          <w:color w:val="000000"/>
          <w:spacing w:val="0"/>
          <w:w w:val="100"/>
          <w:position w:val="0"/>
        </w:rPr>
        <w:t>五</w:t>
      </w:r>
      <w:bookmarkEnd w:id="679"/>
      <w:r>
        <w:rPr>
          <w:b/>
          <w:bCs/>
          <w:color w:val="000000"/>
          <w:spacing w:val="0"/>
          <w:w w:val="100"/>
          <w:position w:val="0"/>
        </w:rPr>
        <w:t>、</w:t>
        <w:tab/>
        <w:t>管理层和治理层对财务报表的责任</w:t>
      </w:r>
    </w:p>
    <w:p>
      <w:pPr>
        <w:pStyle w:val="Style44"/>
        <w:keepNext w:val="0"/>
        <w:keepLines w:val="0"/>
        <w:widowControl w:val="0"/>
        <w:shd w:val="clear" w:color="auto" w:fill="auto"/>
        <w:bidi w:val="0"/>
        <w:spacing w:before="0" w:after="0" w:line="470" w:lineRule="exact"/>
        <w:ind w:left="480" w:right="0"/>
        <w:jc w:val="both"/>
      </w:pPr>
      <w:r>
        <w:rPr>
          <w:color w:val="000000"/>
          <w:spacing w:val="0"/>
          <w:w w:val="100"/>
          <w:position w:val="0"/>
        </w:rPr>
        <w:t>管理层负责按照企业会计准则的规定编制财务报表，使其实现公允反映，并设计、执行和维 护必要的内部控制，以使财务报表不存在由于舞弊或错误导致的重大错报。</w:t>
      </w:r>
    </w:p>
    <w:p>
      <w:pPr>
        <w:pStyle w:val="Style44"/>
        <w:keepNext w:val="0"/>
        <w:keepLines w:val="0"/>
        <w:widowControl w:val="0"/>
        <w:shd w:val="clear" w:color="auto" w:fill="auto"/>
        <w:bidi w:val="0"/>
        <w:spacing w:before="0" w:after="0" w:line="468" w:lineRule="exact"/>
        <w:ind w:left="480" w:right="0"/>
        <w:jc w:val="both"/>
      </w:pPr>
      <w:r>
        <w:rPr>
          <w:color w:val="000000"/>
          <w:spacing w:val="0"/>
          <w:w w:val="100"/>
          <w:position w:val="0"/>
        </w:rPr>
        <w:t>在编制财务报表时，管理层负责评估国民技术公司的持续经营能力，披露与持续经营相关的 事项（如适用），并运用持续经营假设，除非管理层计划清算国民技术公司、终止运营或别无其 他现实的选择。</w:t>
      </w:r>
    </w:p>
    <w:p>
      <w:pPr>
        <w:pStyle w:val="Style44"/>
        <w:keepNext w:val="0"/>
        <w:keepLines w:val="0"/>
        <w:widowControl w:val="0"/>
        <w:shd w:val="clear" w:color="auto" w:fill="auto"/>
        <w:bidi w:val="0"/>
        <w:spacing w:before="0" w:after="0" w:line="470" w:lineRule="exact"/>
        <w:ind w:left="0" w:right="0" w:firstLine="880"/>
        <w:jc w:val="both"/>
      </w:pPr>
      <w:r>
        <w:rPr>
          <w:color w:val="000000"/>
          <w:spacing w:val="0"/>
          <w:w w:val="100"/>
          <w:position w:val="0"/>
        </w:rPr>
        <w:t>治理层负责监督国民技术公司的财务报告过程。</w:t>
      </w:r>
    </w:p>
    <w:p>
      <w:pPr>
        <w:pStyle w:val="Style44"/>
        <w:keepNext w:val="0"/>
        <w:keepLines w:val="0"/>
        <w:widowControl w:val="0"/>
        <w:shd w:val="clear" w:color="auto" w:fill="auto"/>
        <w:bidi w:val="0"/>
        <w:spacing w:before="0" w:after="0" w:line="470" w:lineRule="exact"/>
        <w:ind w:left="0" w:right="0" w:firstLine="880"/>
        <w:jc w:val="both"/>
      </w:pPr>
      <w:bookmarkStart w:id="680" w:name="bookmark680"/>
      <w:r>
        <w:rPr>
          <w:b/>
          <w:bCs/>
          <w:color w:val="000000"/>
          <w:spacing w:val="0"/>
          <w:w w:val="100"/>
          <w:position w:val="0"/>
        </w:rPr>
        <w:t>六</w:t>
      </w:r>
      <w:bookmarkEnd w:id="680"/>
      <w:r>
        <w:rPr>
          <w:b/>
          <w:bCs/>
          <w:color w:val="000000"/>
          <w:spacing w:val="0"/>
          <w:w w:val="100"/>
          <w:position w:val="0"/>
        </w:rPr>
        <w:t>、注册会计师对财务报表审计的责任</w:t>
      </w:r>
    </w:p>
    <w:p>
      <w:pPr>
        <w:pStyle w:val="Style44"/>
        <w:keepNext w:val="0"/>
        <w:keepLines w:val="0"/>
        <w:widowControl w:val="0"/>
        <w:shd w:val="clear" w:color="auto" w:fill="auto"/>
        <w:bidi w:val="0"/>
        <w:spacing w:before="0" w:after="0" w:line="469" w:lineRule="exact"/>
        <w:ind w:left="480" w:right="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44"/>
        <w:keepNext w:val="0"/>
        <w:keepLines w:val="0"/>
        <w:widowControl w:val="0"/>
        <w:shd w:val="clear" w:color="auto" w:fill="auto"/>
        <w:bidi w:val="0"/>
        <w:spacing w:before="0" w:after="0" w:line="480" w:lineRule="exact"/>
        <w:ind w:left="480" w:right="0"/>
        <w:jc w:val="both"/>
      </w:pPr>
      <w:r>
        <w:rPr>
          <w:color w:val="000000"/>
          <w:spacing w:val="0"/>
          <w:w w:val="100"/>
          <w:position w:val="0"/>
        </w:rPr>
        <w:t>在按照审计准则执行审计工作的过程中，我们运用职业判断，并保持职业怀疑。同时，我们 也执行以下工作：</w:t>
      </w:r>
    </w:p>
    <w:p>
      <w:pPr>
        <w:pStyle w:val="Style44"/>
        <w:keepNext w:val="0"/>
        <w:keepLines w:val="0"/>
        <w:widowControl w:val="0"/>
        <w:shd w:val="clear" w:color="auto" w:fill="auto"/>
        <w:tabs>
          <w:tab w:pos="1521" w:val="left"/>
        </w:tabs>
        <w:bidi w:val="0"/>
        <w:spacing w:before="0" w:after="0" w:line="469" w:lineRule="exact"/>
        <w:ind w:left="480" w:right="0"/>
        <w:jc w:val="both"/>
      </w:pPr>
      <w:bookmarkStart w:id="681" w:name="bookmark681"/>
      <w:r>
        <w:rPr>
          <w:color w:val="000000"/>
          <w:spacing w:val="0"/>
          <w:w w:val="100"/>
          <w:position w:val="0"/>
        </w:rPr>
        <w:t>（</w:t>
      </w:r>
      <w:bookmarkEnd w:id="681"/>
      <w:r>
        <w:rPr>
          <w:rFonts w:ascii="Times New Roman" w:eastAsia="Times New Roman" w:hAnsi="Times New Roman" w:cs="Times New Roman"/>
          <w:color w:val="000000"/>
          <w:spacing w:val="0"/>
          <w:w w:val="100"/>
          <w:position w:val="0"/>
        </w:rPr>
        <w:t>1</w:t>
      </w:r>
      <w:r>
        <w:rPr>
          <w:color w:val="000000"/>
          <w:spacing w:val="0"/>
          <w:w w:val="100"/>
          <w:position w:val="0"/>
        </w:rPr>
        <w:t>）</w:t>
        <w:tab/>
        <w:t>识别和评估由于舞弊或错误导致的财务报表重大错报风险，设计和实施审计程序以应对 这些风险，并获取充分、适当的审计证据，作为发表审计意见的基础。由于舞弊可能涉及串通、 伪造、故意遗漏、虚假陈述或凌驾于内部控制之上，未能发现由于舞弊导致的重大错报的风险高 于未能发现由于错误导致的重大错报的风险。</w:t>
      </w:r>
    </w:p>
    <w:p>
      <w:pPr>
        <w:pStyle w:val="Style44"/>
        <w:keepNext w:val="0"/>
        <w:keepLines w:val="0"/>
        <w:widowControl w:val="0"/>
        <w:shd w:val="clear" w:color="auto" w:fill="auto"/>
        <w:tabs>
          <w:tab w:pos="1388" w:val="left"/>
        </w:tabs>
        <w:bidi w:val="0"/>
        <w:spacing w:before="0" w:after="0" w:line="470" w:lineRule="exact"/>
        <w:ind w:left="0" w:right="0" w:firstLine="880"/>
        <w:jc w:val="left"/>
      </w:pPr>
      <w:bookmarkStart w:id="682" w:name="bookmark682"/>
      <w:r>
        <w:rPr>
          <w:color w:val="000000"/>
          <w:spacing w:val="0"/>
          <w:w w:val="100"/>
          <w:position w:val="0"/>
        </w:rPr>
        <w:t>（</w:t>
      </w:r>
      <w:bookmarkEnd w:id="682"/>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w:t>
      </w:r>
    </w:p>
    <w:p>
      <w:pPr>
        <w:pStyle w:val="Style44"/>
        <w:keepNext w:val="0"/>
        <w:keepLines w:val="0"/>
        <w:widowControl w:val="0"/>
        <w:shd w:val="clear" w:color="auto" w:fill="auto"/>
        <w:tabs>
          <w:tab w:pos="1388" w:val="left"/>
        </w:tabs>
        <w:bidi w:val="0"/>
        <w:spacing w:before="0" w:after="0" w:line="470" w:lineRule="exact"/>
        <w:ind w:left="0" w:right="0" w:firstLine="880"/>
        <w:jc w:val="left"/>
      </w:pPr>
      <w:bookmarkStart w:id="683" w:name="bookmark683"/>
      <w:r>
        <w:rPr>
          <w:color w:val="000000"/>
          <w:spacing w:val="0"/>
          <w:w w:val="100"/>
          <w:position w:val="0"/>
        </w:rPr>
        <w:t>（</w:t>
      </w:r>
      <w:bookmarkEnd w:id="683"/>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44"/>
        <w:keepNext w:val="0"/>
        <w:keepLines w:val="0"/>
        <w:widowControl w:val="0"/>
        <w:shd w:val="clear" w:color="auto" w:fill="auto"/>
        <w:tabs>
          <w:tab w:pos="1521" w:val="left"/>
        </w:tabs>
        <w:bidi w:val="0"/>
        <w:spacing w:before="0" w:after="0" w:line="470" w:lineRule="exact"/>
        <w:ind w:left="480" w:right="0"/>
        <w:jc w:val="both"/>
      </w:pPr>
      <w:bookmarkStart w:id="684" w:name="bookmark684"/>
      <w:r>
        <w:rPr>
          <w:color w:val="000000"/>
          <w:spacing w:val="0"/>
          <w:w w:val="100"/>
          <w:position w:val="0"/>
        </w:rPr>
        <w:t>（</w:t>
      </w:r>
      <w:bookmarkEnd w:id="684"/>
      <w:r>
        <w:rPr>
          <w:rFonts w:ascii="Times New Roman" w:eastAsia="Times New Roman" w:hAnsi="Times New Roman" w:cs="Times New Roman"/>
          <w:color w:val="000000"/>
          <w:spacing w:val="0"/>
          <w:w w:val="100"/>
          <w:position w:val="0"/>
        </w:rPr>
        <w:t>4</w:t>
      </w:r>
      <w:r>
        <w:rPr>
          <w:color w:val="000000"/>
          <w:spacing w:val="0"/>
          <w:w w:val="100"/>
          <w:position w:val="0"/>
        </w:rPr>
        <w:t>）</w:t>
        <w:tab/>
        <w:t>对管理层使用持续经营假设的恰当性得出结论。同时，根据获取的审计证据，就可能导 致对国民技术公司持续经营能力产生重大疑虑的事项或情况是否存在重大不确定性得出结论。如 果我们得出结论认为存在重大不确定性，审计准则要求我们在审计报告中提请报表使用者注意财 务报表中的相关披露；如果披露不充分，我们应当发表非无保留意见。我们的结论基于截至审计 报告日可获得的信息。然而，未来的事项或情况可能导致国民技术公司不能持续经营。</w:t>
      </w:r>
    </w:p>
    <w:p>
      <w:pPr>
        <w:pStyle w:val="Style44"/>
        <w:keepNext w:val="0"/>
        <w:keepLines w:val="0"/>
        <w:widowControl w:val="0"/>
        <w:shd w:val="clear" w:color="auto" w:fill="auto"/>
        <w:tabs>
          <w:tab w:pos="1388" w:val="left"/>
        </w:tabs>
        <w:bidi w:val="0"/>
        <w:spacing w:before="0" w:after="0" w:line="470" w:lineRule="exact"/>
        <w:ind w:left="480" w:right="0"/>
        <w:jc w:val="both"/>
      </w:pPr>
      <w:bookmarkStart w:id="685" w:name="bookmark685"/>
      <w:r>
        <w:rPr>
          <w:color w:val="000000"/>
          <w:spacing w:val="0"/>
          <w:w w:val="100"/>
          <w:position w:val="0"/>
        </w:rPr>
        <w:t>（</w:t>
      </w:r>
      <w:bookmarkEnd w:id="685"/>
      <w:r>
        <w:rPr>
          <w:rFonts w:ascii="Times New Roman" w:eastAsia="Times New Roman" w:hAnsi="Times New Roman" w:cs="Times New Roman"/>
          <w:color w:val="000000"/>
          <w:spacing w:val="0"/>
          <w:w w:val="100"/>
          <w:position w:val="0"/>
        </w:rPr>
        <w:t>5</w:t>
      </w:r>
      <w:r>
        <w:rPr>
          <w:color w:val="000000"/>
          <w:spacing w:val="0"/>
          <w:w w:val="100"/>
          <w:position w:val="0"/>
        </w:rPr>
        <w:t>）</w:t>
        <w:tab/>
        <w:t>评价财务报表的总体列报、结构和内容，并评价财务报表是否公允反映相关交易和事项。</w:t>
      </w:r>
    </w:p>
    <w:p>
      <w:pPr>
        <w:pStyle w:val="Style44"/>
        <w:keepNext w:val="0"/>
        <w:keepLines w:val="0"/>
        <w:widowControl w:val="0"/>
        <w:shd w:val="clear" w:color="auto" w:fill="auto"/>
        <w:tabs>
          <w:tab w:pos="1521" w:val="left"/>
        </w:tabs>
        <w:bidi w:val="0"/>
        <w:spacing w:before="0" w:after="0" w:line="480" w:lineRule="exact"/>
        <w:ind w:left="480" w:right="0"/>
        <w:jc w:val="both"/>
      </w:pPr>
      <w:bookmarkStart w:id="686" w:name="bookmark686"/>
      <w:r>
        <w:rPr>
          <w:color w:val="000000"/>
          <w:spacing w:val="0"/>
          <w:w w:val="100"/>
          <w:position w:val="0"/>
        </w:rPr>
        <w:t>（</w:t>
      </w:r>
      <w:bookmarkEnd w:id="686"/>
      <w:r>
        <w:rPr>
          <w:rFonts w:ascii="Times New Roman" w:eastAsia="Times New Roman" w:hAnsi="Times New Roman" w:cs="Times New Roman"/>
          <w:color w:val="000000"/>
          <w:spacing w:val="0"/>
          <w:w w:val="100"/>
          <w:position w:val="0"/>
        </w:rPr>
        <w:t>6</w:t>
      </w:r>
      <w:r>
        <w:rPr>
          <w:color w:val="000000"/>
          <w:spacing w:val="0"/>
          <w:w w:val="100"/>
          <w:position w:val="0"/>
        </w:rPr>
        <w:t>）</w:t>
        <w:tab/>
        <w:t>就国民技术公司中实体或业务活动的财务信息获取充分、适当的审计证据，以对财务报 表发表审计意见。我们负责指导、监督和执行集团审计，并对审计意见承担全部责任。</w:t>
      </w:r>
    </w:p>
    <w:p>
      <w:pPr>
        <w:pStyle w:val="Style44"/>
        <w:keepNext w:val="0"/>
        <w:keepLines w:val="0"/>
        <w:widowControl w:val="0"/>
        <w:shd w:val="clear" w:color="auto" w:fill="auto"/>
        <w:bidi w:val="0"/>
        <w:spacing w:before="0" w:after="0" w:line="470" w:lineRule="exact"/>
        <w:ind w:left="480" w:right="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44"/>
        <w:keepNext w:val="0"/>
        <w:keepLines w:val="0"/>
        <w:widowControl w:val="0"/>
        <w:shd w:val="clear" w:color="auto" w:fill="auto"/>
        <w:bidi w:val="0"/>
        <w:spacing w:before="0" w:after="0" w:line="466" w:lineRule="exact"/>
        <w:ind w:left="480" w:right="0"/>
        <w:jc w:val="both"/>
      </w:pPr>
      <w:r>
        <w:rPr>
          <w:color w:val="000000"/>
          <w:spacing w:val="0"/>
          <w:w w:val="100"/>
          <w:position w:val="0"/>
        </w:rPr>
        <w:t>我们还就遵守与独立性相关的职业道德要求向治理层提供声明，并与治理层沟通可能被合理 认为影响我们独立性的所有关系和其他事项，以及相关的防范措施（如适用）。</w:t>
      </w:r>
    </w:p>
    <w:p>
      <w:pPr>
        <w:pStyle w:val="Style44"/>
        <w:keepNext w:val="0"/>
        <w:keepLines w:val="0"/>
        <w:widowControl w:val="0"/>
        <w:shd w:val="clear" w:color="auto" w:fill="auto"/>
        <w:bidi w:val="0"/>
        <w:spacing w:before="0" w:after="1040" w:line="466" w:lineRule="exact"/>
        <w:ind w:left="480" w:right="0"/>
        <w:jc w:val="both"/>
      </w:pPr>
      <w:r>
        <w:rPr>
          <w:color w:val="000000"/>
          <w:spacing w:val="0"/>
          <w:w w:val="100"/>
          <w:position w:val="0"/>
        </w:rPr>
        <w:t xml:space="preserve">从与治理层沟通过的事项中，我们确定哪些事项对本期财务报表审计最为重要，因而构成关 键审计事项。我们在审计报告中描述这些事项，除非法律法规禁止公开披露这些事项，或在极少 </w:t>
      </w:r>
      <w:r>
        <w:rPr>
          <w:color w:val="000000"/>
          <w:spacing w:val="0"/>
          <w:w w:val="100"/>
          <w:position w:val="0"/>
        </w:rPr>
        <w:t>数情形下，如果合理预期在审计报告中沟通某事项造成的负面后果超过在公众利益方面产生的益 处，我们确定不应在审计报告中沟通该事项。</w:t>
      </w:r>
    </w:p>
    <w:p>
      <w:pPr>
        <w:pStyle w:val="Style44"/>
        <w:keepNext w:val="0"/>
        <w:keepLines w:val="0"/>
        <w:widowControl w:val="0"/>
        <w:shd w:val="clear" w:color="auto" w:fill="auto"/>
        <w:tabs>
          <w:tab w:pos="6998" w:val="left"/>
        </w:tabs>
        <w:bidi w:val="0"/>
        <w:spacing w:before="0" w:after="0" w:line="475" w:lineRule="exact"/>
        <w:ind w:left="0" w:right="0" w:firstLine="820"/>
        <w:jc w:val="left"/>
      </w:pPr>
      <w:r>
        <w:rPr>
          <w:color w:val="000000"/>
          <w:spacing w:val="0"/>
          <w:w w:val="100"/>
          <w:position w:val="0"/>
        </w:rPr>
        <w:t>中兴财光华会计师事务所</w:t>
        <w:tab/>
        <w:t>中国注册会计师：王焕军</w:t>
      </w:r>
    </w:p>
    <w:p>
      <w:pPr>
        <w:pStyle w:val="Style44"/>
        <w:keepNext w:val="0"/>
        <w:keepLines w:val="0"/>
        <w:widowControl w:val="0"/>
        <w:shd w:val="clear" w:color="auto" w:fill="auto"/>
        <w:tabs>
          <w:tab w:pos="8303" w:val="left"/>
        </w:tabs>
        <w:bidi w:val="0"/>
        <w:spacing w:before="0" w:after="0" w:line="475" w:lineRule="exact"/>
        <w:ind w:left="0" w:right="0" w:firstLine="820"/>
        <w:jc w:val="left"/>
      </w:pPr>
      <w:r>
        <w:rPr>
          <w:color w:val="000000"/>
          <w:spacing w:val="0"/>
          <w:w w:val="100"/>
          <w:position w:val="0"/>
        </w:rPr>
        <w:t>（特殊普通合伙）</w:t>
        <w:tab/>
        <w:t>（项目合伙人）</w:t>
      </w:r>
    </w:p>
    <w:p>
      <w:pPr>
        <w:pStyle w:val="Style44"/>
        <w:keepNext w:val="0"/>
        <w:keepLines w:val="0"/>
        <w:widowControl w:val="0"/>
        <w:shd w:val="clear" w:color="auto" w:fill="auto"/>
        <w:bidi w:val="0"/>
        <w:spacing w:before="0" w:after="960" w:line="475" w:lineRule="exact"/>
        <w:ind w:left="0" w:right="820" w:firstLine="0"/>
        <w:jc w:val="right"/>
      </w:pPr>
      <w:r>
        <w:rPr>
          <w:color w:val="000000"/>
          <w:spacing w:val="0"/>
          <w:w w:val="100"/>
          <w:position w:val="0"/>
        </w:rPr>
        <w:t>中国注册会计师：马福珠</w:t>
      </w:r>
    </w:p>
    <w:p>
      <w:pPr>
        <w:pStyle w:val="Style44"/>
        <w:keepNext w:val="0"/>
        <w:keepLines w:val="0"/>
        <w:widowControl w:val="0"/>
        <w:shd w:val="clear" w:color="auto" w:fill="auto"/>
        <w:tabs>
          <w:tab w:pos="6998" w:val="left"/>
        </w:tabs>
        <w:bidi w:val="0"/>
        <w:spacing w:before="0" w:after="480" w:line="475" w:lineRule="exact"/>
        <w:ind w:left="0" w:right="0" w:firstLine="0"/>
        <w:jc w:val="center"/>
      </w:pPr>
      <w:r>
        <w:rPr>
          <w:color w:val="000000"/>
          <w:spacing w:val="0"/>
          <w:w w:val="100"/>
          <w:position w:val="0"/>
        </w:rPr>
        <w:t>中国•北京</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r>
        <w:br w:type="page"/>
      </w:r>
    </w:p>
    <w:p>
      <w:pPr>
        <w:pStyle w:val="Style42"/>
        <w:keepNext/>
        <w:keepLines/>
        <w:widowControl w:val="0"/>
        <w:shd w:val="clear" w:color="auto" w:fill="auto"/>
        <w:bidi w:val="0"/>
        <w:spacing w:before="0" w:after="360" w:line="240" w:lineRule="auto"/>
        <w:ind w:left="0" w:right="0" w:firstLine="420"/>
        <w:jc w:val="left"/>
      </w:pPr>
      <w:bookmarkStart w:id="687" w:name="bookmark687"/>
      <w:bookmarkStart w:id="688" w:name="bookmark688"/>
      <w:bookmarkStart w:id="689" w:name="bookmark689"/>
      <w:r>
        <w:rPr>
          <w:color w:val="000000"/>
          <w:spacing w:val="0"/>
          <w:w w:val="100"/>
          <w:position w:val="0"/>
        </w:rPr>
        <w:t>二、财务报表</w:t>
      </w:r>
      <w:bookmarkEnd w:id="687"/>
      <w:bookmarkEnd w:id="688"/>
      <w:bookmarkEnd w:id="689"/>
    </w:p>
    <w:p>
      <w:pPr>
        <w:pStyle w:val="Style44"/>
        <w:keepNext w:val="0"/>
        <w:keepLines w:val="0"/>
        <w:widowControl w:val="0"/>
        <w:shd w:val="clear" w:color="auto" w:fill="auto"/>
        <w:bidi w:val="0"/>
        <w:spacing w:before="0" w:after="360" w:line="240" w:lineRule="auto"/>
        <w:ind w:left="0" w:right="0" w:firstLine="420"/>
        <w:jc w:val="left"/>
        <w:rPr>
          <w:sz w:val="20"/>
          <w:szCs w:val="20"/>
        </w:rPr>
      </w:pPr>
      <w:r>
        <w:rPr>
          <w:color w:val="000000"/>
          <w:spacing w:val="0"/>
          <w:w w:val="100"/>
          <w:position w:val="0"/>
          <w:sz w:val="20"/>
          <w:szCs w:val="20"/>
        </w:rPr>
        <w:t>财务附注中报表的单位为：元</w:t>
      </w:r>
    </w:p>
    <w:p>
      <w:pPr>
        <w:pStyle w:val="Style52"/>
        <w:keepNext/>
        <w:keepLines/>
        <w:widowControl w:val="0"/>
        <w:shd w:val="clear" w:color="auto" w:fill="auto"/>
        <w:bidi w:val="0"/>
        <w:spacing w:before="0" w:after="360" w:line="240" w:lineRule="auto"/>
        <w:ind w:left="0" w:right="0" w:firstLine="420"/>
        <w:jc w:val="left"/>
      </w:pPr>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90"/>
      <w:bookmarkEnd w:id="691"/>
      <w:bookmarkEnd w:id="692"/>
    </w:p>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编制单位：国民技术股份有限公司</w:t>
      </w:r>
    </w:p>
    <w:p>
      <w:pPr>
        <w:pStyle w:val="Style3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单位：元</w:t>
      </w:r>
    </w:p>
    <w:tbl>
      <w:tblPr>
        <w:tblOverlap w:val="never"/>
        <w:jc w:val="center"/>
        <w:tblLayout w:type="fixed"/>
      </w:tblPr>
      <w:tblGrid>
        <w:gridCol w:w="2976"/>
        <w:gridCol w:w="3298"/>
        <w:gridCol w:w="3312"/>
      </w:tblGrid>
      <w:tr>
        <w:trPr>
          <w:trHeight w:val="52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31</w:t>
            </w:r>
            <w:r>
              <w:rPr>
                <w:b/>
                <w:bCs/>
                <w:color w:val="000000"/>
                <w:spacing w:val="0"/>
                <w:w w:val="100"/>
                <w:position w:val="0"/>
                <w:sz w:val="20"/>
                <w:szCs w:val="2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31</w:t>
            </w:r>
            <w:r>
              <w:rPr>
                <w:b/>
                <w:bCs/>
                <w:color w:val="000000"/>
                <w:spacing w:val="0"/>
                <w:w w:val="100"/>
                <w:position w:val="0"/>
                <w:sz w:val="20"/>
                <w:szCs w:val="20"/>
              </w:rPr>
              <w:t>日</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295,788,279.48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239,549,762.18</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57,732,195.35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38,003,647.47</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20,749,979.78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29,267,053.94</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202,917,873.97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230,342,373.19</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20,780,180.07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3,942,303.92</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11,686,228.00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19,779,968.98</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22,612,729.55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14,643,888.90</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182,019,017.88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182,472,718.56</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持有待售资产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101,967,376.78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24,522,406.03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40,513,791.83</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940,776,266.89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798,515,508.97</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111,326,274.32</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69,402,345.88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69,280,119.29</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379,019,310.00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381,651,652.00</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363,036,571.69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352,554,075.12</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35,223,603.10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55,911,950.66</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94,754,160.65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99,409,863.14</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56,216,219.44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25,436,298.25</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40,794,110.25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48,516,175.90</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17,890,585.89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20,980,209.61</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48,383,422.43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50,147,885.95</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1,104,720,329.33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1,215,214,504.24</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2,045,496,596.22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2,013,730,013.21</w:t>
            </w:r>
          </w:p>
        </w:tc>
      </w:tr>
      <w:tr>
        <w:trPr>
          <w:trHeight w:val="53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100,189,138.89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325,536,033.33</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28,306,071.80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34,178,722.88</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140,452,013.01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140,967,450.05</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8,752,844.32</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8,092,035.13</w:t>
            </w: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27,684,761.01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28,054,852.26</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1,350,908.36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1,890,318.69</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236,736,393.16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292,484,985.80</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20,636,033.14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20,135,216.67</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44,353,100.35</w:t>
            </w: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607,800,454.85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852,000,424.00</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3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保险合同准备金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317,000,000.00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42,000,000.00</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237,500.00</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31,304,131.46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32,021,564.22</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348,304,131.46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74,259,064.22</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956,104,586.31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926,259,488.22</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557,615,000.00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557,615,000.00</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2,071,515,680.86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2,071,515,680.86</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134,274,200.28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125,726,727.42</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68,560,890.84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68,560,890.84</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-1,632,336,889.59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-1,643,571,660.13</w:t>
            </w:r>
          </w:p>
        </w:tc>
      </w:tr>
      <w:tr>
        <w:trPr>
          <w:trHeight w:val="53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归属于母公司所有者权益合计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1,199,628,882.39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1,179,846,638.99</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-110,236,872.48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-92,376,114.00</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1,089,392,009.91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1,087,470,524.99</w:t>
            </w:r>
          </w:p>
        </w:tc>
      </w:tr>
      <w:tr>
        <w:trPr>
          <w:trHeight w:val="53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2,045,496,596.22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2,013,730,013.21</w:t>
            </w:r>
          </w:p>
        </w:tc>
      </w:tr>
    </w:tbl>
    <w:p>
      <w:pPr>
        <w:pStyle w:val="Style38"/>
        <w:keepNext w:val="0"/>
        <w:keepLines w:val="0"/>
        <w:widowControl w:val="0"/>
        <w:shd w:val="clear" w:color="auto" w:fill="auto"/>
        <w:tabs>
          <w:tab w:pos="3581" w:val="left"/>
          <w:tab w:pos="7454" w:val="left"/>
        </w:tabs>
        <w:bidi w:val="0"/>
        <w:spacing w:before="0" w:after="0" w:line="240" w:lineRule="auto"/>
        <w:ind w:left="0" w:right="0" w:firstLine="0"/>
        <w:jc w:val="center"/>
        <w:rPr>
          <w:sz w:val="19"/>
          <w:szCs w:val="19"/>
        </w:rPr>
      </w:pPr>
      <w:r>
        <w:rPr>
          <w:color w:val="000000"/>
          <w:spacing w:val="0"/>
          <w:w w:val="100"/>
          <w:position w:val="0"/>
          <w:sz w:val="19"/>
          <w:szCs w:val="19"/>
        </w:rPr>
        <w:t>法定代表人：孙迎彤</w:t>
        <w:tab/>
        <w:t>主管会计工作负责人：徐辉</w:t>
        <w:tab/>
        <w:t>会计机构负责人：余永德</w:t>
      </w:r>
    </w:p>
    <w:p>
      <w:pPr>
        <w:widowControl w:val="0"/>
        <w:spacing w:after="339" w:line="1" w:lineRule="exact"/>
      </w:pPr>
    </w:p>
    <w:p>
      <w:pPr>
        <w:pStyle w:val="Style52"/>
        <w:keepNext/>
        <w:keepLines/>
        <w:widowControl w:val="0"/>
        <w:shd w:val="clear" w:color="auto" w:fill="auto"/>
        <w:bidi w:val="0"/>
        <w:spacing w:before="0" w:after="340" w:line="240" w:lineRule="auto"/>
        <w:ind w:left="0" w:right="0" w:firstLine="0"/>
        <w:jc w:val="left"/>
      </w:pPr>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93"/>
      <w:bookmarkEnd w:id="694"/>
      <w:bookmarkEnd w:id="695"/>
    </w:p>
    <w:p>
      <w:pPr>
        <w:pStyle w:val="Style3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单位：元</w:t>
      </w:r>
    </w:p>
    <w:tbl>
      <w:tblPr>
        <w:tblOverlap w:val="never"/>
        <w:jc w:val="center"/>
        <w:tblLayout w:type="fixed"/>
      </w:tblPr>
      <w:tblGrid>
        <w:gridCol w:w="2976"/>
        <w:gridCol w:w="3298"/>
        <w:gridCol w:w="3312"/>
      </w:tblGrid>
      <w:tr>
        <w:trPr>
          <w:trHeight w:val="52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31</w:t>
            </w:r>
            <w:r>
              <w:rPr>
                <w:b/>
                <w:bCs/>
                <w:color w:val="000000"/>
                <w:spacing w:val="0"/>
                <w:w w:val="100"/>
                <w:position w:val="0"/>
                <w:sz w:val="20"/>
                <w:szCs w:val="2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31</w:t>
            </w:r>
            <w:r>
              <w:rPr>
                <w:b/>
                <w:bCs/>
                <w:color w:val="000000"/>
                <w:spacing w:val="0"/>
                <w:w w:val="100"/>
                <w:position w:val="0"/>
                <w:sz w:val="20"/>
                <w:szCs w:val="20"/>
              </w:rPr>
              <w:t>日</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225,846,823.86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132,495,299.60</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17,075,047.47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17,075,047.47</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19,625,314.28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18,193,041.14</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98,585,746.64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128,054,854.91</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4,089,334.05</w:t>
            </w: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1,039,749.77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3,400,425.86</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774,332,763.30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855,427,062.11</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92,842,374.12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81,156,503.96</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6,347,766.86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8,671,271.40</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1,239,784,920.35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1,244,473,506.45</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2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68,210,578.00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75,153,240.00</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3,547,205.88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3,424,979.29</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409,286,518.75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412,097,500.18</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241,247,361.14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248,493,262.20</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76,612,482.59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74,919,913.96</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56,216,219.44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29,068,886.55</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15,104,599.44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17,336,820.05</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870,224,965.24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860,494,602.23</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2,110,009,885.59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2,104,968,108.68</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100,189,138.89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325,536,033.33</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5,700,876.40</w:t>
            </w: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2,847,923.88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3,288,476.47</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39,424,223.13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37,983,400.58</w:t>
            </w:r>
          </w:p>
        </w:tc>
      </w:tr>
      <w:tr>
        <w:trPr>
          <w:trHeight w:val="53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预收款项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6,581,762.97</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3,484,990.94</w:t>
            </w: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20,266,269.01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21,087,240.40</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718,445.71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1,063,181.44</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20,214,479.06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34,796,933.70</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531,819.44</w:t>
            </w: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220,077.79</w:t>
            </w: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193,598,244.25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430,337,028.89</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295,000,000.00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237,500.00</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31,133,188.46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31,554,835.67</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326,133,188.46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31,792,335.67</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519,731,432.71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462,129,364.56</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3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557,615,000.00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557,615,000.00</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2,069,693,298.27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2,069,693,298.27</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147,002,354.84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146,880,128.25</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68,560,890.84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68,560,890.84</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-1,252,593,091.07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-1,199,910,573.24</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1,590,278,452.88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1,642,838,744.12</w:t>
            </w:r>
          </w:p>
        </w:tc>
      </w:tr>
      <w:tr>
        <w:trPr>
          <w:trHeight w:val="53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2,110,009,885.59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2,104,968,108.68</w:t>
            </w:r>
          </w:p>
        </w:tc>
      </w:tr>
    </w:tbl>
    <w:p>
      <w:pPr>
        <w:widowControl w:val="0"/>
        <w:spacing w:after="159" w:line="1" w:lineRule="exact"/>
      </w:pPr>
    </w:p>
    <w:p>
      <w:pPr>
        <w:pStyle w:val="Style84"/>
        <w:keepNext w:val="0"/>
        <w:keepLines w:val="0"/>
        <w:widowControl w:val="0"/>
        <w:shd w:val="clear" w:color="auto" w:fill="auto"/>
        <w:tabs>
          <w:tab w:pos="3581" w:val="left"/>
          <w:tab w:pos="7454" w:val="left"/>
        </w:tabs>
        <w:bidi w:val="0"/>
        <w:spacing w:before="0" w:after="360" w:line="240" w:lineRule="auto"/>
        <w:ind w:left="0" w:right="0" w:firstLine="0"/>
        <w:jc w:val="left"/>
        <w:rPr>
          <w:sz w:val="19"/>
          <w:szCs w:val="19"/>
        </w:rPr>
      </w:pPr>
      <w:r>
        <w:rPr>
          <w:color w:val="000000"/>
          <w:spacing w:val="0"/>
          <w:w w:val="100"/>
          <w:position w:val="0"/>
          <w:sz w:val="19"/>
          <w:szCs w:val="19"/>
        </w:rPr>
        <w:t>法定代表人：孙迎彤</w:t>
        <w:tab/>
        <w:t>主管会计工作负责人：徐辉</w:t>
        <w:tab/>
        <w:t>会计机构负责人：余永德</w:t>
      </w:r>
    </w:p>
    <w:p>
      <w:pPr>
        <w:pStyle w:val="Style52"/>
        <w:keepNext/>
        <w:keepLines/>
        <w:widowControl w:val="0"/>
        <w:shd w:val="clear" w:color="auto" w:fill="auto"/>
        <w:bidi w:val="0"/>
        <w:spacing w:before="0" w:after="360" w:line="24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3</w:t>
      </w:r>
      <w:bookmarkEnd w:id="698"/>
      <w:r>
        <w:rPr>
          <w:color w:val="000000"/>
          <w:spacing w:val="0"/>
          <w:w w:val="100"/>
          <w:position w:val="0"/>
        </w:rPr>
        <w:t>、合并利润表</w:t>
      </w:r>
      <w:bookmarkEnd w:id="696"/>
      <w:bookmarkEnd w:id="697"/>
      <w:bookmarkEnd w:id="699"/>
    </w:p>
    <w:p>
      <w:pPr>
        <w:pStyle w:val="Style3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单位：元</w:t>
      </w:r>
    </w:p>
    <w:tbl>
      <w:tblPr>
        <w:tblOverlap w:val="never"/>
        <w:jc w:val="center"/>
        <w:tblLayout w:type="fixed"/>
      </w:tblPr>
      <w:tblGrid>
        <w:gridCol w:w="3086"/>
        <w:gridCol w:w="3211"/>
        <w:gridCol w:w="3288"/>
      </w:tblGrid>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年度</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379,707,203.30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394,733,173.32</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379,707,203.30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394,733,173.32</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490,879,568.12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606,710,532.50</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220,379,284.65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296,891,263.62</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赔付支出净额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1140" w:right="0" w:firstLine="0"/>
              <w:jc w:val="left"/>
              <w:rPr>
                <w:sz w:val="20"/>
                <w:szCs w:val="20"/>
              </w:rPr>
            </w:pPr>
            <w:r>
              <w:rPr>
                <w:color w:val="000000"/>
                <w:spacing w:val="0"/>
                <w:w w:val="100"/>
                <w:position w:val="0"/>
                <w:sz w:val="20"/>
                <w:szCs w:val="20"/>
              </w:rPr>
              <w:t>提取保险责任合同</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904,166.00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1,455,916.75</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31,352,619.82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49,870,992.65</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66,662,040.79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102,247,886.78</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132,504,869.90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131,728,181.73</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39,076,586.96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24,516,290.97</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41,763,303.96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31,212,995.39</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20" w:right="0" w:firstLine="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2,013,984.26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5,998,181.86</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28,880,026.47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39,602,386.81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rPr>
                <w:sz w:val="20"/>
                <w:szCs w:val="20"/>
              </w:rPr>
            </w:pPr>
            <w:r>
              <w:rPr>
                <w:color w:val="000000"/>
                <w:spacing w:val="0"/>
                <w:w w:val="100"/>
                <w:position w:val="0"/>
                <w:sz w:val="20"/>
                <w:szCs w:val="20"/>
              </w:rPr>
              <w:t>投资收益（损失以</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2"/>
                <w:szCs w:val="22"/>
              </w:rPr>
              <w:t xml:space="preserve">” </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-9,669,147.75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-19,895,717.17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920"/>
              <w:jc w:val="both"/>
              <w:rPr>
                <w:sz w:val="20"/>
                <w:szCs w:val="20"/>
              </w:rPr>
            </w:pPr>
            <w:r>
              <w:rPr>
                <w:color w:val="000000"/>
                <w:spacing w:val="0"/>
                <w:w w:val="100"/>
                <w:position w:val="0"/>
                <w:sz w:val="20"/>
                <w:szCs w:val="20"/>
              </w:rPr>
              <w:t>其中：对联营企业和合</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-9,994,213.49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-21,869,591.61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1360" w:right="0" w:firstLine="0"/>
              <w:jc w:val="left"/>
              <w:rPr>
                <w:sz w:val="20"/>
                <w:szCs w:val="20"/>
              </w:rPr>
            </w:pPr>
            <w:r>
              <w:rPr>
                <w:color w:val="000000"/>
                <w:spacing w:val="0"/>
                <w:w w:val="100"/>
                <w:position w:val="0"/>
                <w:sz w:val="20"/>
                <w:szCs w:val="20"/>
              </w:rPr>
              <w:t>以摊余成本计量</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920"/>
              <w:jc w:val="left"/>
              <w:rPr>
                <w:sz w:val="20"/>
                <w:szCs w:val="20"/>
              </w:rPr>
            </w:pPr>
            <w:r>
              <w:rPr>
                <w:color w:val="000000"/>
                <w:spacing w:val="0"/>
                <w:w w:val="100"/>
                <w:position w:val="0"/>
                <w:sz w:val="20"/>
                <w:szCs w:val="20"/>
              </w:rPr>
              <w:t>汇兑收益（损失以</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920"/>
              <w:jc w:val="left"/>
              <w:rPr>
                <w:sz w:val="20"/>
                <w:szCs w:val="20"/>
              </w:rPr>
            </w:pPr>
            <w:r>
              <w:rPr>
                <w:color w:val="000000"/>
                <w:spacing w:val="0"/>
                <w:w w:val="100"/>
                <w:position w:val="0"/>
                <w:sz w:val="20"/>
                <w:szCs w:val="20"/>
              </w:rPr>
              <w:t>净敞口套期收益（损失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920"/>
              <w:jc w:val="left"/>
              <w:rPr>
                <w:sz w:val="20"/>
                <w:szCs w:val="20"/>
              </w:rPr>
            </w:pPr>
            <w:r>
              <w:rPr>
                <w:color w:val="000000"/>
                <w:spacing w:val="0"/>
                <w:w w:val="100"/>
                <w:position w:val="0"/>
                <w:sz w:val="20"/>
                <w:szCs w:val="20"/>
              </w:rPr>
              <w:t>公允价值变动收益（损</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失以</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12,749,229.48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-80,070,802.16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920"/>
              <w:jc w:val="both"/>
              <w:rPr>
                <w:sz w:val="20"/>
                <w:szCs w:val="20"/>
              </w:rPr>
            </w:pPr>
            <w:r>
              <w:rPr>
                <w:color w:val="000000"/>
                <w:spacing w:val="0"/>
                <w:w w:val="100"/>
                <w:position w:val="0"/>
                <w:sz w:val="20"/>
                <w:szCs w:val="20"/>
              </w:rPr>
              <w:t>信用减值损失（损失以</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32,560,472.04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-40,386,131.23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资产减值损失（损失以</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-34,163,619.51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-246,421,900.89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资产处置收益（损失以</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106,571.39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-443,461.25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三、营业利润（亏损以</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-80,708,832.70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-559,592,985.07</w:t>
            </w:r>
          </w:p>
        </w:tc>
      </w:tr>
      <w:tr>
        <w:trPr>
          <w:trHeight w:val="53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加：营业外收入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75,314,857.40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694,989,973.92</w:t>
            </w:r>
          </w:p>
        </w:tc>
      </w:tr>
    </w:tbl>
    <w:p>
      <w:pPr>
        <w:spacing w:lineRule="exact" w:line="1"/>
        <w:rPr>
          <w:sz w:val="2"/>
          <w:szCs w:val="2"/>
        </w:rPr>
      </w:pPr>
      <w:r>
        <w:br w:type="page"/>
      </w:r>
    </w:p>
    <w:tbl>
      <w:tblPr>
        <w:tblOverlap w:val="never"/>
        <w:jc w:val="center"/>
        <w:tblLayout w:type="fixed"/>
      </w:tblPr>
      <w:tblGrid>
        <w:gridCol w:w="3086"/>
        <w:gridCol w:w="3211"/>
        <w:gridCol w:w="3288"/>
      </w:tblGrid>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1,607,106.89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3,483,509.63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四、利润总额（亏损总额以</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2"/>
                <w:szCs w:val="22"/>
              </w:rPr>
              <w:t xml:space="preserve">” </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-7,001,082.19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131,913,479.22</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-466,017.85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89,001,826.86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五、净利润（净亏损以</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-6,535,064.34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42,911,652.36</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（一）按经营持续性分类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-6,535,064.34</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42,911,652.36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46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持续经营净利润（净亏损 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-6,535,064.34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42,911,652.36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46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终止经营净利润（净亏损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（二）按所有权归属分类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-6,535,064.34</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42,911,652.36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归属于母公司股东的净 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11,234,770.54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103,920,641.64</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-17,769,834.88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-61,008,989.28</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8,547,472.86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-12,998,993.05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40"/>
              <w:jc w:val="left"/>
              <w:rPr>
                <w:sz w:val="20"/>
                <w:szCs w:val="20"/>
              </w:rPr>
            </w:pPr>
            <w:r>
              <w:rPr>
                <w:color w:val="000000"/>
                <w:spacing w:val="0"/>
                <w:w w:val="100"/>
                <w:position w:val="0"/>
                <w:sz w:val="20"/>
                <w:szCs w:val="20"/>
              </w:rPr>
              <w:t>归属母公司所有者的其他综 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8,547,472.86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-11,498,993.05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20"/>
                <w:szCs w:val="20"/>
              </w:rPr>
            </w:pPr>
            <w:r>
              <w:rPr>
                <w:color w:val="000000"/>
                <w:spacing w:val="0"/>
                <w:w w:val="100"/>
                <w:position w:val="0"/>
                <w:sz w:val="20"/>
                <w:szCs w:val="20"/>
              </w:rPr>
              <w:t>（一）不能重分类进损益的 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10,122,226.59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-13,192,938.44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重新计量设定受</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权益法下不能转</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其他权益工具投</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10,122,226.59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-13,192,938.44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企业自身信用风</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left"/>
              <w:rPr>
                <w:sz w:val="20"/>
                <w:szCs w:val="20"/>
              </w:rPr>
            </w:pPr>
            <w:r>
              <w:rPr>
                <w:color w:val="000000"/>
                <w:spacing w:val="0"/>
                <w:w w:val="100"/>
                <w:position w:val="0"/>
                <w:sz w:val="20"/>
                <w:szCs w:val="20"/>
              </w:rPr>
              <w:t>（二）将重分类进损益的其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-1,574,753.73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1,693,945.39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权益法下可转损</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635,315.95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1,193,069.46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6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其他债权投资公</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允价值变动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金融资产重分类</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其他债权投资信</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140"/>
              <w:jc w:val="left"/>
              <w:rPr>
                <w:sz w:val="20"/>
                <w:szCs w:val="20"/>
              </w:rPr>
            </w:pP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现金流量套期储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1140"/>
              <w:jc w:val="left"/>
              <w:rPr>
                <w:sz w:val="20"/>
                <w:szCs w:val="20"/>
              </w:rPr>
            </w:pP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0"/>
                <w:szCs w:val="20"/>
              </w:rPr>
              <w:t>外币财务报表折</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-2,210,069.68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500,875.93</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240"/>
              <w:jc w:val="left"/>
              <w:rPr>
                <w:sz w:val="20"/>
                <w:szCs w:val="20"/>
              </w:rPr>
            </w:pPr>
            <w:r>
              <w:rPr>
                <w:color w:val="000000"/>
                <w:spacing w:val="0"/>
                <w:w w:val="100"/>
                <w:position w:val="0"/>
                <w:sz w:val="20"/>
                <w:szCs w:val="20"/>
              </w:rPr>
              <w:t>归属于少数股东的其他综合 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2,012,408.52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29,912,659.31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rPr>
                <w:sz w:val="20"/>
                <w:szCs w:val="20"/>
              </w:rPr>
            </w:pPr>
            <w:r>
              <w:rPr>
                <w:color w:val="000000"/>
                <w:spacing w:val="0"/>
                <w:w w:val="100"/>
                <w:position w:val="0"/>
                <w:sz w:val="20"/>
                <w:szCs w:val="20"/>
              </w:rPr>
              <w:t>归属于母公司所有者的综 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19,782,243.40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92,421,648.59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480"/>
              <w:jc w:val="left"/>
              <w:rPr>
                <w:sz w:val="20"/>
                <w:szCs w:val="20"/>
              </w:rPr>
            </w:pPr>
            <w:r>
              <w:rPr>
                <w:color w:val="000000"/>
                <w:spacing w:val="0"/>
                <w:w w:val="100"/>
                <w:position w:val="0"/>
                <w:sz w:val="20"/>
                <w:szCs w:val="20"/>
              </w:rPr>
              <w:t>归属于少数股东的综合收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-17,769,834.88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-62,508,989.28</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r>
      <w:tr>
        <w:trPr>
          <w:trHeight w:val="53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r>
    </w:tbl>
    <w:p>
      <w:pPr>
        <w:pStyle w:val="Style38"/>
        <w:keepNext w:val="0"/>
        <w:keepLines w:val="0"/>
        <w:widowControl w:val="0"/>
        <w:shd w:val="clear" w:color="auto" w:fill="auto"/>
        <w:tabs>
          <w:tab w:pos="3581" w:val="left"/>
          <w:tab w:pos="7454" w:val="left"/>
        </w:tabs>
        <w:bidi w:val="0"/>
        <w:spacing w:before="0" w:after="0" w:line="240" w:lineRule="auto"/>
        <w:ind w:left="0" w:right="0" w:firstLine="0"/>
        <w:jc w:val="left"/>
        <w:rPr>
          <w:sz w:val="19"/>
          <w:szCs w:val="19"/>
        </w:rPr>
      </w:pPr>
      <w:r>
        <w:rPr>
          <w:color w:val="000000"/>
          <w:spacing w:val="0"/>
          <w:w w:val="100"/>
          <w:position w:val="0"/>
          <w:sz w:val="19"/>
          <w:szCs w:val="19"/>
        </w:rPr>
        <w:t>法定代表人：孙迎彤</w:t>
        <w:tab/>
        <w:t>主管会计工作负责人：徐辉</w:t>
        <w:tab/>
        <w:t>会计机构负责人：余永德</w:t>
      </w:r>
    </w:p>
    <w:p>
      <w:pPr>
        <w:widowControl w:val="0"/>
        <w:spacing w:after="339" w:line="1" w:lineRule="exact"/>
      </w:pPr>
    </w:p>
    <w:p>
      <w:pPr>
        <w:pStyle w:val="Style52"/>
        <w:keepNext/>
        <w:keepLines/>
        <w:widowControl w:val="0"/>
        <w:shd w:val="clear" w:color="auto" w:fill="auto"/>
        <w:bidi w:val="0"/>
        <w:spacing w:before="0" w:after="34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4</w:t>
      </w:r>
      <w:bookmarkEnd w:id="702"/>
      <w:r>
        <w:rPr>
          <w:color w:val="000000"/>
          <w:spacing w:val="0"/>
          <w:w w:val="100"/>
          <w:position w:val="0"/>
        </w:rPr>
        <w:t>、母公司利润表</w:t>
      </w:r>
      <w:bookmarkEnd w:id="700"/>
      <w:bookmarkEnd w:id="701"/>
      <w:bookmarkEnd w:id="703"/>
    </w:p>
    <w:p>
      <w:pPr>
        <w:pStyle w:val="Style3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单位：元</w:t>
      </w:r>
    </w:p>
    <w:tbl>
      <w:tblPr>
        <w:tblOverlap w:val="never"/>
        <w:jc w:val="center"/>
        <w:tblLayout w:type="fixed"/>
      </w:tblPr>
      <w:tblGrid>
        <w:gridCol w:w="2976"/>
        <w:gridCol w:w="3298"/>
        <w:gridCol w:w="3312"/>
      </w:tblGrid>
      <w:tr>
        <w:trPr>
          <w:trHeight w:val="52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年度</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216,581,481.46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211,966,747.31</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92,486,550.22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134,235,518.18</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387,959.60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789,171.41</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21,089,071.17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29,707,067.44</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38,100,822.55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64,781,015.76</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93,920,681.14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95,298,936.18</w:t>
            </w:r>
          </w:p>
        </w:tc>
      </w:tr>
      <w:tr>
        <w:trPr>
          <w:trHeight w:val="52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13,739,378.81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14,665,821.12</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21,317,191.64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19,736,629.17</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7,017,150.97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4,370,809.64</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17,194,641.76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34,068,975.94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360" w:right="0" w:firstLine="560"/>
              <w:jc w:val="both"/>
              <w:rPr>
                <w:sz w:val="20"/>
                <w:szCs w:val="20"/>
              </w:rPr>
            </w:pPr>
            <w:r>
              <w:rPr>
                <w:color w:val="000000"/>
                <w:spacing w:val="0"/>
                <w:w w:val="100"/>
                <w:position w:val="0"/>
                <w:sz w:val="20"/>
                <w:szCs w:val="20"/>
              </w:rPr>
              <w:t xml:space="preserve">投资收益（损失以 </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267,758.88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872,541.11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920"/>
              <w:jc w:val="both"/>
              <w:rPr>
                <w:sz w:val="20"/>
                <w:szCs w:val="20"/>
              </w:rPr>
            </w:pPr>
            <w:r>
              <w:rPr>
                <w:color w:val="000000"/>
                <w:spacing w:val="0"/>
                <w:w w:val="100"/>
                <w:position w:val="0"/>
                <w:sz w:val="20"/>
                <w:szCs w:val="20"/>
              </w:rPr>
              <w:t>其中：对联营企业和</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360"/>
              <w:jc w:val="both"/>
              <w:rPr>
                <w:sz w:val="20"/>
                <w:szCs w:val="20"/>
              </w:rPr>
            </w:pPr>
            <w:r>
              <w:rPr>
                <w:color w:val="000000"/>
                <w:spacing w:val="0"/>
                <w:w w:val="100"/>
                <w:position w:val="0"/>
                <w:sz w:val="20"/>
                <w:szCs w:val="20"/>
              </w:rPr>
              <w:t>以摊余成本计量 的金融资产终止确认收益（损 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920"/>
              <w:jc w:val="both"/>
              <w:rPr>
                <w:sz w:val="20"/>
                <w:szCs w:val="20"/>
              </w:rPr>
            </w:pPr>
            <w:r>
              <w:rPr>
                <w:color w:val="000000"/>
                <w:spacing w:val="0"/>
                <w:w w:val="100"/>
                <w:position w:val="0"/>
                <w:sz w:val="20"/>
                <w:szCs w:val="20"/>
              </w:rPr>
              <w:t>净敞口套期收益（损 失以</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920"/>
              <w:jc w:val="both"/>
              <w:rPr>
                <w:sz w:val="20"/>
                <w:szCs w:val="20"/>
              </w:rPr>
            </w:pPr>
            <w:r>
              <w:rPr>
                <w:color w:val="000000"/>
                <w:spacing w:val="0"/>
                <w:w w:val="100"/>
                <w:position w:val="0"/>
                <w:sz w:val="20"/>
                <w:szCs w:val="20"/>
              </w:rPr>
              <w:t>公允价值变动收益</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（损失以</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-8,511,857.83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-734,331.96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920"/>
              <w:jc w:val="both"/>
              <w:rPr>
                <w:sz w:val="20"/>
                <w:szCs w:val="20"/>
              </w:rPr>
            </w:pPr>
            <w:r>
              <w:rPr>
                <w:color w:val="000000"/>
                <w:spacing w:val="0"/>
                <w:w w:val="100"/>
                <w:position w:val="0"/>
                <w:sz w:val="20"/>
                <w:szCs w:val="20"/>
              </w:rPr>
              <w:t>信用减值损失（损失</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117,337.83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-3,304,460.00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920"/>
              <w:jc w:val="both"/>
              <w:rPr>
                <w:sz w:val="20"/>
                <w:szCs w:val="20"/>
              </w:rPr>
            </w:pPr>
            <w:r>
              <w:rPr>
                <w:color w:val="000000"/>
                <w:spacing w:val="0"/>
                <w:w w:val="100"/>
                <w:position w:val="0"/>
                <w:sz w:val="20"/>
                <w:szCs w:val="20"/>
              </w:rPr>
              <w:t>资产减值损失（损失</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-18,723,754.50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-69,895,253.59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920"/>
              <w:jc w:val="both"/>
              <w:rPr>
                <w:sz w:val="20"/>
                <w:szCs w:val="20"/>
              </w:rPr>
            </w:pPr>
            <w:r>
              <w:rPr>
                <w:color w:val="000000"/>
                <w:spacing w:val="0"/>
                <w:w w:val="100"/>
                <w:position w:val="0"/>
                <w:sz w:val="20"/>
                <w:szCs w:val="20"/>
              </w:rPr>
              <w:t>资产处置收益（损失</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-457,255.10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二、营业利润（亏损以</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-52,796,489.52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-166,960,566.38</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520,301.06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15,424.78</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827,976.58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97,324.61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三、利润总额（亏损总额以</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2"/>
                <w:szCs w:val="22"/>
              </w:rPr>
              <w:t xml:space="preserve">” </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-53,104,165.04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-167,042,466.21</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-421,647.21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-110,149.79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四、净利润（净亏损以</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-52,682,517.83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-166,932,316.42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20"/>
                <w:szCs w:val="20"/>
              </w:rPr>
            </w:pPr>
            <w:r>
              <w:rPr>
                <w:color w:val="000000"/>
                <w:spacing w:val="0"/>
                <w:w w:val="100"/>
                <w:position w:val="0"/>
                <w:sz w:val="20"/>
                <w:szCs w:val="20"/>
              </w:rPr>
              <w:t>（一）持续经营净利润（净 亏损以</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-52,682,517.83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-166,932,316.42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rPr>
                <w:sz w:val="20"/>
                <w:szCs w:val="20"/>
              </w:rPr>
            </w:pPr>
            <w:r>
              <w:rPr>
                <w:color w:val="000000"/>
                <w:spacing w:val="0"/>
                <w:w w:val="100"/>
                <w:position w:val="0"/>
                <w:sz w:val="20"/>
                <w:szCs w:val="20"/>
              </w:rPr>
              <w:t>（二）终止经营净利润（净 亏损以</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122,226.59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307,061.56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20"/>
                <w:szCs w:val="20"/>
              </w:rPr>
            </w:pPr>
            <w:r>
              <w:rPr>
                <w:color w:val="000000"/>
                <w:spacing w:val="0"/>
                <w:w w:val="100"/>
                <w:position w:val="0"/>
                <w:sz w:val="20"/>
                <w:szCs w:val="20"/>
              </w:rPr>
              <w:t>（一）不能重分类进损益 的其他综合收益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122,226.59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307,061.56</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重新计量设定受</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权益法下不能转</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其他权益工具投</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122,226.59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307,061.56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企业自身信用风</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480"/>
              <w:jc w:val="left"/>
              <w:rPr>
                <w:sz w:val="20"/>
                <w:szCs w:val="20"/>
              </w:rPr>
            </w:pPr>
            <w:r>
              <w:rPr>
                <w:color w:val="000000"/>
                <w:spacing w:val="0"/>
                <w:w w:val="100"/>
                <w:position w:val="0"/>
                <w:sz w:val="20"/>
                <w:szCs w:val="20"/>
              </w:rPr>
              <w:t>（二）将重分类进损益的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权益法下可转损</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其他债权投资公</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金融资产重分类</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其他债权投资信</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140"/>
              <w:jc w:val="both"/>
              <w:rPr>
                <w:sz w:val="20"/>
                <w:szCs w:val="20"/>
              </w:rPr>
            </w:pP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现金流量套期储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0"/>
                <w:szCs w:val="20"/>
              </w:rPr>
              <w:t>外币财务报表折</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-52,560,291.24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-166,625,254.86</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r>
      <w:tr>
        <w:trPr>
          <w:trHeight w:val="52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r>
    </w:tbl>
    <w:p>
      <w:pPr>
        <w:pStyle w:val="Style38"/>
        <w:keepNext w:val="0"/>
        <w:keepLines w:val="0"/>
        <w:widowControl w:val="0"/>
        <w:shd w:val="clear" w:color="auto" w:fill="auto"/>
        <w:tabs>
          <w:tab w:pos="3581" w:val="left"/>
          <w:tab w:pos="7454" w:val="left"/>
        </w:tabs>
        <w:bidi w:val="0"/>
        <w:spacing w:before="0" w:after="0" w:line="240" w:lineRule="auto"/>
        <w:ind w:left="0" w:right="0" w:firstLine="0"/>
        <w:jc w:val="center"/>
        <w:rPr>
          <w:sz w:val="19"/>
          <w:szCs w:val="19"/>
        </w:rPr>
      </w:pPr>
      <w:r>
        <w:rPr>
          <w:color w:val="000000"/>
          <w:spacing w:val="0"/>
          <w:w w:val="100"/>
          <w:position w:val="0"/>
          <w:sz w:val="19"/>
          <w:szCs w:val="19"/>
        </w:rPr>
        <w:t>法定代表人：孙迎彤</w:t>
        <w:tab/>
        <w:t>主管会计工作负责人：徐辉</w:t>
        <w:tab/>
        <w:t>会计机构负责人：余永德</w:t>
      </w:r>
    </w:p>
    <w:p>
      <w:pPr>
        <w:widowControl w:val="0"/>
        <w:spacing w:after="339" w:line="1" w:lineRule="exact"/>
      </w:pPr>
    </w:p>
    <w:p>
      <w:pPr>
        <w:pStyle w:val="Style52"/>
        <w:keepNext/>
        <w:keepLines/>
        <w:widowControl w:val="0"/>
        <w:shd w:val="clear" w:color="auto" w:fill="auto"/>
        <w:bidi w:val="0"/>
        <w:spacing w:before="0" w:after="34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5</w:t>
      </w:r>
      <w:bookmarkEnd w:id="706"/>
      <w:r>
        <w:rPr>
          <w:color w:val="000000"/>
          <w:spacing w:val="0"/>
          <w:w w:val="100"/>
          <w:position w:val="0"/>
        </w:rPr>
        <w:t>、合并现金流量表</w:t>
      </w:r>
      <w:bookmarkEnd w:id="704"/>
      <w:bookmarkEnd w:id="705"/>
      <w:bookmarkEnd w:id="707"/>
    </w:p>
    <w:p>
      <w:pPr>
        <w:pStyle w:val="Style3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单位：元</w:t>
      </w:r>
    </w:p>
    <w:tbl>
      <w:tblPr>
        <w:tblOverlap w:val="never"/>
        <w:jc w:val="center"/>
        <w:tblLayout w:type="fixed"/>
      </w:tblPr>
      <w:tblGrid>
        <w:gridCol w:w="2976"/>
        <w:gridCol w:w="3298"/>
        <w:gridCol w:w="3312"/>
      </w:tblGrid>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年度</w:t>
            </w:r>
          </w:p>
        </w:tc>
      </w:tr>
      <w:tr>
        <w:trPr>
          <w:trHeight w:val="52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一、经营活动产生的现金流量：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20"/>
                <w:szCs w:val="20"/>
              </w:rPr>
            </w:pPr>
            <w:r>
              <w:rPr>
                <w:color w:val="000000"/>
                <w:spacing w:val="0"/>
                <w:w w:val="100"/>
                <w:position w:val="0"/>
                <w:sz w:val="20"/>
                <w:szCs w:val="20"/>
              </w:rPr>
              <w:t>销售商品、提供劳务收到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450,402,074.52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506,377,322.34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20"/>
                <w:szCs w:val="20"/>
              </w:rPr>
            </w:pPr>
            <w:r>
              <w:rPr>
                <w:color w:val="000000"/>
                <w:spacing w:val="0"/>
                <w:w w:val="100"/>
                <w:position w:val="0"/>
                <w:sz w:val="20"/>
                <w:szCs w:val="20"/>
              </w:rPr>
              <w:t>客户存款和同业存放款项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20"/>
                <w:szCs w:val="20"/>
              </w:rPr>
            </w:pPr>
            <w:r>
              <w:rPr>
                <w:color w:val="000000"/>
                <w:spacing w:val="0"/>
                <w:w w:val="100"/>
                <w:position w:val="0"/>
                <w:sz w:val="20"/>
                <w:szCs w:val="20"/>
              </w:rPr>
              <w:t>向其他金融机构拆入资金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20"/>
                <w:szCs w:val="20"/>
              </w:rPr>
            </w:pPr>
            <w:r>
              <w:rPr>
                <w:color w:val="000000"/>
                <w:spacing w:val="0"/>
                <w:w w:val="100"/>
                <w:position w:val="0"/>
                <w:sz w:val="20"/>
                <w:szCs w:val="20"/>
              </w:rPr>
              <w:t>收到原保险合同保费取得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20"/>
                <w:szCs w:val="20"/>
              </w:rPr>
            </w:pPr>
            <w:r>
              <w:rPr>
                <w:color w:val="000000"/>
                <w:spacing w:val="0"/>
                <w:w w:val="100"/>
                <w:position w:val="0"/>
                <w:sz w:val="20"/>
                <w:szCs w:val="20"/>
              </w:rPr>
              <w:t>保户储金及投资款净增加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20"/>
                <w:szCs w:val="20"/>
              </w:rPr>
            </w:pPr>
            <w:r>
              <w:rPr>
                <w:color w:val="000000"/>
                <w:spacing w:val="0"/>
                <w:w w:val="100"/>
                <w:position w:val="0"/>
                <w:sz w:val="20"/>
                <w:szCs w:val="20"/>
              </w:rPr>
              <w:t>收取利息、手续费及佣金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20"/>
                <w:szCs w:val="20"/>
              </w:rPr>
            </w:pPr>
            <w:r>
              <w:rPr>
                <w:color w:val="000000"/>
                <w:spacing w:val="0"/>
                <w:w w:val="100"/>
                <w:position w:val="0"/>
                <w:sz w:val="20"/>
                <w:szCs w:val="20"/>
              </w:rPr>
              <w:t>代理买卖证券收到的现金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4,935,305.02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5,775,460.02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20"/>
                <w:szCs w:val="20"/>
              </w:rPr>
            </w:pPr>
            <w:r>
              <w:rPr>
                <w:color w:val="000000"/>
                <w:spacing w:val="0"/>
                <w:w w:val="100"/>
                <w:position w:val="0"/>
                <w:sz w:val="20"/>
                <w:szCs w:val="20"/>
              </w:rPr>
              <w:t>收到其他与经营活动有关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95,111,244.71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66,916,005.11</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550,448,624.25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579,068,787.47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20"/>
                <w:szCs w:val="20"/>
              </w:rPr>
            </w:pPr>
            <w:r>
              <w:rPr>
                <w:color w:val="000000"/>
                <w:spacing w:val="0"/>
                <w:w w:val="100"/>
                <w:position w:val="0"/>
                <w:sz w:val="20"/>
                <w:szCs w:val="20"/>
              </w:rPr>
              <w:t>购买商品、接受劳务支付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262,860,758.72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337,417,908.55</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rPr>
                <w:sz w:val="20"/>
                <w:szCs w:val="20"/>
              </w:rPr>
            </w:pPr>
            <w:r>
              <w:rPr>
                <w:color w:val="000000"/>
                <w:spacing w:val="0"/>
                <w:w w:val="100"/>
                <w:position w:val="0"/>
                <w:sz w:val="20"/>
                <w:szCs w:val="20"/>
              </w:rPr>
              <w:t>存放中央银行和同业款项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20"/>
                <w:szCs w:val="20"/>
              </w:rPr>
            </w:pPr>
            <w:r>
              <w:rPr>
                <w:color w:val="000000"/>
                <w:spacing w:val="0"/>
                <w:w w:val="100"/>
                <w:position w:val="0"/>
                <w:sz w:val="20"/>
                <w:szCs w:val="20"/>
              </w:rPr>
              <w:t>支付原保险合同赔付款项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20"/>
                <w:szCs w:val="20"/>
              </w:rPr>
            </w:pPr>
            <w:r>
              <w:rPr>
                <w:color w:val="000000"/>
                <w:spacing w:val="0"/>
                <w:w w:val="100"/>
                <w:position w:val="0"/>
                <w:sz w:val="20"/>
                <w:szCs w:val="20"/>
              </w:rPr>
              <w:t>支付利息、手续费及佣金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支付给职工以及为职工支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154,806,397.48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151,580,221.25</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523"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3,889,985.53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10,484,459.25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20"/>
                <w:szCs w:val="20"/>
              </w:rPr>
            </w:pPr>
            <w:r>
              <w:rPr>
                <w:color w:val="000000"/>
                <w:spacing w:val="0"/>
                <w:w w:val="100"/>
                <w:position w:val="0"/>
                <w:sz w:val="20"/>
                <w:szCs w:val="20"/>
              </w:rPr>
              <w:t>支付其他与经营活动有关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103,637,185.43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149,965,951.00</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525,194,327.16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649,448,540.05</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25,254,297.09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-70,379,752.58</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170,852,589.16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403,088,134.32</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325,065.74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1,973,874.44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20"/>
                <w:szCs w:val="20"/>
              </w:rPr>
            </w:pPr>
            <w:r>
              <w:rPr>
                <w:color w:val="000000"/>
                <w:spacing w:val="0"/>
                <w:w w:val="100"/>
                <w:position w:val="0"/>
                <w:sz w:val="20"/>
                <w:szCs w:val="20"/>
              </w:rPr>
              <w:t>处置固定资产、无形资产 和其他长期资产收回的现金净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166,615.34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356,432.90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480"/>
              <w:jc w:val="both"/>
              <w:rPr>
                <w:sz w:val="20"/>
                <w:szCs w:val="20"/>
              </w:rPr>
            </w:pPr>
            <w:r>
              <w:rPr>
                <w:color w:val="000000"/>
                <w:spacing w:val="0"/>
                <w:w w:val="100"/>
                <w:position w:val="0"/>
                <w:sz w:val="20"/>
                <w:szCs w:val="20"/>
              </w:rPr>
              <w:t>处置子公司及其他营业单 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20"/>
                <w:szCs w:val="20"/>
              </w:rPr>
            </w:pPr>
            <w:r>
              <w:rPr>
                <w:color w:val="000000"/>
                <w:spacing w:val="0"/>
                <w:w w:val="100"/>
                <w:position w:val="0"/>
                <w:sz w:val="20"/>
                <w:szCs w:val="20"/>
              </w:rPr>
              <w:t>收到其他与投资活动有关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74,647,410.84</w:t>
            </w: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245,991,681.08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405,418,441.66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20"/>
                <w:szCs w:val="20"/>
              </w:rPr>
            </w:pPr>
            <w:r>
              <w:rPr>
                <w:color w:val="000000"/>
                <w:spacing w:val="0"/>
                <w:w w:val="100"/>
                <w:position w:val="0"/>
                <w:sz w:val="20"/>
                <w:szCs w:val="20"/>
              </w:rPr>
              <w:t>购建固定资产、无形资产 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48,133,890.48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97,133,697.78</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133,500,000.00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403,000,000.00</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rPr>
                <w:sz w:val="20"/>
                <w:szCs w:val="20"/>
              </w:rPr>
            </w:pPr>
            <w:r>
              <w:rPr>
                <w:color w:val="000000"/>
                <w:spacing w:val="0"/>
                <w:w w:val="100"/>
                <w:position w:val="0"/>
                <w:sz w:val="20"/>
                <w:szCs w:val="20"/>
              </w:rPr>
              <w:t>取得子公司及其他营业单 位支付的现金净额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40,800,000.00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107,199,745.02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480"/>
              <w:jc w:val="both"/>
              <w:rPr>
                <w:sz w:val="20"/>
                <w:szCs w:val="20"/>
              </w:rPr>
            </w:pPr>
            <w:r>
              <w:rPr>
                <w:color w:val="000000"/>
                <w:spacing w:val="0"/>
                <w:w w:val="100"/>
                <w:position w:val="0"/>
                <w:sz w:val="20"/>
                <w:szCs w:val="20"/>
              </w:rPr>
              <w:t>支付其他与投资活动有关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222,433,890.48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607,333,442.80</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23,557,790.60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-201,915,001.14</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rPr>
                <w:sz w:val="20"/>
                <w:szCs w:val="20"/>
              </w:rPr>
            </w:pPr>
            <w:r>
              <w:rPr>
                <w:color w:val="000000"/>
                <w:spacing w:val="0"/>
                <w:w w:val="100"/>
                <w:position w:val="0"/>
                <w:sz w:val="20"/>
                <w:szCs w:val="20"/>
              </w:rPr>
              <w:t>其中：子公司吸收少数股 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取得借款收到的现金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450,000,000.00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407,000,000.00</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20"/>
                <w:szCs w:val="20"/>
              </w:rPr>
            </w:pPr>
            <w:r>
              <w:rPr>
                <w:color w:val="000000"/>
                <w:spacing w:val="0"/>
                <w:w w:val="100"/>
                <w:position w:val="0"/>
                <w:sz w:val="20"/>
                <w:szCs w:val="20"/>
              </w:rPr>
              <w:t>收到其他与筹资活动有关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407,000,000.00</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380,579,656.75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rPr>
                <w:sz w:val="20"/>
                <w:szCs w:val="20"/>
              </w:rPr>
            </w:pPr>
            <w:r>
              <w:rPr>
                <w:color w:val="000000"/>
                <w:spacing w:val="0"/>
                <w:w w:val="100"/>
                <w:position w:val="0"/>
                <w:sz w:val="20"/>
                <w:szCs w:val="20"/>
              </w:rPr>
              <w:t>分配股利、利润或偿付利 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27,825,161.95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27,651,478.23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rPr>
                <w:sz w:val="20"/>
                <w:szCs w:val="20"/>
              </w:rPr>
            </w:pPr>
            <w:r>
              <w:rPr>
                <w:color w:val="000000"/>
                <w:spacing w:val="0"/>
                <w:w w:val="100"/>
                <w:position w:val="0"/>
                <w:sz w:val="20"/>
                <w:szCs w:val="20"/>
              </w:rPr>
              <w:t>其中：子公司支付给少数 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20"/>
                <w:szCs w:val="20"/>
              </w:rPr>
            </w:pPr>
            <w:r>
              <w:rPr>
                <w:color w:val="000000"/>
                <w:spacing w:val="0"/>
                <w:w w:val="100"/>
                <w:position w:val="0"/>
                <w:sz w:val="20"/>
                <w:szCs w:val="20"/>
              </w:rPr>
              <w:t>支付其他与筹资活动有关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20,034,350.80</w:t>
            </w: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447,859,512.75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408,231,134.98</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2,140,487.25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-1,231,134.98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四、汇率变动对现金及现金等 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-792,894.67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317,873.56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五、现金及现金等价物净增加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50,159,680.27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-273,208,015.14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20"/>
                <w:szCs w:val="20"/>
              </w:rPr>
            </w:pPr>
            <w:r>
              <w:rPr>
                <w:color w:val="000000"/>
                <w:spacing w:val="0"/>
                <w:w w:val="100"/>
                <w:position w:val="0"/>
                <w:sz w:val="20"/>
                <w:szCs w:val="20"/>
              </w:rPr>
              <w:t>加：期初现金及现金等价 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208,612,613.57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481,820,628.71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六、期末现金及现金等价物余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258,772,293.84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208,612,613.57</w:t>
            </w:r>
          </w:p>
        </w:tc>
      </w:tr>
    </w:tbl>
    <w:p>
      <w:pPr>
        <w:pStyle w:val="Style38"/>
        <w:keepNext w:val="0"/>
        <w:keepLines w:val="0"/>
        <w:widowControl w:val="0"/>
        <w:shd w:val="clear" w:color="auto" w:fill="auto"/>
        <w:tabs>
          <w:tab w:pos="3581" w:val="left"/>
          <w:tab w:pos="7454" w:val="left"/>
        </w:tabs>
        <w:bidi w:val="0"/>
        <w:spacing w:before="0" w:after="0" w:line="240" w:lineRule="auto"/>
        <w:ind w:left="0" w:right="0" w:firstLine="0"/>
        <w:jc w:val="center"/>
        <w:rPr>
          <w:sz w:val="19"/>
          <w:szCs w:val="19"/>
        </w:rPr>
      </w:pPr>
      <w:r>
        <w:rPr>
          <w:color w:val="000000"/>
          <w:spacing w:val="0"/>
          <w:w w:val="100"/>
          <w:position w:val="0"/>
          <w:sz w:val="19"/>
          <w:szCs w:val="19"/>
        </w:rPr>
        <w:t>法定代表人：孙迎彤</w:t>
        <w:tab/>
        <w:t>主管会计工作负责人：徐辉</w:t>
        <w:tab/>
        <w:t>会计机构负责人：余永德</w:t>
      </w:r>
    </w:p>
    <w:p>
      <w:pPr>
        <w:widowControl w:val="0"/>
        <w:spacing w:after="339" w:line="1" w:lineRule="exact"/>
      </w:pPr>
    </w:p>
    <w:p>
      <w:pPr>
        <w:pStyle w:val="Style52"/>
        <w:keepNext/>
        <w:keepLines/>
        <w:widowControl w:val="0"/>
        <w:shd w:val="clear" w:color="auto" w:fill="auto"/>
        <w:bidi w:val="0"/>
        <w:spacing w:before="0" w:after="340" w:line="240"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6</w:t>
      </w:r>
      <w:bookmarkEnd w:id="710"/>
      <w:r>
        <w:rPr>
          <w:color w:val="000000"/>
          <w:spacing w:val="0"/>
          <w:w w:val="100"/>
          <w:position w:val="0"/>
        </w:rPr>
        <w:t>、母公司现金流量表</w:t>
      </w:r>
      <w:bookmarkEnd w:id="708"/>
      <w:bookmarkEnd w:id="709"/>
      <w:bookmarkEnd w:id="711"/>
    </w:p>
    <w:p>
      <w:pPr>
        <w:pStyle w:val="Style3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976"/>
        <w:gridCol w:w="3298"/>
        <w:gridCol w:w="3312"/>
      </w:tblGrid>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年度</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20"/>
                <w:szCs w:val="20"/>
              </w:rPr>
            </w:pPr>
            <w:r>
              <w:rPr>
                <w:color w:val="000000"/>
                <w:spacing w:val="0"/>
                <w:w w:val="100"/>
                <w:position w:val="0"/>
                <w:sz w:val="20"/>
                <w:szCs w:val="20"/>
              </w:rPr>
              <w:t>销售商品、提供劳务收到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242,511,212.49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256,930,518.42</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3,749,342.98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4,913,758.00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20"/>
                <w:szCs w:val="20"/>
              </w:rPr>
            </w:pPr>
            <w:r>
              <w:rPr>
                <w:color w:val="000000"/>
                <w:spacing w:val="0"/>
                <w:w w:val="100"/>
                <w:position w:val="0"/>
                <w:sz w:val="20"/>
                <w:szCs w:val="20"/>
              </w:rPr>
              <w:t>收到其他与经营活动有关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40,055,413.99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625,955,096.39</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286,315,969.46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887,799,372.81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20"/>
                <w:szCs w:val="20"/>
              </w:rPr>
            </w:pPr>
            <w:r>
              <w:rPr>
                <w:color w:val="000000"/>
                <w:spacing w:val="0"/>
                <w:w w:val="100"/>
                <w:position w:val="0"/>
                <w:sz w:val="20"/>
                <w:szCs w:val="20"/>
              </w:rPr>
              <w:t>购买商品、接受劳务支付 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135,341,201.49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171,108,310.82</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20"/>
                <w:szCs w:val="20"/>
              </w:rPr>
            </w:pPr>
            <w:r>
              <w:rPr>
                <w:color w:val="000000"/>
                <w:spacing w:val="0"/>
                <w:w w:val="100"/>
                <w:position w:val="0"/>
                <w:sz w:val="20"/>
                <w:szCs w:val="20"/>
              </w:rPr>
              <w:t>支付给职工以及为职工支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88,932,385.62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90,402,984.74</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3,078,928.70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4,142,388.58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20"/>
                <w:szCs w:val="20"/>
              </w:rPr>
            </w:pPr>
            <w:r>
              <w:rPr>
                <w:color w:val="000000"/>
                <w:spacing w:val="0"/>
                <w:w w:val="100"/>
                <w:position w:val="0"/>
                <w:sz w:val="20"/>
                <w:szCs w:val="20"/>
              </w:rPr>
              <w:t>支付其他与经营活动有关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51,968,805.85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388,731,986.55</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279,321,321.66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654,385,670.69</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6,994,647.80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233,413,702.12</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109,500,000.00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360,132,838.12</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1,123,963.23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872,541.11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20"/>
                <w:szCs w:val="20"/>
              </w:rPr>
            </w:pPr>
            <w:r>
              <w:rPr>
                <w:color w:val="000000"/>
                <w:spacing w:val="0"/>
                <w:w w:val="100"/>
                <w:position w:val="0"/>
                <w:sz w:val="20"/>
                <w:szCs w:val="20"/>
              </w:rPr>
              <w:t>处置固定资产、无形资产 和其他长期资产收回的现金净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270,472.97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20"/>
                <w:szCs w:val="20"/>
              </w:rPr>
            </w:pPr>
            <w:r>
              <w:rPr>
                <w:color w:val="000000"/>
                <w:spacing w:val="0"/>
                <w:w w:val="100"/>
                <w:position w:val="0"/>
                <w:sz w:val="20"/>
                <w:szCs w:val="20"/>
              </w:rPr>
              <w:t>处置子公司及其他营业单 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20"/>
                <w:szCs w:val="20"/>
              </w:rPr>
            </w:pPr>
            <w:r>
              <w:rPr>
                <w:color w:val="000000"/>
                <w:spacing w:val="0"/>
                <w:w w:val="100"/>
                <w:position w:val="0"/>
                <w:sz w:val="20"/>
                <w:szCs w:val="20"/>
              </w:rPr>
              <w:t>收到其他与投资活动有关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236,395,490.21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117,000,000.00</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347,021,068.78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478,275,852.20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20"/>
                <w:szCs w:val="20"/>
              </w:rPr>
            </w:pPr>
            <w:r>
              <w:rPr>
                <w:color w:val="000000"/>
                <w:spacing w:val="0"/>
                <w:w w:val="100"/>
                <w:position w:val="0"/>
                <w:sz w:val="20"/>
                <w:szCs w:val="20"/>
              </w:rPr>
              <w:t>购建固定资产、无形资产 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46,413,420.52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77,469,439.18</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115,878,570.00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425,312,750.69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rPr>
                <w:sz w:val="20"/>
                <w:szCs w:val="20"/>
              </w:rPr>
            </w:pPr>
            <w:r>
              <w:rPr>
                <w:color w:val="000000"/>
                <w:spacing w:val="0"/>
                <w:w w:val="100"/>
                <w:position w:val="0"/>
                <w:sz w:val="20"/>
                <w:szCs w:val="20"/>
              </w:rPr>
              <w:t>取得子公司及其他营业单 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20"/>
                <w:szCs w:val="20"/>
              </w:rPr>
            </w:pPr>
            <w:r>
              <w:rPr>
                <w:color w:val="000000"/>
                <w:spacing w:val="0"/>
                <w:w w:val="100"/>
                <w:position w:val="0"/>
                <w:sz w:val="20"/>
                <w:szCs w:val="20"/>
              </w:rPr>
              <w:t>支付其他与投资活动有关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147,220,303.59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184,600,000.00</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309,512,294.11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687,382,189.87</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37,508,774.67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-209,106,337.67</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340,000,000.00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20"/>
                <w:szCs w:val="20"/>
              </w:rPr>
            </w:pPr>
            <w:r>
              <w:rPr>
                <w:color w:val="000000"/>
                <w:spacing w:val="0"/>
                <w:w w:val="100"/>
                <w:position w:val="0"/>
                <w:sz w:val="20"/>
                <w:szCs w:val="20"/>
              </w:rPr>
              <w:t>收到其他与筹资活动有关 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340,000,000.00</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380,000,000.00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372,380,658.75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20"/>
                <w:szCs w:val="20"/>
              </w:rPr>
            </w:pPr>
            <w:r>
              <w:rPr>
                <w:color w:val="000000"/>
                <w:spacing w:val="0"/>
                <w:w w:val="100"/>
                <w:position w:val="0"/>
                <w:sz w:val="20"/>
                <w:szCs w:val="20"/>
              </w:rPr>
              <w:t>分配股利、利润或偿付利 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22,321,366.64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19,629,700.38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20"/>
                <w:szCs w:val="20"/>
              </w:rPr>
            </w:pPr>
            <w:r>
              <w:rPr>
                <w:color w:val="000000"/>
                <w:spacing w:val="0"/>
                <w:w w:val="100"/>
                <w:position w:val="0"/>
                <w:sz w:val="20"/>
                <w:szCs w:val="20"/>
              </w:rPr>
              <w:t>支付其他与筹资活动有关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20,034,350.80</w:t>
            </w: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422,355,717.44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392,010,359.13</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27,644,282.56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-52,010,359.13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四、汇率变动对现金及现金等 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-96,346.53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五、现金及现金等价物净增加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72,051,358.50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-27,702,881.68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rPr>
                <w:sz w:val="20"/>
                <w:szCs w:val="20"/>
              </w:rPr>
            </w:pPr>
            <w:r>
              <w:rPr>
                <w:color w:val="000000"/>
                <w:spacing w:val="0"/>
                <w:w w:val="100"/>
                <w:position w:val="0"/>
                <w:sz w:val="20"/>
                <w:szCs w:val="20"/>
              </w:rPr>
              <w:t>加：期初现金及现金等价 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132,495,299.60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160,198,181.28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六、期末现金及现金等价物余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204,546,658.10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132,495,299.60</w:t>
            </w:r>
          </w:p>
        </w:tc>
      </w:tr>
    </w:tbl>
    <w:p>
      <w:pPr>
        <w:pStyle w:val="Style38"/>
        <w:keepNext w:val="0"/>
        <w:keepLines w:val="0"/>
        <w:widowControl w:val="0"/>
        <w:shd w:val="clear" w:color="auto" w:fill="auto"/>
        <w:tabs>
          <w:tab w:pos="3581" w:val="left"/>
          <w:tab w:pos="7454" w:val="left"/>
        </w:tabs>
        <w:bidi w:val="0"/>
        <w:spacing w:before="0" w:after="0" w:line="240" w:lineRule="auto"/>
        <w:ind w:left="0" w:right="0" w:firstLine="0"/>
        <w:jc w:val="left"/>
        <w:rPr>
          <w:sz w:val="19"/>
          <w:szCs w:val="19"/>
        </w:rPr>
        <w:sectPr>
          <w:headerReference w:type="default" r:id="rId91"/>
          <w:footerReference w:type="default" r:id="rId92"/>
          <w:headerReference w:type="even" r:id="rId93"/>
          <w:footerReference w:type="even" r:id="rId94"/>
          <w:footnotePr>
            <w:pos w:val="pageBottom"/>
            <w:numFmt w:val="decimal"/>
            <w:numRestart w:val="continuous"/>
          </w:footnotePr>
          <w:pgSz w:w="11900" w:h="16840"/>
          <w:pgMar w:top="1441" w:right="660" w:bottom="1436" w:left="628" w:header="0" w:footer="3" w:gutter="0"/>
          <w:cols w:space="720"/>
          <w:noEndnote/>
          <w:rtlGutter w:val="0"/>
          <w:docGrid w:linePitch="360"/>
        </w:sectPr>
      </w:pPr>
      <w:r>
        <w:rPr>
          <w:color w:val="000000"/>
          <w:spacing w:val="0"/>
          <w:w w:val="100"/>
          <w:position w:val="0"/>
          <w:sz w:val="19"/>
          <w:szCs w:val="19"/>
        </w:rPr>
        <w:t>法定代表人：孙迎彤</w:t>
        <w:tab/>
        <w:t>主管会计工作负责人：徐辉</w:t>
        <w:tab/>
        <w:t>会计机构负责人：余永德</w:t>
      </w:r>
    </w:p>
    <w:p>
      <w:pPr>
        <w:pStyle w:val="Style52"/>
        <w:keepNext/>
        <w:keepLines/>
        <w:widowControl w:val="0"/>
        <w:shd w:val="clear" w:color="auto" w:fill="auto"/>
        <w:bidi w:val="0"/>
        <w:spacing w:before="0" w:after="360" w:line="240" w:lineRule="auto"/>
        <w:ind w:left="1020" w:right="0" w:firstLine="0"/>
        <w:jc w:val="left"/>
        <w:rPr>
          <w:sz w:val="20"/>
          <w:szCs w:val="20"/>
        </w:rPr>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sz w:val="20"/>
          <w:szCs w:val="20"/>
        </w:rPr>
        <w:t>7</w:t>
      </w:r>
      <w:bookmarkEnd w:id="714"/>
      <w:r>
        <w:rPr>
          <w:color w:val="000000"/>
          <w:spacing w:val="0"/>
          <w:w w:val="100"/>
          <w:position w:val="0"/>
          <w:sz w:val="20"/>
          <w:szCs w:val="20"/>
        </w:rPr>
        <w:t>、合并所有者权益变动表</w:t>
      </w:r>
      <w:bookmarkEnd w:id="712"/>
      <w:bookmarkEnd w:id="713"/>
      <w:bookmarkEnd w:id="715"/>
    </w:p>
    <w:p>
      <w:pPr>
        <w:pStyle w:val="Style84"/>
        <w:keepNext w:val="0"/>
        <w:keepLines w:val="0"/>
        <w:widowControl w:val="0"/>
        <w:shd w:val="clear" w:color="auto" w:fill="auto"/>
        <w:bidi w:val="0"/>
        <w:spacing w:before="0" w:after="120" w:line="240" w:lineRule="auto"/>
        <w:ind w:left="1020" w:right="0" w:firstLine="0"/>
        <w:jc w:val="left"/>
      </w:pPr>
      <w:r>
        <w:rPr>
          <w:color w:val="000000"/>
          <w:spacing w:val="0"/>
          <w:w w:val="100"/>
          <w:position w:val="0"/>
        </w:rPr>
        <w:t>本期金额</w:t>
      </w:r>
    </w:p>
    <w:p>
      <w:pPr>
        <w:pStyle w:val="Style38"/>
        <w:keepNext w:val="0"/>
        <w:keepLines w:val="0"/>
        <w:widowControl w:val="0"/>
        <w:shd w:val="clear" w:color="auto" w:fill="auto"/>
        <w:bidi w:val="0"/>
        <w:spacing w:before="0" w:after="0" w:line="240" w:lineRule="auto"/>
        <w:ind w:left="14160"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1848"/>
        <w:gridCol w:w="1277"/>
        <w:gridCol w:w="278"/>
        <w:gridCol w:w="288"/>
        <w:gridCol w:w="278"/>
        <w:gridCol w:w="1426"/>
        <w:gridCol w:w="422"/>
        <w:gridCol w:w="1272"/>
        <w:gridCol w:w="994"/>
        <w:gridCol w:w="1133"/>
        <w:gridCol w:w="566"/>
        <w:gridCol w:w="1421"/>
        <w:gridCol w:w="283"/>
        <w:gridCol w:w="1421"/>
        <w:gridCol w:w="1272"/>
        <w:gridCol w:w="143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少数股东权 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b/>
                <w:bCs/>
                <w:color w:val="000000"/>
                <w:spacing w:val="0"/>
                <w:w w:val="100"/>
                <w:position w:val="0"/>
                <w:sz w:val="20"/>
                <w:szCs w:val="20"/>
              </w:rPr>
              <w:t>所有者权益合 计</w:t>
            </w:r>
          </w:p>
        </w:tc>
      </w:tr>
      <w:tr>
        <w:trPr>
          <w:trHeight w:val="71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20"/>
                <w:szCs w:val="20"/>
              </w:rPr>
            </w:pPr>
            <w:r>
              <w:rPr>
                <w:b/>
                <w:bCs/>
                <w:color w:val="000000"/>
                <w:spacing w:val="0"/>
                <w:w w:val="100"/>
                <w:position w:val="0"/>
                <w:sz w:val="20"/>
                <w:szCs w:val="20"/>
              </w:rPr>
              <w:t>其他权 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b/>
                <w:bCs/>
                <w:color w:val="000000"/>
                <w:spacing w:val="0"/>
                <w:w w:val="100"/>
                <w:position w:val="0"/>
                <w:sz w:val="20"/>
                <w:szCs w:val="20"/>
              </w:rPr>
              <w:t>减：</w:t>
            </w:r>
          </w:p>
          <w:p>
            <w:pPr>
              <w:pStyle w:val="Style2"/>
              <w:keepNext w:val="0"/>
              <w:keepLines w:val="0"/>
              <w:widowControl w:val="0"/>
              <w:shd w:val="clear" w:color="auto" w:fill="auto"/>
              <w:bidi w:val="0"/>
              <w:spacing w:before="0" w:after="0" w:line="310" w:lineRule="exact"/>
              <w:ind w:left="0" w:right="0" w:firstLine="0"/>
              <w:jc w:val="center"/>
              <w:rPr>
                <w:sz w:val="20"/>
                <w:szCs w:val="20"/>
              </w:rPr>
            </w:pPr>
            <w:r>
              <w:rPr>
                <w:b/>
                <w:bCs/>
                <w:color w:val="000000"/>
                <w:spacing w:val="0"/>
                <w:w w:val="100"/>
                <w:position w:val="0"/>
                <w:sz w:val="20"/>
                <w:szCs w:val="20"/>
              </w:rPr>
              <w:t>库 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其他综合收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一般 风险 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b/>
                <w:bCs/>
                <w:color w:val="000000"/>
                <w:spacing w:val="0"/>
                <w:w w:val="100"/>
                <w:position w:val="0"/>
                <w:sz w:val="20"/>
                <w:szCs w:val="20"/>
              </w:rPr>
              <w:t>其 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b/>
                <w:bCs/>
                <w:color w:val="000000"/>
                <w:spacing w:val="0"/>
                <w:w w:val="100"/>
                <w:position w:val="0"/>
                <w:sz w:val="20"/>
                <w:szCs w:val="20"/>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b/>
                <w:bCs/>
                <w:color w:val="000000"/>
                <w:spacing w:val="0"/>
                <w:w w:val="100"/>
                <w:position w:val="0"/>
                <w:sz w:val="20"/>
                <w:szCs w:val="20"/>
              </w:rPr>
              <w:t>永 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b/>
                <w:bCs/>
                <w:color w:val="000000"/>
                <w:spacing w:val="0"/>
                <w:w w:val="100"/>
                <w:position w:val="0"/>
                <w:sz w:val="20"/>
                <w:szCs w:val="2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557,615,000.00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2,071,515,680.86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125,726,727.42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68,560,890.84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-1,643,571,660.13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1,179,846,638.99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-92,376,114.00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1,087,470,524.99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00"/>
              <w:jc w:val="left"/>
              <w:rPr>
                <w:sz w:val="18"/>
                <w:szCs w:val="18"/>
              </w:rPr>
            </w:pPr>
            <w:r>
              <w:rPr>
                <w:color w:val="000000"/>
                <w:spacing w:val="0"/>
                <w:w w:val="100"/>
                <w:position w:val="0"/>
                <w:sz w:val="18"/>
                <w:szCs w:val="18"/>
              </w:rPr>
              <w:t>前期差错更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00"/>
              <w:jc w:val="left"/>
              <w:rPr>
                <w:sz w:val="18"/>
                <w:szCs w:val="18"/>
              </w:rPr>
            </w:pPr>
            <w:r>
              <w:rPr>
                <w:color w:val="000000"/>
                <w:spacing w:val="0"/>
                <w:w w:val="100"/>
                <w:position w:val="0"/>
                <w:sz w:val="18"/>
                <w:szCs w:val="18"/>
              </w:rPr>
              <w:t>同一控制下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557,615,000.00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2,071,515,680.86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125,726,727.42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68,560,890.84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-1,643,571,660.13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1,179,846,638.99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-92,376,114.00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1,087,470,524.99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三、本期增减变动金额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8,547,472.86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11,234,770.54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19,782,243.40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-17,860,758.48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1,921,484.92</w:t>
            </w:r>
          </w:p>
        </w:tc>
      </w:tr>
      <w:tr>
        <w:trPr>
          <w:trHeight w:val="13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8,547,472.86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11,234,770.54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19,782,243.40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-17,769,834.88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2,012,408.52</w:t>
            </w:r>
          </w:p>
        </w:tc>
      </w:tr>
    </w:tbl>
    <w:p>
      <w:pPr>
        <w:spacing w:lineRule="exact" w:line="1"/>
        <w:rPr>
          <w:sz w:val="2"/>
          <w:szCs w:val="2"/>
        </w:rPr>
      </w:pPr>
      <w:r>
        <w:br w:type="page"/>
      </w:r>
    </w:p>
    <w:tbl>
      <w:tblPr>
        <w:tblOverlap w:val="never"/>
        <w:jc w:val="center"/>
        <w:tblLayout w:type="fixed"/>
      </w:tblPr>
      <w:tblGrid>
        <w:gridCol w:w="1848"/>
        <w:gridCol w:w="1277"/>
        <w:gridCol w:w="278"/>
        <w:gridCol w:w="288"/>
        <w:gridCol w:w="278"/>
        <w:gridCol w:w="1426"/>
        <w:gridCol w:w="422"/>
        <w:gridCol w:w="1272"/>
        <w:gridCol w:w="994"/>
        <w:gridCol w:w="1133"/>
        <w:gridCol w:w="566"/>
        <w:gridCol w:w="1421"/>
        <w:gridCol w:w="283"/>
        <w:gridCol w:w="1421"/>
        <w:gridCol w:w="1272"/>
        <w:gridCol w:w="14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rPr>
                <w:sz w:val="20"/>
                <w:szCs w:val="20"/>
              </w:rPr>
            </w:pPr>
            <w:r>
              <w:rPr>
                <w:b/>
                <w:bCs/>
                <w:color w:val="000000"/>
                <w:spacing w:val="0"/>
                <w:w w:val="100"/>
                <w:position w:val="0"/>
                <w:sz w:val="20"/>
                <w:szCs w:val="20"/>
              </w:rPr>
              <w:t>少数股东权 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b/>
                <w:bCs/>
                <w:color w:val="000000"/>
                <w:spacing w:val="0"/>
                <w:w w:val="100"/>
                <w:position w:val="0"/>
                <w:sz w:val="20"/>
                <w:szCs w:val="20"/>
              </w:rPr>
              <w:t>所有者权益合 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b/>
                <w:bCs/>
                <w:color w:val="000000"/>
                <w:spacing w:val="0"/>
                <w:w w:val="100"/>
                <w:position w:val="0"/>
                <w:sz w:val="20"/>
                <w:szCs w:val="20"/>
              </w:rPr>
              <w:t>其他权 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减：</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库 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其他综合收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b/>
                <w:bCs/>
                <w:color w:val="000000"/>
                <w:spacing w:val="0"/>
                <w:w w:val="100"/>
                <w:position w:val="0"/>
                <w:sz w:val="20"/>
                <w:szCs w:val="20"/>
              </w:rPr>
              <w:t>一般 风险 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b/>
                <w:bCs/>
                <w:color w:val="000000"/>
                <w:spacing w:val="0"/>
                <w:w w:val="100"/>
                <w:position w:val="0"/>
                <w:sz w:val="20"/>
                <w:szCs w:val="20"/>
              </w:rPr>
              <w:t>其 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b/>
                <w:bCs/>
                <w:color w:val="000000"/>
                <w:spacing w:val="0"/>
                <w:w w:val="100"/>
                <w:position w:val="0"/>
                <w:sz w:val="20"/>
                <w:szCs w:val="20"/>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b/>
                <w:bCs/>
                <w:color w:val="000000"/>
                <w:spacing w:val="0"/>
                <w:w w:val="100"/>
                <w:position w:val="0"/>
                <w:sz w:val="20"/>
                <w:szCs w:val="20"/>
              </w:rPr>
              <w:t>永 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b/>
                <w:bCs/>
                <w:color w:val="000000"/>
                <w:spacing w:val="0"/>
                <w:w w:val="100"/>
                <w:position w:val="0"/>
                <w:sz w:val="20"/>
                <w:szCs w:val="2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rPr>
                <w:sz w:val="18"/>
                <w:szCs w:val="18"/>
              </w:rPr>
            </w:pPr>
            <w:r>
              <w:rPr>
                <w:color w:val="000000"/>
                <w:spacing w:val="0"/>
                <w:w w:val="100"/>
                <w:position w:val="0"/>
                <w:sz w:val="18"/>
                <w:szCs w:val="18"/>
              </w:rPr>
              <w:t>（二）所有者投入和减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.股份支付计入所有</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277"/>
        <w:gridCol w:w="278"/>
        <w:gridCol w:w="288"/>
        <w:gridCol w:w="278"/>
        <w:gridCol w:w="1426"/>
        <w:gridCol w:w="422"/>
        <w:gridCol w:w="1272"/>
        <w:gridCol w:w="994"/>
        <w:gridCol w:w="1133"/>
        <w:gridCol w:w="566"/>
        <w:gridCol w:w="1421"/>
        <w:gridCol w:w="283"/>
        <w:gridCol w:w="1421"/>
        <w:gridCol w:w="1272"/>
        <w:gridCol w:w="14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rPr>
                <w:sz w:val="20"/>
                <w:szCs w:val="20"/>
              </w:rPr>
            </w:pPr>
            <w:r>
              <w:rPr>
                <w:b/>
                <w:bCs/>
                <w:color w:val="000000"/>
                <w:spacing w:val="0"/>
                <w:w w:val="100"/>
                <w:position w:val="0"/>
                <w:sz w:val="20"/>
                <w:szCs w:val="20"/>
              </w:rPr>
              <w:t>少数股东权 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b/>
                <w:bCs/>
                <w:color w:val="000000"/>
                <w:spacing w:val="0"/>
                <w:w w:val="100"/>
                <w:position w:val="0"/>
                <w:sz w:val="20"/>
                <w:szCs w:val="20"/>
              </w:rPr>
              <w:t>所有者权益合 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b/>
                <w:bCs/>
                <w:color w:val="000000"/>
                <w:spacing w:val="0"/>
                <w:w w:val="100"/>
                <w:position w:val="0"/>
                <w:sz w:val="20"/>
                <w:szCs w:val="20"/>
              </w:rPr>
              <w:t>其他权 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减：</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库 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其他综合收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b/>
                <w:bCs/>
                <w:color w:val="000000"/>
                <w:spacing w:val="0"/>
                <w:w w:val="100"/>
                <w:position w:val="0"/>
                <w:sz w:val="20"/>
                <w:szCs w:val="20"/>
              </w:rPr>
              <w:t>一般 风险 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b/>
                <w:bCs/>
                <w:color w:val="000000"/>
                <w:spacing w:val="0"/>
                <w:w w:val="100"/>
                <w:position w:val="0"/>
                <w:sz w:val="20"/>
                <w:szCs w:val="20"/>
              </w:rPr>
              <w:t>其 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b/>
                <w:bCs/>
                <w:color w:val="000000"/>
                <w:spacing w:val="0"/>
                <w:w w:val="100"/>
                <w:position w:val="0"/>
                <w:sz w:val="20"/>
                <w:szCs w:val="20"/>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b/>
                <w:bCs/>
                <w:color w:val="000000"/>
                <w:spacing w:val="0"/>
                <w:w w:val="100"/>
                <w:position w:val="0"/>
                <w:sz w:val="20"/>
                <w:szCs w:val="20"/>
              </w:rPr>
              <w:t>永 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b/>
                <w:bCs/>
                <w:color w:val="000000"/>
                <w:spacing w:val="0"/>
                <w:w w:val="100"/>
                <w:position w:val="0"/>
                <w:sz w:val="20"/>
                <w:szCs w:val="2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盈余公积转增资本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.其他综合收益结转 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277"/>
        <w:gridCol w:w="278"/>
        <w:gridCol w:w="288"/>
        <w:gridCol w:w="278"/>
        <w:gridCol w:w="1426"/>
        <w:gridCol w:w="422"/>
        <w:gridCol w:w="1272"/>
        <w:gridCol w:w="994"/>
        <w:gridCol w:w="1133"/>
        <w:gridCol w:w="566"/>
        <w:gridCol w:w="1421"/>
        <w:gridCol w:w="283"/>
        <w:gridCol w:w="1421"/>
        <w:gridCol w:w="1272"/>
        <w:gridCol w:w="14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rPr>
                <w:sz w:val="20"/>
                <w:szCs w:val="20"/>
              </w:rPr>
            </w:pPr>
            <w:r>
              <w:rPr>
                <w:b/>
                <w:bCs/>
                <w:color w:val="000000"/>
                <w:spacing w:val="0"/>
                <w:w w:val="100"/>
                <w:position w:val="0"/>
                <w:sz w:val="20"/>
                <w:szCs w:val="20"/>
              </w:rPr>
              <w:t>少数股东权 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b/>
                <w:bCs/>
                <w:color w:val="000000"/>
                <w:spacing w:val="0"/>
                <w:w w:val="100"/>
                <w:position w:val="0"/>
                <w:sz w:val="20"/>
                <w:szCs w:val="20"/>
              </w:rPr>
              <w:t>所有者权益合 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b/>
                <w:bCs/>
                <w:color w:val="000000"/>
                <w:spacing w:val="0"/>
                <w:w w:val="100"/>
                <w:position w:val="0"/>
                <w:sz w:val="20"/>
                <w:szCs w:val="20"/>
              </w:rPr>
              <w:t>其他权 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减：</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库 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其他综合收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b/>
                <w:bCs/>
                <w:color w:val="000000"/>
                <w:spacing w:val="0"/>
                <w:w w:val="100"/>
                <w:position w:val="0"/>
                <w:sz w:val="20"/>
                <w:szCs w:val="20"/>
              </w:rPr>
              <w:t>一般 风险 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b/>
                <w:bCs/>
                <w:color w:val="000000"/>
                <w:spacing w:val="0"/>
                <w:w w:val="100"/>
                <w:position w:val="0"/>
                <w:sz w:val="20"/>
                <w:szCs w:val="20"/>
              </w:rPr>
              <w:t>其 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b/>
                <w:bCs/>
                <w:color w:val="000000"/>
                <w:spacing w:val="0"/>
                <w:w w:val="100"/>
                <w:position w:val="0"/>
                <w:sz w:val="20"/>
                <w:szCs w:val="20"/>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b/>
                <w:bCs/>
                <w:color w:val="000000"/>
                <w:spacing w:val="0"/>
                <w:w w:val="100"/>
                <w:position w:val="0"/>
                <w:sz w:val="20"/>
                <w:szCs w:val="20"/>
              </w:rPr>
              <w:t>永 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b/>
                <w:bCs/>
                <w:color w:val="000000"/>
                <w:spacing w:val="0"/>
                <w:w w:val="100"/>
                <w:position w:val="0"/>
                <w:sz w:val="20"/>
                <w:szCs w:val="2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727,673.58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727,673.58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727,673.58</w:t>
            </w:r>
          </w:p>
        </w:tc>
      </w:tr>
      <w:tr>
        <w:trPr>
          <w:trHeight w:val="70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727,673.58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727,673.58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727,673.58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-90,923.60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-90,923.60</w:t>
            </w:r>
          </w:p>
        </w:tc>
      </w:tr>
      <w:tr>
        <w:trPr>
          <w:trHeight w:val="16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557,615,000.00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2,071,515,680.86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134,274,200.28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68,560,890.84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-1,632,336,889.59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1,199,628,882.39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-110,236,872.48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1,089,392,009.91</w:t>
            </w:r>
          </w:p>
        </w:tc>
      </w:tr>
    </w:tbl>
    <w:p>
      <w:pPr>
        <w:widowControl w:val="0"/>
        <w:spacing w:after="419" w:line="1" w:lineRule="exact"/>
      </w:pPr>
    </w:p>
    <w:p>
      <w:pPr>
        <w:pStyle w:val="Style84"/>
        <w:keepNext w:val="0"/>
        <w:keepLines w:val="0"/>
        <w:widowControl w:val="0"/>
        <w:shd w:val="clear" w:color="auto" w:fill="auto"/>
        <w:bidi w:val="0"/>
        <w:spacing w:before="0" w:after="140" w:line="240" w:lineRule="auto"/>
        <w:ind w:left="1020" w:right="0" w:firstLine="0"/>
        <w:jc w:val="left"/>
      </w:pPr>
      <w:r>
        <w:rPr>
          <w:color w:val="000000"/>
          <w:spacing w:val="0"/>
          <w:w w:val="100"/>
          <w:position w:val="0"/>
        </w:rPr>
        <w:t>上期金额</w:t>
      </w:r>
    </w:p>
    <w:p>
      <w:pPr>
        <w:pStyle w:val="Style84"/>
        <w:keepNext w:val="0"/>
        <w:keepLines w:val="0"/>
        <w:widowControl w:val="0"/>
        <w:shd w:val="clear" w:color="auto" w:fill="auto"/>
        <w:bidi w:val="0"/>
        <w:spacing w:before="0" w:after="80" w:line="240" w:lineRule="auto"/>
        <w:ind w:left="14160" w:right="0" w:firstLine="0"/>
        <w:jc w:val="left"/>
      </w:pPr>
      <w:r>
        <w:rPr>
          <w:color w:val="000000"/>
          <w:spacing w:val="0"/>
          <w:w w:val="100"/>
          <w:position w:val="0"/>
        </w:rPr>
        <w:t>单位：元</w:t>
      </w:r>
    </w:p>
    <w:tbl>
      <w:tblPr>
        <w:tblOverlap w:val="never"/>
        <w:jc w:val="center"/>
        <w:tblLayout w:type="fixed"/>
      </w:tblPr>
      <w:tblGrid>
        <w:gridCol w:w="1848"/>
        <w:gridCol w:w="11059"/>
        <w:gridCol w:w="1272"/>
        <w:gridCol w:w="143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2019</w:t>
            </w:r>
            <w:r>
              <w:rPr>
                <w:b/>
                <w:bCs/>
                <w:color w:val="000000"/>
                <w:spacing w:val="0"/>
                <w:w w:val="100"/>
                <w:position w:val="0"/>
                <w:sz w:val="20"/>
                <w:szCs w:val="20"/>
              </w:rPr>
              <w:t>年年度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归属于母公司所有者权益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少数股东权</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所有者权益合</w:t>
            </w:r>
          </w:p>
        </w:tc>
      </w:tr>
    </w:tbl>
    <w:p>
      <w:pPr>
        <w:spacing w:lineRule="exact" w:line="1"/>
        <w:rPr>
          <w:sz w:val="2"/>
          <w:szCs w:val="2"/>
        </w:rPr>
      </w:pPr>
      <w:r>
        <w:br w:type="page"/>
      </w:r>
    </w:p>
    <w:tbl>
      <w:tblPr>
        <w:tblOverlap w:val="never"/>
        <w:jc w:val="center"/>
        <w:tblLayout w:type="fixed"/>
      </w:tblPr>
      <w:tblGrid>
        <w:gridCol w:w="1848"/>
        <w:gridCol w:w="1258"/>
        <w:gridCol w:w="302"/>
        <w:gridCol w:w="283"/>
        <w:gridCol w:w="283"/>
        <w:gridCol w:w="1421"/>
        <w:gridCol w:w="422"/>
        <w:gridCol w:w="1277"/>
        <w:gridCol w:w="994"/>
        <w:gridCol w:w="1133"/>
        <w:gridCol w:w="566"/>
        <w:gridCol w:w="1416"/>
        <w:gridCol w:w="283"/>
        <w:gridCol w:w="1421"/>
        <w:gridCol w:w="1272"/>
        <w:gridCol w:w="1430"/>
      </w:tblGrid>
      <w:tr>
        <w:trPr>
          <w:trHeight w:val="77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b/>
                <w:bCs/>
                <w:color w:val="000000"/>
                <w:spacing w:val="0"/>
                <w:w w:val="100"/>
                <w:position w:val="0"/>
                <w:sz w:val="20"/>
                <w:szCs w:val="20"/>
              </w:rPr>
              <w:t>其他权 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b/>
                <w:bCs/>
                <w:color w:val="000000"/>
                <w:spacing w:val="0"/>
                <w:w w:val="100"/>
                <w:position w:val="0"/>
                <w:sz w:val="20"/>
                <w:szCs w:val="20"/>
              </w:rPr>
              <w:t>减：</w:t>
            </w:r>
          </w:p>
          <w:p>
            <w:pPr>
              <w:pStyle w:val="Style2"/>
              <w:keepNext w:val="0"/>
              <w:keepLines w:val="0"/>
              <w:widowControl w:val="0"/>
              <w:shd w:val="clear" w:color="auto" w:fill="auto"/>
              <w:bidi w:val="0"/>
              <w:spacing w:before="0" w:after="0" w:line="310" w:lineRule="exact"/>
              <w:ind w:left="0" w:right="0" w:firstLine="0"/>
              <w:jc w:val="center"/>
              <w:rPr>
                <w:sz w:val="20"/>
                <w:szCs w:val="20"/>
              </w:rPr>
            </w:pPr>
            <w:r>
              <w:rPr>
                <w:b/>
                <w:bCs/>
                <w:color w:val="000000"/>
                <w:spacing w:val="0"/>
                <w:w w:val="100"/>
                <w:position w:val="0"/>
                <w:sz w:val="20"/>
                <w:szCs w:val="20"/>
              </w:rPr>
              <w:t>库 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rPr>
                <w:sz w:val="20"/>
                <w:szCs w:val="20"/>
              </w:rPr>
            </w:pPr>
            <w:r>
              <w:rPr>
                <w:b/>
                <w:bCs/>
                <w:color w:val="000000"/>
                <w:spacing w:val="0"/>
                <w:w w:val="100"/>
                <w:position w:val="0"/>
                <w:sz w:val="20"/>
                <w:szCs w:val="20"/>
              </w:rPr>
              <w:t>其他综合收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一般 风险 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b/>
                <w:bCs/>
                <w:color w:val="000000"/>
                <w:spacing w:val="0"/>
                <w:w w:val="100"/>
                <w:position w:val="0"/>
                <w:sz w:val="20"/>
                <w:szCs w:val="20"/>
              </w:rPr>
              <w:t>其 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小计</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20"/>
                <w:szCs w:val="20"/>
              </w:rPr>
            </w:pPr>
            <w:r>
              <w:rPr>
                <w:b/>
                <w:bCs/>
                <w:color w:val="000000"/>
                <w:spacing w:val="0"/>
                <w:w w:val="100"/>
                <w:position w:val="0"/>
                <w:sz w:val="20"/>
                <w:szCs w:val="20"/>
              </w:rPr>
              <w:t>益</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rPr>
                <w:sz w:val="20"/>
                <w:szCs w:val="20"/>
              </w:rPr>
            </w:pPr>
            <w:r>
              <w:rPr>
                <w:b/>
                <w:bCs/>
                <w:color w:val="000000"/>
                <w:spacing w:val="0"/>
                <w:w w:val="100"/>
                <w:position w:val="0"/>
                <w:sz w:val="20"/>
                <w:szCs w:val="20"/>
              </w:rPr>
              <w:t>计</w:t>
            </w:r>
          </w:p>
        </w:tc>
      </w:tr>
      <w:tr>
        <w:trPr>
          <w:trHeight w:val="1027"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20"/>
                <w:szCs w:val="20"/>
              </w:rPr>
            </w:pPr>
            <w:r>
              <w:rPr>
                <w:b/>
                <w:bCs/>
                <w:color w:val="000000"/>
                <w:spacing w:val="0"/>
                <w:w w:val="100"/>
                <w:position w:val="0"/>
                <w:sz w:val="20"/>
                <w:szCs w:val="20"/>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b/>
                <w:bCs/>
                <w:color w:val="000000"/>
                <w:spacing w:val="0"/>
                <w:w w:val="100"/>
                <w:position w:val="0"/>
                <w:sz w:val="20"/>
                <w:szCs w:val="20"/>
              </w:rPr>
              <w:t>永 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b/>
                <w:bCs/>
                <w:color w:val="000000"/>
                <w:spacing w:val="0"/>
                <w:w w:val="100"/>
                <w:position w:val="0"/>
                <w:sz w:val="20"/>
                <w:szCs w:val="2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557,615,000.00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2,071,515,680.86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137,225,720.47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68,560,890.84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-1,747,697,138.16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1,087,220,154.01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-30,398,422.78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1,056,821,731.23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204,836.39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204,836.39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531,298.06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736,134.45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前期差错更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同一控制下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557,615,000.00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2,071,515,680.86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137,225,720.47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68,560,890.84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-1,747,492,301.77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1,087,424,990.40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-29,867,124.72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1,057,557,865.68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三、本期增减变动金额</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-11,498,993.05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103,920,641.64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92,421,648.59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-62,508,989.28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29,912,659.31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-11,498,993.05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103,920,641.64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92,421,648.59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-62,508,989.28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29,912,659.31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rPr>
                <w:sz w:val="18"/>
                <w:szCs w:val="18"/>
              </w:rPr>
            </w:pPr>
            <w:r>
              <w:rPr>
                <w:color w:val="000000"/>
                <w:spacing w:val="0"/>
                <w:w w:val="100"/>
                <w:position w:val="0"/>
                <w:sz w:val="18"/>
                <w:szCs w:val="18"/>
              </w:rPr>
              <w:t>（二）所有者投入和减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.股份支付计入所有</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258"/>
        <w:gridCol w:w="302"/>
        <w:gridCol w:w="283"/>
        <w:gridCol w:w="283"/>
        <w:gridCol w:w="1421"/>
        <w:gridCol w:w="422"/>
        <w:gridCol w:w="1277"/>
        <w:gridCol w:w="994"/>
        <w:gridCol w:w="1133"/>
        <w:gridCol w:w="566"/>
        <w:gridCol w:w="1416"/>
        <w:gridCol w:w="283"/>
        <w:gridCol w:w="1421"/>
        <w:gridCol w:w="1272"/>
        <w:gridCol w:w="14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2019</w:t>
            </w:r>
            <w:r>
              <w:rPr>
                <w:b/>
                <w:bCs/>
                <w:color w:val="000000"/>
                <w:spacing w:val="0"/>
                <w:w w:val="100"/>
                <w:position w:val="0"/>
                <w:sz w:val="20"/>
                <w:szCs w:val="2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rPr>
                <w:sz w:val="20"/>
                <w:szCs w:val="20"/>
              </w:rPr>
            </w:pPr>
            <w:r>
              <w:rPr>
                <w:b/>
                <w:bCs/>
                <w:color w:val="000000"/>
                <w:spacing w:val="0"/>
                <w:w w:val="100"/>
                <w:position w:val="0"/>
                <w:sz w:val="20"/>
                <w:szCs w:val="20"/>
              </w:rPr>
              <w:t>少数股东权 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b/>
                <w:bCs/>
                <w:color w:val="000000"/>
                <w:spacing w:val="0"/>
                <w:w w:val="100"/>
                <w:position w:val="0"/>
                <w:sz w:val="20"/>
                <w:szCs w:val="20"/>
              </w:rPr>
              <w:t>所有者权益合 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b/>
                <w:bCs/>
                <w:color w:val="000000"/>
                <w:spacing w:val="0"/>
                <w:w w:val="100"/>
                <w:position w:val="0"/>
                <w:sz w:val="20"/>
                <w:szCs w:val="20"/>
              </w:rPr>
              <w:t>其他权 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减：</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库 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其他综合收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b/>
                <w:bCs/>
                <w:color w:val="000000"/>
                <w:spacing w:val="0"/>
                <w:w w:val="100"/>
                <w:position w:val="0"/>
                <w:sz w:val="20"/>
                <w:szCs w:val="20"/>
              </w:rPr>
              <w:t>一般 风险 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b/>
                <w:bCs/>
                <w:color w:val="000000"/>
                <w:spacing w:val="0"/>
                <w:w w:val="100"/>
                <w:position w:val="0"/>
                <w:sz w:val="20"/>
                <w:szCs w:val="20"/>
              </w:rPr>
              <w:t>其 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b/>
                <w:bCs/>
                <w:color w:val="000000"/>
                <w:spacing w:val="0"/>
                <w:w w:val="100"/>
                <w:position w:val="0"/>
                <w:sz w:val="20"/>
                <w:szCs w:val="20"/>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rPr>
              <w:t>永</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rPr>
              <w:t>续</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b/>
                <w:bCs/>
                <w:color w:val="000000"/>
                <w:spacing w:val="0"/>
                <w:w w:val="100"/>
                <w:position w:val="0"/>
                <w:sz w:val="20"/>
                <w:szCs w:val="2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盈余公积转增资本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258"/>
        <w:gridCol w:w="302"/>
        <w:gridCol w:w="283"/>
        <w:gridCol w:w="283"/>
        <w:gridCol w:w="1421"/>
        <w:gridCol w:w="422"/>
        <w:gridCol w:w="1277"/>
        <w:gridCol w:w="994"/>
        <w:gridCol w:w="1133"/>
        <w:gridCol w:w="566"/>
        <w:gridCol w:w="1416"/>
        <w:gridCol w:w="283"/>
        <w:gridCol w:w="1421"/>
        <w:gridCol w:w="1272"/>
        <w:gridCol w:w="14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2019</w:t>
            </w:r>
            <w:r>
              <w:rPr>
                <w:b/>
                <w:bCs/>
                <w:color w:val="000000"/>
                <w:spacing w:val="0"/>
                <w:w w:val="100"/>
                <w:position w:val="0"/>
                <w:sz w:val="20"/>
                <w:szCs w:val="2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rPr>
                <w:sz w:val="20"/>
                <w:szCs w:val="20"/>
              </w:rPr>
            </w:pPr>
            <w:r>
              <w:rPr>
                <w:b/>
                <w:bCs/>
                <w:color w:val="000000"/>
                <w:spacing w:val="0"/>
                <w:w w:val="100"/>
                <w:position w:val="0"/>
                <w:sz w:val="20"/>
                <w:szCs w:val="20"/>
              </w:rPr>
              <w:t>少数股东权 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b/>
                <w:bCs/>
                <w:color w:val="000000"/>
                <w:spacing w:val="0"/>
                <w:w w:val="100"/>
                <w:position w:val="0"/>
                <w:sz w:val="20"/>
                <w:szCs w:val="20"/>
              </w:rPr>
              <w:t>所有者权益合 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b/>
                <w:bCs/>
                <w:color w:val="000000"/>
                <w:spacing w:val="0"/>
                <w:w w:val="100"/>
                <w:position w:val="0"/>
                <w:sz w:val="20"/>
                <w:szCs w:val="20"/>
              </w:rPr>
              <w:t>其他权 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减：</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库 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其他综合收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b/>
                <w:bCs/>
                <w:color w:val="000000"/>
                <w:spacing w:val="0"/>
                <w:w w:val="100"/>
                <w:position w:val="0"/>
                <w:sz w:val="20"/>
                <w:szCs w:val="20"/>
              </w:rPr>
              <w:t>一般 风险 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b/>
                <w:bCs/>
                <w:color w:val="000000"/>
                <w:spacing w:val="0"/>
                <w:w w:val="100"/>
                <w:position w:val="0"/>
                <w:sz w:val="20"/>
                <w:szCs w:val="20"/>
              </w:rPr>
              <w:t>其 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b/>
                <w:bCs/>
                <w:color w:val="000000"/>
                <w:spacing w:val="0"/>
                <w:w w:val="100"/>
                <w:position w:val="0"/>
                <w:sz w:val="20"/>
                <w:szCs w:val="20"/>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rPr>
              <w:t>永</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rPr>
              <w:t>续</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b/>
                <w:bCs/>
                <w:color w:val="000000"/>
                <w:spacing w:val="0"/>
                <w:w w:val="100"/>
                <w:position w:val="0"/>
                <w:sz w:val="20"/>
                <w:szCs w:val="2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531,298.06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531,298.06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531,298.06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531,298.06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531,298.06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531,298.06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557,615,000.00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2,071,515,680.86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125,726,727.42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68,560,890.84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-1,643,571,660.13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1,179,846,638.99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-92,376,114.00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1,087,470,524.99</w:t>
            </w:r>
          </w:p>
        </w:tc>
      </w:tr>
    </w:tbl>
    <w:p>
      <w:pPr>
        <w:spacing w:lineRule="exact" w:line="1"/>
        <w:rPr>
          <w:sz w:val="2"/>
          <w:szCs w:val="2"/>
        </w:rPr>
      </w:pPr>
      <w:r>
        <w:br w:type="page"/>
      </w:r>
    </w:p>
    <w:p>
      <w:pPr>
        <w:pStyle w:val="Style52"/>
        <w:keepNext/>
        <w:keepLines/>
        <w:widowControl w:val="0"/>
        <w:shd w:val="clear" w:color="auto" w:fill="auto"/>
        <w:bidi w:val="0"/>
        <w:spacing w:before="0" w:after="380" w:line="240" w:lineRule="auto"/>
        <w:ind w:left="1020" w:right="0" w:firstLine="0"/>
        <w:jc w:val="left"/>
        <w:rPr>
          <w:sz w:val="20"/>
          <w:szCs w:val="20"/>
        </w:rPr>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sz w:val="20"/>
          <w:szCs w:val="20"/>
        </w:rPr>
        <w:t>8</w:t>
      </w:r>
      <w:bookmarkEnd w:id="718"/>
      <w:r>
        <w:rPr>
          <w:color w:val="000000"/>
          <w:spacing w:val="0"/>
          <w:w w:val="100"/>
          <w:position w:val="0"/>
          <w:sz w:val="20"/>
          <w:szCs w:val="20"/>
        </w:rPr>
        <w:t>、母公司所有者权益变动表</w:t>
      </w:r>
      <w:bookmarkEnd w:id="716"/>
      <w:bookmarkEnd w:id="717"/>
      <w:bookmarkEnd w:id="719"/>
    </w:p>
    <w:p>
      <w:pPr>
        <w:pStyle w:val="Style84"/>
        <w:keepNext w:val="0"/>
        <w:keepLines w:val="0"/>
        <w:widowControl w:val="0"/>
        <w:shd w:val="clear" w:color="auto" w:fill="auto"/>
        <w:bidi w:val="0"/>
        <w:spacing w:before="0" w:after="120" w:line="240" w:lineRule="auto"/>
        <w:ind w:left="1020" w:right="0" w:firstLine="0"/>
        <w:jc w:val="left"/>
      </w:pPr>
      <w:r>
        <w:rPr>
          <w:color w:val="000000"/>
          <w:spacing w:val="0"/>
          <w:w w:val="100"/>
          <w:position w:val="0"/>
        </w:rPr>
        <w:t>本期金额</w:t>
      </w:r>
    </w:p>
    <w:p>
      <w:pPr>
        <w:pStyle w:val="Style38"/>
        <w:keepNext w:val="0"/>
        <w:keepLines w:val="0"/>
        <w:widowControl w:val="0"/>
        <w:shd w:val="clear" w:color="auto" w:fill="auto"/>
        <w:bidi w:val="0"/>
        <w:spacing w:before="0" w:after="0" w:line="240" w:lineRule="auto"/>
        <w:ind w:left="14160"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2338"/>
        <w:gridCol w:w="1498"/>
        <w:gridCol w:w="566"/>
        <w:gridCol w:w="566"/>
        <w:gridCol w:w="283"/>
        <w:gridCol w:w="1416"/>
        <w:gridCol w:w="994"/>
        <w:gridCol w:w="1560"/>
        <w:gridCol w:w="989"/>
        <w:gridCol w:w="1277"/>
        <w:gridCol w:w="1421"/>
        <w:gridCol w:w="1272"/>
        <w:gridCol w:w="143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b/>
                <w:bCs/>
                <w:color w:val="000000"/>
                <w:spacing w:val="0"/>
                <w:w w:val="100"/>
                <w:position w:val="0"/>
                <w:sz w:val="20"/>
                <w:szCs w:val="20"/>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b/>
                <w:bCs/>
                <w:color w:val="000000"/>
                <w:spacing w:val="0"/>
                <w:w w:val="100"/>
                <w:position w:val="0"/>
                <w:sz w:val="20"/>
                <w:szCs w:val="20"/>
              </w:rPr>
              <w:t>所有者权益合 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b/>
                <w:bCs/>
                <w:color w:val="000000"/>
                <w:spacing w:val="0"/>
                <w:w w:val="100"/>
                <w:position w:val="0"/>
                <w:sz w:val="20"/>
                <w:szCs w:val="2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b/>
                <w:bCs/>
                <w:color w:val="000000"/>
                <w:spacing w:val="0"/>
                <w:w w:val="100"/>
                <w:position w:val="0"/>
                <w:sz w:val="20"/>
                <w:szCs w:val="2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b/>
                <w:bCs/>
                <w:color w:val="000000"/>
                <w:spacing w:val="0"/>
                <w:w w:val="100"/>
                <w:position w:val="0"/>
                <w:sz w:val="20"/>
                <w:szCs w:val="2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557,615,000.00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2,069,693,298.27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146,880,128.25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68,560,890.84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-1,199,910,573.24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1,642,838,744.12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557,615,000.00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2,069,693,298.27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146,880,128.25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68,560,890.84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-1,199,910,573.24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1,642,838,744.12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122,226.59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-52,682,517.83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-52,560,291.24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122,226.59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-52,682,517.83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-52,560,291.24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38"/>
        <w:gridCol w:w="1498"/>
        <w:gridCol w:w="566"/>
        <w:gridCol w:w="566"/>
        <w:gridCol w:w="283"/>
        <w:gridCol w:w="1416"/>
        <w:gridCol w:w="994"/>
        <w:gridCol w:w="1560"/>
        <w:gridCol w:w="989"/>
        <w:gridCol w:w="1277"/>
        <w:gridCol w:w="1421"/>
        <w:gridCol w:w="1272"/>
        <w:gridCol w:w="14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b/>
                <w:bCs/>
                <w:color w:val="000000"/>
                <w:spacing w:val="0"/>
                <w:w w:val="100"/>
                <w:position w:val="0"/>
                <w:sz w:val="20"/>
                <w:szCs w:val="20"/>
              </w:rPr>
              <w:t>所有者权益合 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b/>
                <w:bCs/>
                <w:color w:val="000000"/>
                <w:spacing w:val="0"/>
                <w:w w:val="100"/>
                <w:position w:val="0"/>
                <w:sz w:val="20"/>
                <w:szCs w:val="2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b/>
                <w:bCs/>
                <w:color w:val="000000"/>
                <w:spacing w:val="0"/>
                <w:w w:val="100"/>
                <w:position w:val="0"/>
                <w:sz w:val="20"/>
                <w:szCs w:val="2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b/>
                <w:bCs/>
                <w:color w:val="000000"/>
                <w:spacing w:val="0"/>
                <w:w w:val="100"/>
                <w:position w:val="0"/>
                <w:sz w:val="20"/>
                <w:szCs w:val="2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.其他综合收益结转留存收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557,615,000.00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2,069,693,298.27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147,002,354.84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68,560,890.84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-1,252,593,091.07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1,590,278,452.88</w:t>
            </w:r>
          </w:p>
        </w:tc>
      </w:tr>
    </w:tbl>
    <w:p>
      <w:pPr>
        <w:spacing w:lineRule="exact" w:line="1"/>
        <w:rPr>
          <w:sz w:val="2"/>
          <w:szCs w:val="2"/>
        </w:rPr>
      </w:pPr>
      <w:r>
        <w:br w:type="page"/>
      </w:r>
    </w:p>
    <w:p>
      <w:pPr>
        <w:pStyle w:val="Style84"/>
        <w:keepNext w:val="0"/>
        <w:keepLines w:val="0"/>
        <w:widowControl w:val="0"/>
        <w:shd w:val="clear" w:color="auto" w:fill="auto"/>
        <w:bidi w:val="0"/>
        <w:spacing w:before="0" w:after="120" w:line="240" w:lineRule="auto"/>
        <w:ind w:left="1020" w:right="0" w:firstLine="0"/>
        <w:jc w:val="left"/>
      </w:pPr>
      <w:r>
        <w:rPr>
          <w:color w:val="000000"/>
          <w:spacing w:val="0"/>
          <w:w w:val="100"/>
          <w:position w:val="0"/>
        </w:rPr>
        <w:t>上期金额</w:t>
      </w:r>
    </w:p>
    <w:p>
      <w:pPr>
        <w:pStyle w:val="Style38"/>
        <w:keepNext w:val="0"/>
        <w:keepLines w:val="0"/>
        <w:widowControl w:val="0"/>
        <w:shd w:val="clear" w:color="auto" w:fill="auto"/>
        <w:bidi w:val="0"/>
        <w:spacing w:before="0" w:after="0" w:line="240" w:lineRule="auto"/>
        <w:ind w:left="14160"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2261"/>
        <w:gridCol w:w="1574"/>
        <w:gridCol w:w="566"/>
        <w:gridCol w:w="566"/>
        <w:gridCol w:w="283"/>
        <w:gridCol w:w="1416"/>
        <w:gridCol w:w="994"/>
        <w:gridCol w:w="1560"/>
        <w:gridCol w:w="989"/>
        <w:gridCol w:w="1277"/>
        <w:gridCol w:w="1421"/>
        <w:gridCol w:w="1272"/>
        <w:gridCol w:w="14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2019</w:t>
            </w:r>
            <w:r>
              <w:rPr>
                <w:b/>
                <w:bCs/>
                <w:color w:val="000000"/>
                <w:spacing w:val="0"/>
                <w:w w:val="100"/>
                <w:position w:val="0"/>
                <w:sz w:val="20"/>
                <w:szCs w:val="2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b/>
                <w:bCs/>
                <w:color w:val="000000"/>
                <w:spacing w:val="0"/>
                <w:w w:val="100"/>
                <w:position w:val="0"/>
                <w:sz w:val="20"/>
                <w:szCs w:val="20"/>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20"/>
                <w:szCs w:val="20"/>
              </w:rPr>
            </w:pPr>
            <w:r>
              <w:rPr>
                <w:b/>
                <w:bCs/>
                <w:color w:val="000000"/>
                <w:spacing w:val="0"/>
                <w:w w:val="100"/>
                <w:position w:val="0"/>
                <w:sz w:val="20"/>
                <w:szCs w:val="2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b/>
                <w:bCs/>
                <w:color w:val="000000"/>
                <w:spacing w:val="0"/>
                <w:w w:val="100"/>
                <w:position w:val="0"/>
                <w:sz w:val="20"/>
                <w:szCs w:val="20"/>
              </w:rPr>
              <w:t>所有者权益合 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b/>
                <w:bCs/>
                <w:color w:val="000000"/>
                <w:spacing w:val="0"/>
                <w:w w:val="100"/>
                <w:position w:val="0"/>
                <w:sz w:val="20"/>
                <w:szCs w:val="2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b/>
                <w:bCs/>
                <w:color w:val="000000"/>
                <w:spacing w:val="0"/>
                <w:w w:val="100"/>
                <w:position w:val="0"/>
                <w:sz w:val="20"/>
                <w:szCs w:val="2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b/>
                <w:bCs/>
                <w:color w:val="000000"/>
                <w:spacing w:val="0"/>
                <w:w w:val="100"/>
                <w:position w:val="0"/>
                <w:sz w:val="20"/>
                <w:szCs w:val="2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557,615,000.00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2,069,693,298.27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146,573,066.69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68,560,890.84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-1,031,943,397.75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1,810,498,858.05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-1,034,859.07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-1,034,859.07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557,615,000.00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2,069,693,298.27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146,573,066.69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68,560,890.84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-1,032,978,256.82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1,809,463,998.98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三、本期增减变动金额（减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307,061.56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-166,932,316.42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-166,625,254.86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307,061.56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-166,932,316.42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-166,625,254.86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8"/>
                <w:szCs w:val="18"/>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61"/>
        <w:gridCol w:w="1574"/>
        <w:gridCol w:w="566"/>
        <w:gridCol w:w="566"/>
        <w:gridCol w:w="283"/>
        <w:gridCol w:w="1416"/>
        <w:gridCol w:w="994"/>
        <w:gridCol w:w="1560"/>
        <w:gridCol w:w="989"/>
        <w:gridCol w:w="1277"/>
        <w:gridCol w:w="1421"/>
        <w:gridCol w:w="1272"/>
        <w:gridCol w:w="14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2019</w:t>
            </w:r>
            <w:r>
              <w:rPr>
                <w:b/>
                <w:bCs/>
                <w:color w:val="000000"/>
                <w:spacing w:val="0"/>
                <w:w w:val="100"/>
                <w:position w:val="0"/>
                <w:sz w:val="20"/>
                <w:szCs w:val="2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b/>
                <w:bCs/>
                <w:color w:val="000000"/>
                <w:spacing w:val="0"/>
                <w:w w:val="100"/>
                <w:position w:val="0"/>
                <w:sz w:val="20"/>
                <w:szCs w:val="20"/>
              </w:rPr>
              <w:t>所有者权益合 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b/>
                <w:bCs/>
                <w:color w:val="000000"/>
                <w:spacing w:val="0"/>
                <w:w w:val="100"/>
                <w:position w:val="0"/>
                <w:sz w:val="20"/>
                <w:szCs w:val="2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b/>
                <w:bCs/>
                <w:color w:val="000000"/>
                <w:spacing w:val="0"/>
                <w:w w:val="100"/>
                <w:position w:val="0"/>
                <w:sz w:val="20"/>
                <w:szCs w:val="2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b/>
                <w:bCs/>
                <w:color w:val="000000"/>
                <w:spacing w:val="0"/>
                <w:w w:val="100"/>
                <w:position w:val="0"/>
                <w:sz w:val="20"/>
                <w:szCs w:val="2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其他综合收益结转留存收</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557,615,000.00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2,069,693,298.27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146,880,128.25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68,560,890.84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-1,199,910,573.24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1,642,838,744.12</w:t>
            </w:r>
          </w:p>
        </w:tc>
      </w:tr>
    </w:tbl>
    <w:p>
      <w:pPr>
        <w:sectPr>
          <w:headerReference w:type="default" r:id="rId95"/>
          <w:footerReference w:type="default" r:id="rId96"/>
          <w:headerReference w:type="even" r:id="rId97"/>
          <w:footerReference w:type="even" r:id="rId98"/>
          <w:footnotePr>
            <w:pos w:val="pageBottom"/>
            <w:numFmt w:val="decimal"/>
            <w:numRestart w:val="continuous"/>
          </w:footnotePr>
          <w:pgSz w:w="16840" w:h="11900" w:orient="landscape"/>
          <w:pgMar w:top="1187" w:right="822" w:bottom="1400" w:left="409" w:header="0" w:footer="3" w:gutter="0"/>
          <w:cols w:space="720"/>
          <w:noEndnote/>
          <w:rtlGutter w:val="0"/>
          <w:docGrid w:linePitch="360"/>
        </w:sectPr>
      </w:pPr>
    </w:p>
    <w:p>
      <w:pPr>
        <w:pStyle w:val="Style42"/>
        <w:keepNext/>
        <w:keepLines/>
        <w:widowControl w:val="0"/>
        <w:shd w:val="clear" w:color="auto" w:fill="auto"/>
        <w:bidi w:val="0"/>
        <w:spacing w:before="420" w:after="220" w:line="240" w:lineRule="auto"/>
        <w:ind w:left="0" w:right="0" w:firstLine="0"/>
        <w:jc w:val="center"/>
        <w:rPr>
          <w:sz w:val="30"/>
          <w:szCs w:val="30"/>
        </w:rPr>
      </w:pPr>
      <w:bookmarkStart w:id="720" w:name="bookmark720"/>
      <w:bookmarkStart w:id="721" w:name="bookmark721"/>
      <w:bookmarkStart w:id="722" w:name="bookmark722"/>
      <w:r>
        <w:rPr>
          <w:color w:val="000000"/>
          <w:spacing w:val="0"/>
          <w:w w:val="100"/>
          <w:position w:val="0"/>
          <w:sz w:val="30"/>
          <w:szCs w:val="30"/>
        </w:rPr>
        <w:t>财务报表附注</w:t>
      </w:r>
      <w:bookmarkEnd w:id="720"/>
      <w:bookmarkEnd w:id="721"/>
      <w:bookmarkEnd w:id="722"/>
    </w:p>
    <w:p>
      <w:pPr>
        <w:pStyle w:val="Style42"/>
        <w:keepNext/>
        <w:keepLines/>
        <w:widowControl w:val="0"/>
        <w:shd w:val="clear" w:color="auto" w:fill="auto"/>
        <w:tabs>
          <w:tab w:pos="513" w:val="left"/>
        </w:tabs>
        <w:bidi w:val="0"/>
        <w:spacing w:before="0" w:after="220" w:line="470" w:lineRule="exact"/>
        <w:ind w:left="0" w:right="0" w:firstLine="0"/>
        <w:jc w:val="both"/>
      </w:pPr>
      <w:bookmarkStart w:id="723" w:name="bookmark723"/>
      <w:bookmarkStart w:id="724" w:name="bookmark724"/>
      <w:bookmarkStart w:id="725" w:name="bookmark725"/>
      <w:bookmarkStart w:id="726" w:name="bookmark726"/>
      <w:r>
        <w:rPr>
          <w:color w:val="000000"/>
          <w:spacing w:val="0"/>
          <w:w w:val="100"/>
          <w:position w:val="0"/>
        </w:rPr>
        <w:t>一</w:t>
      </w:r>
      <w:bookmarkEnd w:id="725"/>
      <w:r>
        <w:rPr>
          <w:color w:val="000000"/>
          <w:spacing w:val="0"/>
          <w:w w:val="100"/>
          <w:position w:val="0"/>
        </w:rPr>
        <w:t>、</w:t>
        <w:tab/>
        <w:t>公司基本情况</w:t>
      </w:r>
      <w:bookmarkEnd w:id="723"/>
      <w:bookmarkEnd w:id="724"/>
      <w:bookmarkEnd w:id="726"/>
    </w:p>
    <w:p>
      <w:pPr>
        <w:pStyle w:val="Style44"/>
        <w:keepNext w:val="0"/>
        <w:keepLines w:val="0"/>
        <w:widowControl w:val="0"/>
        <w:shd w:val="clear" w:color="auto" w:fill="auto"/>
        <w:bidi w:val="0"/>
        <w:spacing w:before="0" w:after="0" w:line="468" w:lineRule="exact"/>
        <w:ind w:left="0" w:right="0" w:firstLine="520"/>
        <w:jc w:val="both"/>
      </w:pPr>
      <w:r>
        <w:rPr>
          <w:color w:val="000000"/>
          <w:spacing w:val="0"/>
          <w:w w:val="100"/>
          <w:position w:val="0"/>
        </w:rPr>
        <w:t>国民技术股份有限公司（以下简称"公司”或</w:t>
      </w:r>
      <w:r>
        <w:rPr>
          <w:color w:val="000000"/>
          <w:spacing w:val="0"/>
          <w:w w:val="100"/>
          <w:position w:val="0"/>
        </w:rPr>
        <w:t>"</w:t>
      </w:r>
      <w:r>
        <w:rPr>
          <w:color w:val="000000"/>
          <w:spacing w:val="0"/>
          <w:w w:val="100"/>
          <w:position w:val="0"/>
        </w:rPr>
        <w:t>本公司”）系由原深圳市中兴集成电路设计 有限责任公司以</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日为基准日整体变更设立的股份有限公司，于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 在深圳市工商行政管理局重新登记注册。公司于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日在深圳证券交易所上市，股票 代码</w:t>
      </w:r>
      <w:r>
        <w:rPr>
          <w:rFonts w:ascii="Times New Roman" w:eastAsia="Times New Roman" w:hAnsi="Times New Roman" w:cs="Times New Roman"/>
          <w:color w:val="000000"/>
          <w:spacing w:val="0"/>
          <w:w w:val="100"/>
          <w:position w:val="0"/>
        </w:rPr>
        <w:t>300077</w:t>
      </w:r>
      <w:r>
        <w:rPr>
          <w:color w:val="000000"/>
          <w:spacing w:val="0"/>
          <w:w w:val="100"/>
          <w:position w:val="0"/>
        </w:rPr>
        <w:t>，现持有统一社会信用代码</w:t>
      </w:r>
      <w:r>
        <w:rPr>
          <w:rFonts w:ascii="Times New Roman" w:eastAsia="Times New Roman" w:hAnsi="Times New Roman" w:cs="Times New Roman"/>
          <w:color w:val="000000"/>
          <w:spacing w:val="0"/>
          <w:w w:val="100"/>
          <w:position w:val="0"/>
        </w:rPr>
        <w:t>914403007152844811</w:t>
      </w:r>
      <w:r>
        <w:rPr>
          <w:color w:val="000000"/>
          <w:spacing w:val="0"/>
          <w:w w:val="100"/>
          <w:position w:val="0"/>
        </w:rPr>
        <w:t>的营业执照，注册资本为</w:t>
      </w:r>
      <w:r>
        <w:rPr>
          <w:rFonts w:ascii="Times New Roman" w:eastAsia="Times New Roman" w:hAnsi="Times New Roman" w:cs="Times New Roman"/>
          <w:color w:val="000000"/>
          <w:spacing w:val="0"/>
          <w:w w:val="100"/>
          <w:position w:val="0"/>
        </w:rPr>
        <w:t xml:space="preserve">55,761.50 </w:t>
      </w:r>
      <w:r>
        <w:rPr>
          <w:color w:val="000000"/>
          <w:spacing w:val="0"/>
          <w:w w:val="100"/>
          <w:position w:val="0"/>
        </w:rPr>
        <w:t>万元，股份总数</w:t>
      </w:r>
      <w:r>
        <w:rPr>
          <w:rFonts w:ascii="Times New Roman" w:eastAsia="Times New Roman" w:hAnsi="Times New Roman" w:cs="Times New Roman"/>
          <w:color w:val="000000"/>
          <w:spacing w:val="0"/>
          <w:w w:val="100"/>
          <w:position w:val="0"/>
        </w:rPr>
        <w:t>55,761.50</w:t>
      </w:r>
      <w:r>
        <w:rPr>
          <w:color w:val="000000"/>
          <w:spacing w:val="0"/>
          <w:w w:val="100"/>
          <w:position w:val="0"/>
        </w:rPr>
        <w:t>万股，注册地址：深圳市南山区西丽街道松坪山社区宝深路</w:t>
      </w:r>
      <w:r>
        <w:rPr>
          <w:rFonts w:ascii="Times New Roman" w:eastAsia="Times New Roman" w:hAnsi="Times New Roman" w:cs="Times New Roman"/>
          <w:color w:val="000000"/>
          <w:spacing w:val="0"/>
          <w:w w:val="100"/>
          <w:position w:val="0"/>
        </w:rPr>
        <w:t>109</w:t>
      </w:r>
      <w:r>
        <w:rPr>
          <w:color w:val="000000"/>
          <w:spacing w:val="0"/>
          <w:w w:val="100"/>
          <w:position w:val="0"/>
        </w:rPr>
        <w:t>号国 民技术大厦</w:t>
      </w:r>
      <w:r>
        <w:rPr>
          <w:rFonts w:ascii="Times New Roman" w:eastAsia="Times New Roman" w:hAnsi="Times New Roman" w:cs="Times New Roman"/>
          <w:color w:val="000000"/>
          <w:spacing w:val="0"/>
          <w:w w:val="100"/>
          <w:position w:val="0"/>
        </w:rPr>
        <w:t>1</w:t>
      </w:r>
      <w:r>
        <w:rPr>
          <w:color w:val="000000"/>
          <w:spacing w:val="0"/>
          <w:w w:val="100"/>
          <w:position w:val="0"/>
        </w:rPr>
        <w:t>楼。</w:t>
      </w:r>
    </w:p>
    <w:p>
      <w:pPr>
        <w:pStyle w:val="Style44"/>
        <w:keepNext w:val="0"/>
        <w:keepLines w:val="0"/>
        <w:widowControl w:val="0"/>
        <w:shd w:val="clear" w:color="auto" w:fill="auto"/>
        <w:bidi w:val="0"/>
        <w:spacing w:before="0" w:after="0" w:line="475" w:lineRule="exact"/>
        <w:ind w:left="0" w:right="0" w:firstLine="520"/>
        <w:jc w:val="both"/>
      </w:pPr>
      <w:r>
        <w:rPr>
          <w:color w:val="000000"/>
          <w:spacing w:val="0"/>
          <w:w w:val="100"/>
          <w:position w:val="0"/>
        </w:rPr>
        <w:t>本公司及子公司分别属于集成电路设计行业及锂电池材料制造业，主要产品及服务为芯片类 产品及技术和锂离子电池负极材料等。</w:t>
      </w:r>
    </w:p>
    <w:p>
      <w:pPr>
        <w:pStyle w:val="Style44"/>
        <w:keepNext w:val="0"/>
        <w:keepLines w:val="0"/>
        <w:widowControl w:val="0"/>
        <w:shd w:val="clear" w:color="auto" w:fill="auto"/>
        <w:bidi w:val="0"/>
        <w:spacing w:before="0" w:after="220" w:line="456" w:lineRule="exact"/>
        <w:ind w:left="0" w:right="0" w:firstLine="52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2020</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rPr>
        <w:t>14</w:t>
      </w:r>
      <w:r>
        <w:rPr>
          <w:color w:val="000000"/>
          <w:spacing w:val="0"/>
          <w:w w:val="100"/>
          <w:position w:val="0"/>
        </w:rPr>
        <w:t>户，详见本附注七</w:t>
      </w:r>
      <w:r>
        <w:rPr>
          <w:rFonts w:ascii="Times New Roman" w:eastAsia="Times New Roman" w:hAnsi="Times New Roman" w:cs="Times New Roman"/>
          <w:color w:val="000000"/>
          <w:spacing w:val="0"/>
          <w:w w:val="100"/>
          <w:position w:val="0"/>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。本 公司本年度合并范围比上年度增加</w:t>
      </w:r>
      <w:r>
        <w:rPr>
          <w:rFonts w:ascii="Times New Roman" w:eastAsia="Times New Roman" w:hAnsi="Times New Roman" w:cs="Times New Roman"/>
          <w:color w:val="000000"/>
          <w:spacing w:val="0"/>
          <w:w w:val="100"/>
          <w:position w:val="0"/>
        </w:rPr>
        <w:t>1</w:t>
      </w:r>
      <w:r>
        <w:rPr>
          <w:color w:val="000000"/>
          <w:spacing w:val="0"/>
          <w:w w:val="100"/>
          <w:position w:val="0"/>
        </w:rPr>
        <w:t>户，详见本附注六</w:t>
      </w:r>
      <w:r>
        <w:rPr>
          <w:rFonts w:ascii="Times New Roman" w:eastAsia="Times New Roman" w:hAnsi="Times New Roman" w:cs="Times New Roman"/>
          <w:color w:val="000000"/>
          <w:spacing w:val="0"/>
          <w:w w:val="100"/>
          <w:position w:val="0"/>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2"/>
        <w:keepNext/>
        <w:keepLines/>
        <w:widowControl w:val="0"/>
        <w:shd w:val="clear" w:color="auto" w:fill="auto"/>
        <w:tabs>
          <w:tab w:pos="513" w:val="left"/>
        </w:tabs>
        <w:bidi w:val="0"/>
        <w:spacing w:before="0" w:after="160" w:line="470" w:lineRule="exact"/>
        <w:ind w:left="0" w:right="0" w:firstLine="0"/>
        <w:jc w:val="left"/>
      </w:pPr>
      <w:bookmarkStart w:id="727" w:name="bookmark727"/>
      <w:bookmarkStart w:id="728" w:name="bookmark728"/>
      <w:bookmarkStart w:id="729" w:name="bookmark729"/>
      <w:bookmarkStart w:id="730" w:name="bookmark730"/>
      <w:r>
        <w:rPr>
          <w:color w:val="000000"/>
          <w:spacing w:val="0"/>
          <w:w w:val="100"/>
          <w:position w:val="0"/>
        </w:rPr>
        <w:t>二</w:t>
      </w:r>
      <w:bookmarkEnd w:id="729"/>
      <w:r>
        <w:rPr>
          <w:color w:val="000000"/>
          <w:spacing w:val="0"/>
          <w:w w:val="100"/>
          <w:position w:val="0"/>
        </w:rPr>
        <w:t>、</w:t>
        <w:tab/>
        <w:t>财务报表的编制基础</w:t>
      </w:r>
      <w:bookmarkEnd w:id="727"/>
      <w:bookmarkEnd w:id="728"/>
      <w:bookmarkEnd w:id="730"/>
    </w:p>
    <w:p>
      <w:pPr>
        <w:pStyle w:val="Style52"/>
        <w:keepNext/>
        <w:keepLines/>
        <w:widowControl w:val="0"/>
        <w:shd w:val="clear" w:color="auto" w:fill="auto"/>
        <w:tabs>
          <w:tab w:pos="369" w:val="left"/>
        </w:tabs>
        <w:bidi w:val="0"/>
        <w:spacing w:before="0" w:after="160" w:line="470" w:lineRule="exact"/>
        <w:ind w:left="0" w:right="0" w:firstLine="0"/>
        <w:jc w:val="left"/>
        <w:rPr>
          <w:sz w:val="24"/>
          <w:szCs w:val="24"/>
        </w:rPr>
      </w:pPr>
      <w:bookmarkStart w:id="731" w:name="bookmark731"/>
      <w:bookmarkStart w:id="732" w:name="bookmark732"/>
      <w:bookmarkStart w:id="733" w:name="bookmark733"/>
      <w:bookmarkStart w:id="734" w:name="bookmark734"/>
      <w:r>
        <w:rPr>
          <w:rFonts w:ascii="Times New Roman" w:eastAsia="Times New Roman" w:hAnsi="Times New Roman" w:cs="Times New Roman"/>
          <w:b w:val="0"/>
          <w:bCs w:val="0"/>
          <w:color w:val="000000"/>
          <w:spacing w:val="0"/>
          <w:w w:val="100"/>
          <w:position w:val="0"/>
          <w:sz w:val="24"/>
          <w:szCs w:val="24"/>
        </w:rPr>
        <w:t>1</w:t>
      </w:r>
      <w:bookmarkEnd w:id="733"/>
      <w:r>
        <w:rPr>
          <w:b w:val="0"/>
          <w:bCs w:val="0"/>
          <w:color w:val="000000"/>
          <w:spacing w:val="0"/>
          <w:w w:val="100"/>
          <w:position w:val="0"/>
          <w:sz w:val="24"/>
          <w:szCs w:val="24"/>
        </w:rPr>
        <w:t>、</w:t>
        <w:tab/>
        <w:t>编制基础</w:t>
      </w:r>
      <w:bookmarkEnd w:id="731"/>
      <w:bookmarkEnd w:id="732"/>
      <w:bookmarkEnd w:id="734"/>
    </w:p>
    <w:p>
      <w:pPr>
        <w:pStyle w:val="Style44"/>
        <w:keepNext w:val="0"/>
        <w:keepLines w:val="0"/>
        <w:widowControl w:val="0"/>
        <w:shd w:val="clear" w:color="auto" w:fill="auto"/>
        <w:bidi w:val="0"/>
        <w:spacing w:before="0" w:after="0" w:line="472" w:lineRule="exact"/>
        <w:ind w:left="0" w:right="0" w:firstLine="520"/>
        <w:jc w:val="both"/>
      </w:pPr>
      <w:r>
        <w:rPr>
          <w:color w:val="000000"/>
          <w:spacing w:val="0"/>
          <w:w w:val="100"/>
          <w:position w:val="0"/>
        </w:rPr>
        <w:t>本公司财务报表以持续经营假设为基础，根据实际发生的交易和事项，按照财政部于</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日及以后颁布的《企业会计准则一基本准则》和各项具体会计准则、企业会计准则 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 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号——财务报告的一般规定》的披露规 定编制。</w:t>
      </w:r>
    </w:p>
    <w:p>
      <w:pPr>
        <w:pStyle w:val="Style44"/>
        <w:keepNext w:val="0"/>
        <w:keepLines w:val="0"/>
        <w:widowControl w:val="0"/>
        <w:shd w:val="clear" w:color="auto" w:fill="auto"/>
        <w:bidi w:val="0"/>
        <w:spacing w:before="0" w:after="220" w:line="470" w:lineRule="exact"/>
        <w:ind w:left="0" w:right="0" w:firstLine="520"/>
        <w:jc w:val="both"/>
      </w:pPr>
      <w:r>
        <w:rPr>
          <w:color w:val="000000"/>
          <w:spacing w:val="0"/>
          <w:w w:val="100"/>
          <w:position w:val="0"/>
        </w:rPr>
        <w:t>根据企业会计准则的相关规定，本公司会计核算以权责发生制为基础。除部分金融工具和采 用公允价值模式进行后续计量的投资性房地产外，本财务报表均以历史成本为计量基础。持有待 售的非流动资产，按公允价值减去预计费用后的金额，以及符合持有待售条件时的原账面价值， 取两者孰低计价。资产如果发生减值，则按照相关规定计提相应的减值准备。</w:t>
      </w:r>
    </w:p>
    <w:p>
      <w:pPr>
        <w:pStyle w:val="Style52"/>
        <w:keepNext/>
        <w:keepLines/>
        <w:widowControl w:val="0"/>
        <w:shd w:val="clear" w:color="auto" w:fill="auto"/>
        <w:tabs>
          <w:tab w:pos="393" w:val="left"/>
        </w:tabs>
        <w:bidi w:val="0"/>
        <w:spacing w:before="0" w:after="160" w:line="470" w:lineRule="exact"/>
        <w:ind w:left="0" w:right="0" w:firstLine="0"/>
        <w:jc w:val="left"/>
        <w:rPr>
          <w:sz w:val="24"/>
          <w:szCs w:val="24"/>
        </w:rPr>
      </w:pPr>
      <w:bookmarkStart w:id="735" w:name="bookmark735"/>
      <w:bookmarkStart w:id="736" w:name="bookmark736"/>
      <w:bookmarkStart w:id="737" w:name="bookmark737"/>
      <w:bookmarkStart w:id="738" w:name="bookmark738"/>
      <w:r>
        <w:rPr>
          <w:rFonts w:ascii="Times New Roman" w:eastAsia="Times New Roman" w:hAnsi="Times New Roman" w:cs="Times New Roman"/>
          <w:b w:val="0"/>
          <w:bCs w:val="0"/>
          <w:color w:val="000000"/>
          <w:spacing w:val="0"/>
          <w:w w:val="100"/>
          <w:position w:val="0"/>
          <w:sz w:val="24"/>
          <w:szCs w:val="24"/>
        </w:rPr>
        <w:t>2</w:t>
      </w:r>
      <w:bookmarkEnd w:id="737"/>
      <w:r>
        <w:rPr>
          <w:b w:val="0"/>
          <w:bCs w:val="0"/>
          <w:color w:val="000000"/>
          <w:spacing w:val="0"/>
          <w:w w:val="100"/>
          <w:position w:val="0"/>
          <w:sz w:val="24"/>
          <w:szCs w:val="24"/>
        </w:rPr>
        <w:t>、</w:t>
        <w:tab/>
        <w:t>持续经营</w:t>
      </w:r>
      <w:bookmarkEnd w:id="735"/>
      <w:bookmarkEnd w:id="736"/>
      <w:bookmarkEnd w:id="738"/>
    </w:p>
    <w:p>
      <w:pPr>
        <w:pStyle w:val="Style44"/>
        <w:keepNext w:val="0"/>
        <w:keepLines w:val="0"/>
        <w:widowControl w:val="0"/>
        <w:shd w:val="clear" w:color="auto" w:fill="auto"/>
        <w:bidi w:val="0"/>
        <w:spacing w:before="0" w:after="160" w:line="470" w:lineRule="exact"/>
        <w:ind w:left="0" w:right="0" w:firstLine="520"/>
        <w:jc w:val="both"/>
      </w:pPr>
      <w:r>
        <w:rPr>
          <w:color w:val="000000"/>
          <w:spacing w:val="0"/>
          <w:w w:val="100"/>
          <w:position w:val="0"/>
        </w:rPr>
        <w:t>公司自本报告期末至少</w:t>
      </w:r>
      <w:r>
        <w:rPr>
          <w:rFonts w:ascii="Times New Roman" w:eastAsia="Times New Roman" w:hAnsi="Times New Roman" w:cs="Times New Roman"/>
          <w:color w:val="000000"/>
          <w:spacing w:val="0"/>
          <w:w w:val="100"/>
          <w:position w:val="0"/>
        </w:rPr>
        <w:t>12</w:t>
      </w:r>
      <w:r>
        <w:rPr>
          <w:color w:val="000000"/>
          <w:spacing w:val="0"/>
          <w:w w:val="100"/>
          <w:position w:val="0"/>
        </w:rPr>
        <w:t>个月内具备持续经营能力，无影响持续经营能力的重大事项。</w:t>
      </w:r>
    </w:p>
    <w:p>
      <w:pPr>
        <w:pStyle w:val="Style42"/>
        <w:keepNext/>
        <w:keepLines/>
        <w:widowControl w:val="0"/>
        <w:shd w:val="clear" w:color="auto" w:fill="auto"/>
        <w:bidi w:val="0"/>
        <w:spacing w:before="0" w:after="200" w:line="466" w:lineRule="exact"/>
        <w:ind w:left="0" w:right="0" w:firstLine="0"/>
        <w:jc w:val="left"/>
      </w:pPr>
      <w:bookmarkStart w:id="739" w:name="bookmark739"/>
      <w:bookmarkStart w:id="740" w:name="bookmark740"/>
      <w:bookmarkStart w:id="741" w:name="bookmark741"/>
      <w:bookmarkStart w:id="742" w:name="bookmark742"/>
      <w:r>
        <w:rPr>
          <w:color w:val="000000"/>
          <w:spacing w:val="0"/>
          <w:w w:val="100"/>
          <w:position w:val="0"/>
        </w:rPr>
        <w:t>三</w:t>
      </w:r>
      <w:bookmarkEnd w:id="741"/>
      <w:r>
        <w:rPr>
          <w:color w:val="000000"/>
          <w:spacing w:val="0"/>
          <w:w w:val="100"/>
          <w:position w:val="0"/>
        </w:rPr>
        <w:t>、公司主要会计政策、会计估计</w:t>
      </w:r>
      <w:bookmarkEnd w:id="739"/>
      <w:bookmarkEnd w:id="740"/>
      <w:bookmarkEnd w:id="742"/>
    </w:p>
    <w:p>
      <w:pPr>
        <w:pStyle w:val="Style52"/>
        <w:keepNext/>
        <w:keepLines/>
        <w:widowControl w:val="0"/>
        <w:shd w:val="clear" w:color="auto" w:fill="auto"/>
        <w:tabs>
          <w:tab w:pos="357" w:val="left"/>
        </w:tabs>
        <w:bidi w:val="0"/>
        <w:spacing w:before="0" w:after="200" w:line="466" w:lineRule="exact"/>
        <w:ind w:left="0" w:right="0" w:firstLine="0"/>
        <w:jc w:val="left"/>
        <w:rPr>
          <w:sz w:val="19"/>
          <w:szCs w:val="19"/>
        </w:rPr>
      </w:pPr>
      <w:bookmarkStart w:id="743" w:name="bookmark743"/>
      <w:bookmarkStart w:id="744" w:name="bookmark744"/>
      <w:bookmarkStart w:id="745" w:name="bookmark745"/>
      <w:bookmarkStart w:id="746" w:name="bookmark746"/>
      <w:r>
        <w:rPr>
          <w:rFonts w:ascii="Times New Roman" w:eastAsia="Times New Roman" w:hAnsi="Times New Roman" w:cs="Times New Roman"/>
          <w:b w:val="0"/>
          <w:bCs w:val="0"/>
          <w:color w:val="000000"/>
          <w:spacing w:val="0"/>
          <w:w w:val="100"/>
          <w:position w:val="0"/>
          <w:sz w:val="20"/>
          <w:szCs w:val="20"/>
        </w:rPr>
        <w:t>1</w:t>
      </w:r>
      <w:bookmarkEnd w:id="745"/>
      <w:r>
        <w:rPr>
          <w:rFonts w:ascii="SimHei" w:eastAsia="SimHei" w:hAnsi="SimHei" w:cs="SimHei"/>
          <w:b w:val="0"/>
          <w:bCs w:val="0"/>
          <w:color w:val="000000"/>
          <w:spacing w:val="0"/>
          <w:w w:val="100"/>
          <w:position w:val="0"/>
          <w:sz w:val="19"/>
          <w:szCs w:val="19"/>
        </w:rPr>
        <w:t>、</w:t>
        <w:tab/>
      </w:r>
      <w:r>
        <w:rPr>
          <w:b w:val="0"/>
          <w:bCs w:val="0"/>
          <w:color w:val="000000"/>
          <w:spacing w:val="0"/>
          <w:w w:val="100"/>
          <w:position w:val="0"/>
          <w:sz w:val="22"/>
          <w:szCs w:val="22"/>
        </w:rPr>
        <w:t>遵循企业会计准则的声</w:t>
      </w:r>
      <w:r>
        <w:rPr>
          <w:rFonts w:ascii="SimHei" w:eastAsia="SimHei" w:hAnsi="SimHei" w:cs="SimHei"/>
          <w:b w:val="0"/>
          <w:bCs w:val="0"/>
          <w:color w:val="000000"/>
          <w:spacing w:val="0"/>
          <w:w w:val="100"/>
          <w:position w:val="0"/>
          <w:sz w:val="19"/>
          <w:szCs w:val="19"/>
        </w:rPr>
        <w:t>明</w:t>
      </w:r>
      <w:bookmarkEnd w:id="743"/>
      <w:bookmarkEnd w:id="744"/>
      <w:bookmarkEnd w:id="746"/>
    </w:p>
    <w:p>
      <w:pPr>
        <w:pStyle w:val="Style44"/>
        <w:keepNext w:val="0"/>
        <w:keepLines w:val="0"/>
        <w:widowControl w:val="0"/>
        <w:shd w:val="clear" w:color="auto" w:fill="auto"/>
        <w:bidi w:val="0"/>
        <w:spacing w:before="0" w:after="200" w:line="461" w:lineRule="exact"/>
        <w:ind w:left="0" w:right="0" w:firstLine="520"/>
        <w:jc w:val="both"/>
      </w:pPr>
      <w:r>
        <w:rPr>
          <w:color w:val="000000"/>
          <w:spacing w:val="0"/>
          <w:w w:val="100"/>
          <w:position w:val="0"/>
        </w:rPr>
        <w:t>本财务报表符合企业会计准则的要求，真实、完整地反映了本公司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 并及公司财务状况以及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年度的合并及公司经营成果和现金流量。</w:t>
      </w:r>
    </w:p>
    <w:p>
      <w:pPr>
        <w:pStyle w:val="Style52"/>
        <w:keepNext/>
        <w:keepLines/>
        <w:widowControl w:val="0"/>
        <w:shd w:val="clear" w:color="auto" w:fill="auto"/>
        <w:tabs>
          <w:tab w:pos="402" w:val="left"/>
        </w:tabs>
        <w:bidi w:val="0"/>
        <w:spacing w:before="0" w:after="200" w:line="466" w:lineRule="exact"/>
        <w:ind w:left="0" w:right="0" w:firstLine="0"/>
        <w:jc w:val="both"/>
        <w:rPr>
          <w:sz w:val="24"/>
          <w:szCs w:val="24"/>
        </w:rPr>
      </w:pPr>
      <w:bookmarkStart w:id="747" w:name="bookmark747"/>
      <w:bookmarkStart w:id="748" w:name="bookmark748"/>
      <w:bookmarkStart w:id="749" w:name="bookmark749"/>
      <w:bookmarkStart w:id="750" w:name="bookmark750"/>
      <w:r>
        <w:rPr>
          <w:rFonts w:ascii="Times New Roman" w:eastAsia="Times New Roman" w:hAnsi="Times New Roman" w:cs="Times New Roman"/>
          <w:b w:val="0"/>
          <w:bCs w:val="0"/>
          <w:color w:val="000000"/>
          <w:spacing w:val="0"/>
          <w:w w:val="100"/>
          <w:position w:val="0"/>
          <w:sz w:val="24"/>
          <w:szCs w:val="24"/>
        </w:rPr>
        <w:t>2</w:t>
      </w:r>
      <w:bookmarkEnd w:id="749"/>
      <w:r>
        <w:rPr>
          <w:b w:val="0"/>
          <w:bCs w:val="0"/>
          <w:color w:val="000000"/>
          <w:spacing w:val="0"/>
          <w:w w:val="100"/>
          <w:position w:val="0"/>
          <w:sz w:val="24"/>
          <w:szCs w:val="24"/>
        </w:rPr>
        <w:t>、</w:t>
        <w:tab/>
        <w:t>会计期间</w:t>
      </w:r>
      <w:bookmarkEnd w:id="747"/>
      <w:bookmarkEnd w:id="748"/>
      <w:bookmarkEnd w:id="750"/>
    </w:p>
    <w:p>
      <w:pPr>
        <w:pStyle w:val="Style44"/>
        <w:keepNext w:val="0"/>
        <w:keepLines w:val="0"/>
        <w:widowControl w:val="0"/>
        <w:shd w:val="clear" w:color="auto" w:fill="auto"/>
        <w:bidi w:val="0"/>
        <w:spacing w:before="0" w:after="200" w:line="466" w:lineRule="exact"/>
        <w:ind w:left="0" w:right="0" w:firstLine="520"/>
        <w:jc w:val="both"/>
      </w:pPr>
      <w:r>
        <w:rPr>
          <w:color w:val="000000"/>
          <w:spacing w:val="0"/>
          <w:w w:val="100"/>
          <w:position w:val="0"/>
        </w:rPr>
        <w:t>本公司的会计期间分为年度和中期，会计中期指短于一个完整的会计年度的报告期间。本公 司会计年度采用公历年度，即每年自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52"/>
        <w:keepNext/>
        <w:keepLines/>
        <w:widowControl w:val="0"/>
        <w:shd w:val="clear" w:color="auto" w:fill="auto"/>
        <w:tabs>
          <w:tab w:pos="402" w:val="left"/>
        </w:tabs>
        <w:bidi w:val="0"/>
        <w:spacing w:before="0" w:after="200" w:line="466" w:lineRule="exact"/>
        <w:ind w:left="0" w:right="0" w:firstLine="0"/>
        <w:jc w:val="both"/>
        <w:rPr>
          <w:sz w:val="24"/>
          <w:szCs w:val="24"/>
        </w:rPr>
      </w:pPr>
      <w:bookmarkStart w:id="751" w:name="bookmark751"/>
      <w:bookmarkStart w:id="752" w:name="bookmark752"/>
      <w:bookmarkStart w:id="753" w:name="bookmark753"/>
      <w:bookmarkStart w:id="754" w:name="bookmark754"/>
      <w:r>
        <w:rPr>
          <w:rFonts w:ascii="Times New Roman" w:eastAsia="Times New Roman" w:hAnsi="Times New Roman" w:cs="Times New Roman"/>
          <w:b w:val="0"/>
          <w:bCs w:val="0"/>
          <w:color w:val="000000"/>
          <w:spacing w:val="0"/>
          <w:w w:val="100"/>
          <w:position w:val="0"/>
          <w:sz w:val="24"/>
          <w:szCs w:val="24"/>
        </w:rPr>
        <w:t>3</w:t>
      </w:r>
      <w:bookmarkEnd w:id="753"/>
      <w:r>
        <w:rPr>
          <w:b w:val="0"/>
          <w:bCs w:val="0"/>
          <w:color w:val="000000"/>
          <w:spacing w:val="0"/>
          <w:w w:val="100"/>
          <w:position w:val="0"/>
          <w:sz w:val="24"/>
          <w:szCs w:val="24"/>
        </w:rPr>
        <w:t>、</w:t>
        <w:tab/>
        <w:t>营业周期</w:t>
      </w:r>
      <w:bookmarkEnd w:id="751"/>
      <w:bookmarkEnd w:id="752"/>
      <w:bookmarkEnd w:id="754"/>
    </w:p>
    <w:p>
      <w:pPr>
        <w:pStyle w:val="Style44"/>
        <w:keepNext w:val="0"/>
        <w:keepLines w:val="0"/>
        <w:widowControl w:val="0"/>
        <w:shd w:val="clear" w:color="auto" w:fill="auto"/>
        <w:bidi w:val="0"/>
        <w:spacing w:before="0" w:after="200" w:line="461" w:lineRule="exact"/>
        <w:ind w:left="0" w:right="0" w:firstLine="520"/>
        <w:jc w:val="both"/>
      </w:pPr>
      <w:r>
        <w:rPr>
          <w:color w:val="000000"/>
          <w:spacing w:val="0"/>
          <w:w w:val="100"/>
          <w:position w:val="0"/>
        </w:rPr>
        <w:t>正常营业周期是指本公司从购买用于加工的资产起至实现现金或现金等价物的期间。本公司 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个月作为一个营业周期，并以其作为资产和负债的流动性划分标准。</w:t>
      </w:r>
    </w:p>
    <w:p>
      <w:pPr>
        <w:pStyle w:val="Style52"/>
        <w:keepNext/>
        <w:keepLines/>
        <w:widowControl w:val="0"/>
        <w:shd w:val="clear" w:color="auto" w:fill="auto"/>
        <w:tabs>
          <w:tab w:pos="402" w:val="left"/>
        </w:tabs>
        <w:bidi w:val="0"/>
        <w:spacing w:before="0" w:after="200" w:line="466" w:lineRule="exact"/>
        <w:ind w:left="0" w:right="0" w:firstLine="0"/>
        <w:jc w:val="both"/>
        <w:rPr>
          <w:sz w:val="24"/>
          <w:szCs w:val="24"/>
        </w:rPr>
      </w:pPr>
      <w:bookmarkStart w:id="755" w:name="bookmark755"/>
      <w:bookmarkStart w:id="756" w:name="bookmark756"/>
      <w:bookmarkStart w:id="757" w:name="bookmark757"/>
      <w:bookmarkStart w:id="758" w:name="bookmark758"/>
      <w:r>
        <w:rPr>
          <w:rFonts w:ascii="Times New Roman" w:eastAsia="Times New Roman" w:hAnsi="Times New Roman" w:cs="Times New Roman"/>
          <w:b w:val="0"/>
          <w:bCs w:val="0"/>
          <w:color w:val="000000"/>
          <w:spacing w:val="0"/>
          <w:w w:val="100"/>
          <w:position w:val="0"/>
          <w:sz w:val="24"/>
          <w:szCs w:val="24"/>
        </w:rPr>
        <w:t>4</w:t>
      </w:r>
      <w:bookmarkEnd w:id="757"/>
      <w:r>
        <w:rPr>
          <w:b w:val="0"/>
          <w:bCs w:val="0"/>
          <w:color w:val="000000"/>
          <w:spacing w:val="0"/>
          <w:w w:val="100"/>
          <w:position w:val="0"/>
          <w:sz w:val="24"/>
          <w:szCs w:val="24"/>
        </w:rPr>
        <w:t>、</w:t>
        <w:tab/>
        <w:t>记账本位币</w:t>
      </w:r>
      <w:bookmarkEnd w:id="755"/>
      <w:bookmarkEnd w:id="756"/>
      <w:bookmarkEnd w:id="758"/>
    </w:p>
    <w:p>
      <w:pPr>
        <w:pStyle w:val="Style44"/>
        <w:keepNext w:val="0"/>
        <w:keepLines w:val="0"/>
        <w:widowControl w:val="0"/>
        <w:shd w:val="clear" w:color="auto" w:fill="auto"/>
        <w:bidi w:val="0"/>
        <w:spacing w:before="0" w:after="200" w:line="466" w:lineRule="exact"/>
        <w:ind w:left="0" w:right="0" w:firstLine="620"/>
        <w:jc w:val="both"/>
      </w:pPr>
      <w:r>
        <w:rPr>
          <w:color w:val="000000"/>
          <w:spacing w:val="0"/>
          <w:w w:val="100"/>
          <w:position w:val="0"/>
        </w:rPr>
        <w:t>本公司以人民币为记账本位币。</w:t>
      </w:r>
    </w:p>
    <w:p>
      <w:pPr>
        <w:pStyle w:val="Style52"/>
        <w:keepNext/>
        <w:keepLines/>
        <w:widowControl w:val="0"/>
        <w:shd w:val="clear" w:color="auto" w:fill="auto"/>
        <w:tabs>
          <w:tab w:pos="402" w:val="left"/>
        </w:tabs>
        <w:bidi w:val="0"/>
        <w:spacing w:before="0" w:after="200" w:line="466" w:lineRule="exact"/>
        <w:ind w:left="0" w:right="0" w:firstLine="0"/>
        <w:jc w:val="left"/>
        <w:rPr>
          <w:sz w:val="24"/>
          <w:szCs w:val="24"/>
        </w:rPr>
      </w:pPr>
      <w:bookmarkStart w:id="759" w:name="bookmark759"/>
      <w:bookmarkStart w:id="760" w:name="bookmark760"/>
      <w:bookmarkStart w:id="761" w:name="bookmark761"/>
      <w:bookmarkStart w:id="762" w:name="bookmark762"/>
      <w:r>
        <w:rPr>
          <w:rFonts w:ascii="Times New Roman" w:eastAsia="Times New Roman" w:hAnsi="Times New Roman" w:cs="Times New Roman"/>
          <w:b w:val="0"/>
          <w:bCs w:val="0"/>
          <w:color w:val="000000"/>
          <w:spacing w:val="0"/>
          <w:w w:val="100"/>
          <w:position w:val="0"/>
          <w:sz w:val="24"/>
          <w:szCs w:val="24"/>
        </w:rPr>
        <w:t>5</w:t>
      </w:r>
      <w:bookmarkEnd w:id="761"/>
      <w:r>
        <w:rPr>
          <w:b w:val="0"/>
          <w:bCs w:val="0"/>
          <w:color w:val="000000"/>
          <w:spacing w:val="0"/>
          <w:w w:val="100"/>
          <w:position w:val="0"/>
          <w:sz w:val="24"/>
          <w:szCs w:val="24"/>
        </w:rPr>
        <w:t>、</w:t>
        <w:tab/>
        <w:t>同一控制下和非同一控制下企业合并的会计处理方法</w:t>
      </w:r>
      <w:bookmarkEnd w:id="759"/>
      <w:bookmarkEnd w:id="760"/>
      <w:bookmarkEnd w:id="762"/>
    </w:p>
    <w:p>
      <w:pPr>
        <w:pStyle w:val="Style44"/>
        <w:keepNext w:val="0"/>
        <w:keepLines w:val="0"/>
        <w:widowControl w:val="0"/>
        <w:shd w:val="clear" w:color="auto" w:fill="auto"/>
        <w:bidi w:val="0"/>
        <w:spacing w:before="0" w:after="40" w:line="480" w:lineRule="exact"/>
        <w:ind w:left="0" w:right="0" w:firstLine="520"/>
        <w:jc w:val="both"/>
      </w:pPr>
      <w:r>
        <w:rPr>
          <w:color w:val="000000"/>
          <w:spacing w:val="0"/>
          <w:w w:val="100"/>
          <w:position w:val="0"/>
        </w:rPr>
        <w:t>企业合并，是指将两个或两个以上单独的企业合并形成一个报告主体的交易或事项。企业合 并分为同一控制下企业合并和非同一控制下企业合并。</w:t>
      </w:r>
    </w:p>
    <w:p>
      <w:pPr>
        <w:pStyle w:val="Style44"/>
        <w:keepNext w:val="0"/>
        <w:keepLines w:val="0"/>
        <w:widowControl w:val="0"/>
        <w:shd w:val="clear" w:color="auto" w:fill="auto"/>
        <w:tabs>
          <w:tab w:pos="1032" w:val="left"/>
        </w:tabs>
        <w:bidi w:val="0"/>
        <w:spacing w:before="0" w:after="40" w:line="480" w:lineRule="exact"/>
        <w:ind w:left="0" w:right="0" w:firstLine="520"/>
        <w:jc w:val="both"/>
      </w:pPr>
      <w:bookmarkStart w:id="763" w:name="bookmark763"/>
      <w:r>
        <w:rPr>
          <w:color w:val="000000"/>
          <w:spacing w:val="0"/>
          <w:w w:val="100"/>
          <w:position w:val="0"/>
        </w:rPr>
        <w:t>（</w:t>
      </w:r>
      <w:bookmarkEnd w:id="763"/>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p>
    <w:p>
      <w:pPr>
        <w:pStyle w:val="Style44"/>
        <w:keepNext w:val="0"/>
        <w:keepLines w:val="0"/>
        <w:widowControl w:val="0"/>
        <w:shd w:val="clear" w:color="auto" w:fill="auto"/>
        <w:bidi w:val="0"/>
        <w:spacing w:before="0" w:after="40" w:line="467" w:lineRule="exact"/>
        <w:ind w:left="0" w:right="0" w:firstLine="520"/>
        <w:jc w:val="both"/>
      </w:pPr>
      <w:r>
        <w:rPr>
          <w:color w:val="000000"/>
          <w:spacing w:val="0"/>
          <w:w w:val="100"/>
          <w:position w:val="0"/>
        </w:rPr>
        <w:t>参与合并的企业在合并前后均受同一方或相同的多方最终控制，且该控制并非暂时性的，为 同一控制下的企业合并。同一控制下的企业合并，在合并日取得对其他参与合并企业控制权的一 方为合并方，参与合并的其他企业为被合并方。合并日，是指合并方实际取得对被合并方控制权 的日期。</w:t>
      </w:r>
    </w:p>
    <w:p>
      <w:pPr>
        <w:pStyle w:val="Style44"/>
        <w:keepNext w:val="0"/>
        <w:keepLines w:val="0"/>
        <w:widowControl w:val="0"/>
        <w:shd w:val="clear" w:color="auto" w:fill="auto"/>
        <w:bidi w:val="0"/>
        <w:spacing w:before="0" w:after="40" w:line="454" w:lineRule="exact"/>
        <w:ind w:left="0" w:right="0" w:firstLine="520"/>
        <w:jc w:val="both"/>
      </w:pPr>
      <w:r>
        <w:rPr>
          <w:color w:val="000000"/>
          <w:spacing w:val="0"/>
          <w:w w:val="100"/>
          <w:position w:val="0"/>
        </w:rPr>
        <w:t>合并方取得的资产和负债均按合并日在被合并方的账面价值计量。合并方取得的净资产账面 价值与支付的合并对价账面价值（或发行股份面值总额）的差额，调整资本公积（股本溢价）； 资本公积（股本溢价）不足以冲减的，调整留存收益。</w:t>
      </w:r>
    </w:p>
    <w:p>
      <w:pPr>
        <w:pStyle w:val="Style44"/>
        <w:keepNext w:val="0"/>
        <w:keepLines w:val="0"/>
        <w:widowControl w:val="0"/>
        <w:shd w:val="clear" w:color="auto" w:fill="auto"/>
        <w:bidi w:val="0"/>
        <w:spacing w:before="0" w:after="40" w:line="466" w:lineRule="exact"/>
        <w:ind w:left="0" w:right="0" w:firstLine="520"/>
        <w:jc w:val="both"/>
      </w:pPr>
      <w:r>
        <w:rPr>
          <w:color w:val="000000"/>
          <w:spacing w:val="0"/>
          <w:w w:val="100"/>
          <w:position w:val="0"/>
        </w:rPr>
        <w:t>合并方为进行企业合并发生的各项直接费用，于发生时计入当期损益。</w:t>
      </w:r>
    </w:p>
    <w:p>
      <w:pPr>
        <w:pStyle w:val="Style44"/>
        <w:keepNext w:val="0"/>
        <w:keepLines w:val="0"/>
        <w:widowControl w:val="0"/>
        <w:shd w:val="clear" w:color="auto" w:fill="auto"/>
        <w:tabs>
          <w:tab w:pos="1032" w:val="left"/>
        </w:tabs>
        <w:bidi w:val="0"/>
        <w:spacing w:before="0" w:after="200" w:line="466" w:lineRule="exact"/>
        <w:ind w:left="0" w:right="0" w:firstLine="520"/>
        <w:jc w:val="both"/>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非同一控制下企业合并</w:t>
      </w:r>
    </w:p>
    <w:p>
      <w:pPr>
        <w:pStyle w:val="Style44"/>
        <w:keepNext w:val="0"/>
        <w:keepLines w:val="0"/>
        <w:widowControl w:val="0"/>
        <w:shd w:val="clear" w:color="auto" w:fill="auto"/>
        <w:bidi w:val="0"/>
        <w:spacing w:before="0" w:after="0" w:line="471" w:lineRule="exact"/>
        <w:ind w:left="0" w:right="0" w:firstLine="520"/>
        <w:jc w:val="both"/>
      </w:pPr>
      <w:r>
        <w:rPr>
          <w:color w:val="000000"/>
          <w:spacing w:val="0"/>
          <w:w w:val="100"/>
          <w:position w:val="0"/>
        </w:rPr>
        <w:t>参与合并的企业在合并前后不受同一方或相同的多方最终控制的，为非同一控制下的企业合 并。非同一控制下的企业合并，在购买日取得对其他参与合并企业控制权的一方为购买方，参与 合并的其他企业为被购买方。购买日，是指为购买方实际取得对被购买方控制权的日期。</w:t>
      </w:r>
    </w:p>
    <w:p>
      <w:pPr>
        <w:pStyle w:val="Style44"/>
        <w:keepNext w:val="0"/>
        <w:keepLines w:val="0"/>
        <w:widowControl w:val="0"/>
        <w:shd w:val="clear" w:color="auto" w:fill="auto"/>
        <w:bidi w:val="0"/>
        <w:spacing w:before="0" w:after="0" w:line="471" w:lineRule="exact"/>
        <w:ind w:left="0" w:right="0" w:firstLine="520"/>
        <w:jc w:val="both"/>
      </w:pPr>
      <w:r>
        <w:rPr>
          <w:color w:val="000000"/>
          <w:spacing w:val="0"/>
          <w:w w:val="100"/>
          <w:position w:val="0"/>
        </w:rPr>
        <w:t>对于非同一控制下的企业合并，合并成本包含购买日购买方为取得对被购买方的控制权而付 出的资产、发生或承担的负债以及发行的权益性证券的公允价值，为企业合并发生的审计、法律 服务、评估咨询等中介费用以及其他管理费用于发生时计入当期损益。购买方作为合并对价发行 的权益性证券或债务性证券的交易费用，计入权益性证券或债务性证券的初始确认金额。所涉及 的或有对价按其在购买日的公允价值计入合并成本，购买日后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个月内出现对购买日已存在情 况的新的或进一步证据而需要调整或有对价的，相应调整合并商誉。购买方发生的合并成本及在 合并中取得的可辨认净资产按购买日的公允价值计量。合并成本大于合并中取得的被购买方于购 买日可辨认净资产公允价值份额的差额，确认为商誉。合并成本小于合并中取得的被购买方可辨 认净资产公允价值份额的，首先对取得的被购买方各项可辨认资产、负债及或有负债的公允价值 以及合并成本的计量进行复核，复核后合并成本仍小于合并中取得的被购买方可辨认净资产公允 价值份额的，其差额计入当期损益。</w:t>
      </w:r>
    </w:p>
    <w:p>
      <w:pPr>
        <w:pStyle w:val="Style44"/>
        <w:keepNext w:val="0"/>
        <w:keepLines w:val="0"/>
        <w:widowControl w:val="0"/>
        <w:shd w:val="clear" w:color="auto" w:fill="auto"/>
        <w:bidi w:val="0"/>
        <w:spacing w:before="0" w:after="0" w:line="468" w:lineRule="exact"/>
        <w:ind w:left="0" w:right="0" w:firstLine="520"/>
        <w:jc w:val="both"/>
      </w:pPr>
      <w:r>
        <w:rPr>
          <w:color w:val="000000"/>
          <w:spacing w:val="0"/>
          <w:w w:val="100"/>
          <w:position w:val="0"/>
        </w:rPr>
        <w:t>购买方取得被购买方的可抵扣暂时性差异，在购买日因不符合递延所得税资产确认条件而未 予确认的，在购买日后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个月内，如取得新的或进一步的信息表明购买日的相关情况已经存在， 预期被购买方在购买日可抵扣暂时性差异带来的经济利益能够实现的，则确认相关的递延所得税 资产，同时减少商誉，商誉不足冲减的，差额部分确认为当期损益；除上述情况以外，确认与企 业合并相关的递延所得税资产的，计入当期损益。</w:t>
      </w:r>
    </w:p>
    <w:p>
      <w:pPr>
        <w:pStyle w:val="Style44"/>
        <w:keepNext w:val="0"/>
        <w:keepLines w:val="0"/>
        <w:widowControl w:val="0"/>
        <w:shd w:val="clear" w:color="auto" w:fill="auto"/>
        <w:bidi w:val="0"/>
        <w:spacing w:before="0" w:after="0" w:line="469" w:lineRule="exact"/>
        <w:ind w:left="0" w:right="0" w:firstLine="520"/>
        <w:jc w:val="both"/>
      </w:pPr>
      <w:r>
        <w:rPr>
          <w:color w:val="000000"/>
          <w:spacing w:val="0"/>
          <w:w w:val="100"/>
          <w:position w:val="0"/>
        </w:rPr>
        <w:t>通过多次交易分步实现的非同一控制下企业合并，根据《财政部关于印发企业会计准则解释 第</w:t>
      </w:r>
      <w:r>
        <w:rPr>
          <w:rFonts w:ascii="Times New Roman" w:eastAsia="Times New Roman" w:hAnsi="Times New Roman" w:cs="Times New Roman"/>
          <w:color w:val="000000"/>
          <w:spacing w:val="0"/>
          <w:w w:val="100"/>
          <w:position w:val="0"/>
        </w:rPr>
        <w:t>5</w:t>
      </w:r>
      <w:r>
        <w:rPr>
          <w:color w:val="000000"/>
          <w:spacing w:val="0"/>
          <w:w w:val="100"/>
          <w:position w:val="0"/>
        </w:rPr>
        <w:t>号的通知》(财会(</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号一合并财务报表》第五十一条 关于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的判断标准(参见本附注三、</w:t>
      </w:r>
      <w:r>
        <w:rPr>
          <w:rFonts w:ascii="Times New Roman" w:eastAsia="Times New Roman" w:hAnsi="Times New Roman" w:cs="Times New Roman"/>
          <w:color w:val="000000"/>
          <w:spacing w:val="0"/>
          <w:w w:val="100"/>
          <w:position w:val="0"/>
        </w:rPr>
        <w:t>6 (2</w:t>
      </w:r>
      <w:r>
        <w:rPr>
          <w:color w:val="000000"/>
          <w:spacing w:val="0"/>
          <w:w w:val="100"/>
          <w:position w:val="0"/>
        </w:rPr>
        <w:t>)),判断该多次交易是否属于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 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的，参考本部分前面各段描述及本附注三、</w:t>
      </w:r>
      <w:r>
        <w:rPr>
          <w:rFonts w:ascii="Times New Roman" w:eastAsia="Times New Roman" w:hAnsi="Times New Roman" w:cs="Times New Roman"/>
          <w:color w:val="000000"/>
          <w:spacing w:val="0"/>
          <w:w w:val="100"/>
          <w:position w:val="0"/>
        </w:rPr>
        <w:t>13“</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进行会计处理； 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的，区分个别财务报表和合并财务报表进行相关会计处理：</w:t>
      </w:r>
    </w:p>
    <w:p>
      <w:pPr>
        <w:pStyle w:val="Style44"/>
        <w:keepNext w:val="0"/>
        <w:keepLines w:val="0"/>
        <w:widowControl w:val="0"/>
        <w:shd w:val="clear" w:color="auto" w:fill="auto"/>
        <w:bidi w:val="0"/>
        <w:spacing w:before="0" w:after="0" w:line="467" w:lineRule="exact"/>
        <w:ind w:left="0" w:right="0" w:firstLine="520"/>
        <w:jc w:val="both"/>
      </w:pPr>
      <w:r>
        <w:rPr>
          <w:color w:val="000000"/>
          <w:spacing w:val="0"/>
          <w:w w:val="100"/>
          <w:position w:val="0"/>
        </w:rPr>
        <w:t>在个别财务报表中，以购买日之前所持被购买方的股权投资的账面价值与购买日新增投资成 本之和，作为该项投资的初始投资成本；购买日之前持有的被购买方的股权涉及其他综合收益的， 在处置该项投资时将与其相关的其他综合收益采用与被购买方直接处置相关资产或负债相同的 基础进行会计处理(即，除了按照权益法核算的在被购买方重新计量设定受益计划净负债或净资 产导致的变动中的相应份额以外，其余转入当期投资收益)。</w:t>
      </w:r>
    </w:p>
    <w:p>
      <w:pPr>
        <w:pStyle w:val="Style44"/>
        <w:keepNext w:val="0"/>
        <w:keepLines w:val="0"/>
        <w:widowControl w:val="0"/>
        <w:shd w:val="clear" w:color="auto" w:fill="auto"/>
        <w:bidi w:val="0"/>
        <w:spacing w:before="0" w:after="220" w:line="468" w:lineRule="exact"/>
        <w:ind w:left="0" w:right="0" w:firstLine="520"/>
        <w:jc w:val="both"/>
      </w:pPr>
      <w:r>
        <w:rPr>
          <w:color w:val="000000"/>
          <w:spacing w:val="0"/>
          <w:w w:val="100"/>
          <w:position w:val="0"/>
        </w:rPr>
        <w:t>在合并财务报表中，对于购买日之前持有的被购买方的股权，按照该股权在购买日的公允价 值进行重新计量，公允价值与其账面价值的差额计入当期投资收益；购买日之前持有的被购买方 的股权涉及其他综合收益的，与其相关的其他综合收益应当采用与被购买方直接处置相关资产或 负债相同的基础进行会计处理（即，除了按照权益法核算的在被购买方重新计量设定受益计划净 负债或净资产导致的变动中的相应份额以外，其余转为购买日所属当期投资收益）。</w:t>
      </w:r>
    </w:p>
    <w:p>
      <w:pPr>
        <w:pStyle w:val="Style52"/>
        <w:keepNext/>
        <w:keepLines/>
        <w:widowControl w:val="0"/>
        <w:shd w:val="clear" w:color="auto" w:fill="auto"/>
        <w:bidi w:val="0"/>
        <w:spacing w:before="0" w:after="220" w:line="470" w:lineRule="exact"/>
        <w:ind w:left="0" w:right="0" w:firstLine="0"/>
        <w:jc w:val="left"/>
        <w:rPr>
          <w:sz w:val="24"/>
          <w:szCs w:val="24"/>
        </w:rPr>
      </w:pPr>
      <w:bookmarkStart w:id="765" w:name="bookmark765"/>
      <w:bookmarkStart w:id="766" w:name="bookmark766"/>
      <w:bookmarkStart w:id="767" w:name="bookmark767"/>
      <w:bookmarkStart w:id="768" w:name="bookmark768"/>
      <w:r>
        <w:rPr>
          <w:rFonts w:ascii="Times New Roman" w:eastAsia="Times New Roman" w:hAnsi="Times New Roman" w:cs="Times New Roman"/>
          <w:b w:val="0"/>
          <w:bCs w:val="0"/>
          <w:color w:val="000000"/>
          <w:spacing w:val="0"/>
          <w:w w:val="100"/>
          <w:position w:val="0"/>
          <w:sz w:val="24"/>
          <w:szCs w:val="24"/>
        </w:rPr>
        <w:t>6</w:t>
      </w:r>
      <w:bookmarkEnd w:id="767"/>
      <w:r>
        <w:rPr>
          <w:b w:val="0"/>
          <w:bCs w:val="0"/>
          <w:color w:val="000000"/>
          <w:spacing w:val="0"/>
          <w:w w:val="100"/>
          <w:position w:val="0"/>
          <w:sz w:val="24"/>
          <w:szCs w:val="24"/>
        </w:rPr>
        <w:t>、合并财务报表的编制方法</w:t>
      </w:r>
      <w:bookmarkEnd w:id="765"/>
      <w:bookmarkEnd w:id="766"/>
      <w:bookmarkEnd w:id="768"/>
    </w:p>
    <w:p>
      <w:pPr>
        <w:pStyle w:val="Style44"/>
        <w:keepNext w:val="0"/>
        <w:keepLines w:val="0"/>
        <w:widowControl w:val="0"/>
        <w:shd w:val="clear" w:color="auto" w:fill="auto"/>
        <w:tabs>
          <w:tab w:pos="983" w:val="left"/>
        </w:tabs>
        <w:bidi w:val="0"/>
        <w:spacing w:before="0" w:after="0" w:line="470" w:lineRule="exact"/>
        <w:ind w:left="0" w:right="0" w:firstLine="520"/>
        <w:jc w:val="left"/>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rPr>
        <w:t>1</w:t>
      </w:r>
      <w:r>
        <w:rPr>
          <w:color w:val="000000"/>
          <w:spacing w:val="0"/>
          <w:w w:val="100"/>
          <w:position w:val="0"/>
        </w:rPr>
        <w:t>）</w:t>
        <w:tab/>
        <w:t>合并财务报表范围的确定原则</w:t>
      </w:r>
    </w:p>
    <w:p>
      <w:pPr>
        <w:pStyle w:val="Style44"/>
        <w:keepNext w:val="0"/>
        <w:keepLines w:val="0"/>
        <w:widowControl w:val="0"/>
        <w:shd w:val="clear" w:color="auto" w:fill="auto"/>
        <w:bidi w:val="0"/>
        <w:spacing w:before="0" w:after="0" w:line="463" w:lineRule="exact"/>
        <w:ind w:left="0" w:right="0" w:firstLine="520"/>
        <w:jc w:val="left"/>
      </w:pPr>
      <w:r>
        <w:rPr>
          <w:color w:val="000000"/>
          <w:spacing w:val="0"/>
          <w:w w:val="100"/>
          <w:position w:val="0"/>
        </w:rPr>
        <w:t>合并财务报表的合并范围以控制为基础予以确定。控制是指本公司拥有对被投资方的权力， 通过参与被投资方的相关活动而享有可变回报，并且有能力运用对被投资方的权力影响该回报金 额。合并范围包括本公司及全部子公司。子公司，是指被本公司控制的主体。</w:t>
      </w:r>
    </w:p>
    <w:p>
      <w:pPr>
        <w:pStyle w:val="Style44"/>
        <w:keepNext w:val="0"/>
        <w:keepLines w:val="0"/>
        <w:widowControl w:val="0"/>
        <w:shd w:val="clear" w:color="auto" w:fill="auto"/>
        <w:bidi w:val="0"/>
        <w:spacing w:before="0" w:after="0" w:line="470" w:lineRule="exact"/>
        <w:ind w:left="0" w:right="0" w:firstLine="520"/>
        <w:jc w:val="left"/>
      </w:pPr>
      <w:r>
        <w:rPr>
          <w:color w:val="000000"/>
          <w:spacing w:val="0"/>
          <w:w w:val="100"/>
          <w:position w:val="0"/>
        </w:rPr>
        <w:t>一旦相关事实和情况的变化导致上述控制定义涉及的相关要素发生了变化，本公司将进行重 新评估。</w:t>
      </w:r>
    </w:p>
    <w:p>
      <w:pPr>
        <w:pStyle w:val="Style44"/>
        <w:keepNext w:val="0"/>
        <w:keepLines w:val="0"/>
        <w:widowControl w:val="0"/>
        <w:shd w:val="clear" w:color="auto" w:fill="auto"/>
        <w:tabs>
          <w:tab w:pos="983" w:val="left"/>
        </w:tabs>
        <w:bidi w:val="0"/>
        <w:spacing w:before="0" w:after="0" w:line="470" w:lineRule="exact"/>
        <w:ind w:left="0" w:right="0" w:firstLine="520"/>
        <w:jc w:val="left"/>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rPr>
        <w:t>2</w:t>
      </w:r>
      <w:r>
        <w:rPr>
          <w:color w:val="000000"/>
          <w:spacing w:val="0"/>
          <w:w w:val="100"/>
          <w:position w:val="0"/>
        </w:rPr>
        <w:t>）</w:t>
        <w:tab/>
        <w:t>合并财务报表编制的方法</w:t>
      </w:r>
    </w:p>
    <w:p>
      <w:pPr>
        <w:pStyle w:val="Style44"/>
        <w:keepNext w:val="0"/>
        <w:keepLines w:val="0"/>
        <w:widowControl w:val="0"/>
        <w:shd w:val="clear" w:color="auto" w:fill="auto"/>
        <w:bidi w:val="0"/>
        <w:spacing w:before="0" w:after="0" w:line="470" w:lineRule="exact"/>
        <w:ind w:left="0" w:right="0" w:firstLine="520"/>
        <w:jc w:val="left"/>
      </w:pPr>
      <w:r>
        <w:rPr>
          <w:color w:val="000000"/>
          <w:spacing w:val="0"/>
          <w:w w:val="100"/>
          <w:position w:val="0"/>
        </w:rPr>
        <w:t>从取得子公司的净资产和生产经营决策的实际控制权之日起，本公司开始将其纳入合并范围; 从丧失实际控制权之日起停止纳入合并范围。对于处置的子公司，处置日前的经营成果和现金流 量已经适当地包括在合并利润表和合并现金流量表中；当期处置的子公司，不调整合并资产负债 表的期初数。非同一控制下企业合并增加的子公司，其购买日后的经营成果及现金流量已经适当 地包括在合并利润表和合并现金流量表中，且不调整合并财务报表的期初数和对比数。同一控制 下企业合并增加的子公司，其自合并当期期初至合并日的经营成果和现金流量已经适当地包括在 合并利润表和合并现金流量表中，并且同时调整合并财务报表的对比数。</w:t>
      </w:r>
    </w:p>
    <w:p>
      <w:pPr>
        <w:pStyle w:val="Style44"/>
        <w:keepNext w:val="0"/>
        <w:keepLines w:val="0"/>
        <w:widowControl w:val="0"/>
        <w:shd w:val="clear" w:color="auto" w:fill="auto"/>
        <w:bidi w:val="0"/>
        <w:spacing w:before="0" w:after="0" w:line="470" w:lineRule="exact"/>
        <w:ind w:left="0" w:right="0" w:firstLine="520"/>
        <w:jc w:val="left"/>
      </w:pPr>
      <w:r>
        <w:rPr>
          <w:color w:val="000000"/>
          <w:spacing w:val="0"/>
          <w:w w:val="100"/>
          <w:position w:val="0"/>
        </w:rPr>
        <w:t>在编制合并财务报表时，子公司与本公司采用的会计政策或会计期间不一致的，按照本公司 的会计政策和会计期间对子公司财务报表进行必要的调整。对于非同一控制下企业合并取得的子 公司，以购买日可辨认净资产公允价值为基础对其财务报表进行调整。</w:t>
      </w:r>
    </w:p>
    <w:p>
      <w:pPr>
        <w:pStyle w:val="Style44"/>
        <w:keepNext w:val="0"/>
        <w:keepLines w:val="0"/>
        <w:widowControl w:val="0"/>
        <w:shd w:val="clear" w:color="auto" w:fill="auto"/>
        <w:bidi w:val="0"/>
        <w:spacing w:before="0" w:after="0" w:line="470" w:lineRule="exact"/>
        <w:ind w:left="0" w:right="0" w:firstLine="520"/>
        <w:jc w:val="left"/>
      </w:pPr>
      <w:r>
        <w:rPr>
          <w:color w:val="000000"/>
          <w:spacing w:val="0"/>
          <w:w w:val="100"/>
          <w:position w:val="0"/>
        </w:rPr>
        <w:t>公司内往来余额、交易及未实现利润在合并财务报表编制时予以抵销。</w:t>
      </w:r>
    </w:p>
    <w:p>
      <w:pPr>
        <w:pStyle w:val="Style44"/>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子公司的股东权益及当期净损益中不属于本公司所拥有的部分分别作为少数股东权益及少 数股东损益在合并财务报表中股东权益及净利润项下单独列示。子公司当期净损益中属于少数股 东权益的份额，在合并利润表中净利润项目下以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少数股东损益</w:t>
      </w:r>
      <w:r>
        <w:rPr>
          <w:rFonts w:ascii="Times New Roman" w:eastAsia="Times New Roman" w:hAnsi="Times New Roman" w:cs="Times New Roman"/>
          <w:color w:val="000000"/>
          <w:spacing w:val="0"/>
          <w:w w:val="100"/>
          <w:position w:val="0"/>
        </w:rPr>
        <w:t>”</w:t>
      </w:r>
      <w:r>
        <w:rPr>
          <w:color w:val="000000"/>
          <w:spacing w:val="0"/>
          <w:w w:val="100"/>
          <w:position w:val="0"/>
        </w:rPr>
        <w:t>项目列示。少数股东分担的子公 司的亏损超过了少数股东在该子公司期初股东权益中所享有的份额，仍冲减少数股东权益。</w:t>
      </w:r>
    </w:p>
    <w:p>
      <w:pPr>
        <w:pStyle w:val="Style44"/>
        <w:keepNext w:val="0"/>
        <w:keepLines w:val="0"/>
        <w:widowControl w:val="0"/>
        <w:shd w:val="clear" w:color="auto" w:fill="auto"/>
        <w:bidi w:val="0"/>
        <w:spacing w:before="0" w:after="0" w:line="469" w:lineRule="exact"/>
        <w:ind w:left="0" w:right="0" w:firstLine="520"/>
        <w:jc w:val="both"/>
      </w:pPr>
      <w:r>
        <w:rPr>
          <w:color w:val="000000"/>
          <w:spacing w:val="0"/>
          <w:w w:val="100"/>
          <w:position w:val="0"/>
        </w:rPr>
        <w:t>当因处置部分股权投资或其他原因丧失了对原有子公司的控制权时，对于剩余股权，按照其 在丧失控制权日的公允价值进行重新计量。处置股权取得的对价与剩余股权公允价值之和，减去 按原持股比例计算应享有原有子公司自购买日开始持续计算的净资产的份额之间的差额，计入丧 失控制权当期的投资收益。与原有子公司股权投资相关的其他综合收益，在丧失控制权时采用与 被购买方直接处置相关资产或负债相同的基础进行会计处理（即，除了在该原有子公司重新计量 设定受益计划净负债或净资产导致的变动以外，其余一并转为当期投资收益）。其后，对该部分 剩余股权按照《企业会计准则第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号一长期股权投资》或《企业会计准则第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 具确认和计量》等相关规定进行后续计量，详见本附注三、</w:t>
      </w:r>
      <w:r>
        <w:rPr>
          <w:rFonts w:ascii="Times New Roman" w:eastAsia="Times New Roman" w:hAnsi="Times New Roman" w:cs="Times New Roman"/>
          <w:color w:val="000000"/>
          <w:spacing w:val="0"/>
          <w:w w:val="100"/>
          <w:position w:val="0"/>
        </w:rPr>
        <w:t>13“</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或本附注三、</w:t>
      </w:r>
      <w:r>
        <w:rPr>
          <w:rFonts w:ascii="Times New Roman" w:eastAsia="Times New Roman" w:hAnsi="Times New Roman" w:cs="Times New Roman"/>
          <w:color w:val="000000"/>
          <w:spacing w:val="0"/>
          <w:w w:val="100"/>
          <w:position w:val="0"/>
        </w:rPr>
        <w:t>10“</w:t>
      </w:r>
      <w:r>
        <w:rPr>
          <w:color w:val="000000"/>
          <w:spacing w:val="0"/>
          <w:w w:val="100"/>
          <w:position w:val="0"/>
        </w:rPr>
        <w:t>金 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4"/>
        <w:keepNext w:val="0"/>
        <w:keepLines w:val="0"/>
        <w:widowControl w:val="0"/>
        <w:shd w:val="clear" w:color="auto" w:fill="auto"/>
        <w:bidi w:val="0"/>
        <w:spacing w:before="0" w:after="0" w:line="469" w:lineRule="exact"/>
        <w:ind w:left="0" w:right="0" w:firstLine="520"/>
        <w:jc w:val="both"/>
      </w:pPr>
      <w:r>
        <w:rPr>
          <w:color w:val="000000"/>
          <w:spacing w:val="0"/>
          <w:w w:val="100"/>
          <w:position w:val="0"/>
          <w:shd w:val="clear" w:color="auto" w:fill="FFFFFF"/>
        </w:rPr>
        <w:t>本公司通过多次交易分步处置对子公司股权投资直至丧失控制权的，需区分处置对子公司股 权投资直至丧失控制权的各项交易是否属于一揽子交易。处置对子公司股权投资的各项交易的条 款、条件以及经济影响符合以下一种或多种情况，通常表明应将多次交易事项作为一揽子交易进 行会计处理：①这些交易是同时或者在考虑了彼此影响的情况下订立的；②这些交易整体才能达 成一项完整的商业结果；③一项交易的发生取决于其他至少一项交易的发生；④一项交易单独看 是不经济的，但是和其他交易一并考虑时是经济的。不属于一揽子交易的，对其中的每一项交易 视情况分别按照</w:t>
      </w:r>
      <w:r>
        <w:rPr>
          <w:rFonts w:ascii="Times New Roman" w:eastAsia="Times New Roman" w:hAnsi="Times New Roman" w:cs="Times New Roman"/>
          <w:color w:val="000000"/>
          <w:spacing w:val="0"/>
          <w:w w:val="100"/>
          <w:position w:val="0"/>
          <w:shd w:val="clear" w:color="auto" w:fill="FFFFFF"/>
        </w:rPr>
        <w:t>“</w:t>
      </w:r>
      <w:r>
        <w:rPr>
          <w:color w:val="000000"/>
          <w:spacing w:val="0"/>
          <w:w w:val="100"/>
          <w:position w:val="0"/>
          <w:shd w:val="clear" w:color="auto" w:fill="FFFFFF"/>
        </w:rPr>
        <w:t>不丧失控制权的情况下部分处置对子公司的长期股权投资</w:t>
      </w:r>
      <w:r>
        <w:rPr>
          <w:rFonts w:ascii="Times New Roman" w:eastAsia="Times New Roman" w:hAnsi="Times New Roman" w:cs="Times New Roman"/>
          <w:color w:val="000000"/>
          <w:spacing w:val="0"/>
          <w:w w:val="100"/>
          <w:position w:val="0"/>
          <w:shd w:val="clear" w:color="auto" w:fill="FFFFFF"/>
        </w:rPr>
        <w:t>”</w:t>
      </w:r>
      <w:r>
        <w:rPr>
          <w:color w:val="000000"/>
          <w:spacing w:val="0"/>
          <w:w w:val="100"/>
          <w:position w:val="0"/>
          <w:shd w:val="clear" w:color="auto" w:fill="FFFFFF"/>
        </w:rPr>
        <w:t>（详见本附注三、</w:t>
      </w:r>
      <w:r>
        <w:rPr>
          <w:rFonts w:ascii="Times New Roman" w:eastAsia="Times New Roman" w:hAnsi="Times New Roman" w:cs="Times New Roman"/>
          <w:color w:val="000000"/>
          <w:spacing w:val="0"/>
          <w:w w:val="100"/>
          <w:position w:val="0"/>
          <w:shd w:val="clear" w:color="auto" w:fill="FFFFFF"/>
        </w:rPr>
        <w:t>13</w:t>
      </w:r>
      <w:r>
        <w:rPr>
          <w:color w:val="000000"/>
          <w:spacing w:val="0"/>
          <w:w w:val="100"/>
          <w:position w:val="0"/>
          <w:shd w:val="clear" w:color="auto" w:fill="FFFFFF"/>
        </w:rPr>
        <w:t>、</w:t>
      </w:r>
    </w:p>
    <w:p>
      <w:pPr>
        <w:pStyle w:val="Style44"/>
        <w:keepNext w:val="0"/>
        <w:keepLines w:val="0"/>
        <w:widowControl w:val="0"/>
        <w:shd w:val="clear" w:color="auto" w:fill="auto"/>
        <w:bidi w:val="0"/>
        <w:spacing w:before="0" w:after="220" w:line="469" w:lineRule="exact"/>
        <w:ind w:left="0" w:right="0" w:firstLine="0"/>
        <w:jc w:val="both"/>
      </w:pPr>
      <w:bookmarkStart w:id="771" w:name="bookmark771"/>
      <w:r>
        <w:rPr>
          <w:color w:val="000000"/>
          <w:spacing w:val="0"/>
          <w:w w:val="100"/>
          <w:position w:val="0"/>
        </w:rPr>
        <w:t>（</w:t>
      </w:r>
      <w:bookmarkEnd w:id="771"/>
      <w:r>
        <w:rPr>
          <w:rFonts w:ascii="Times New Roman" w:eastAsia="Times New Roman" w:hAnsi="Times New Roman" w:cs="Times New Roman"/>
          <w:color w:val="000000"/>
          <w:spacing w:val="0"/>
          <w:w w:val="100"/>
          <w:position w:val="0"/>
        </w:rPr>
        <w:t>2</w:t>
      </w:r>
      <w:r>
        <w:rPr>
          <w:color w:val="000000"/>
          <w:spacing w:val="0"/>
          <w:w w:val="100"/>
          <w:position w:val="0"/>
        </w:rPr>
        <w:t>）④）和</w:t>
      </w:r>
      <w:r>
        <w:rPr>
          <w:rFonts w:ascii="Times New Roman" w:eastAsia="Times New Roman" w:hAnsi="Times New Roman" w:cs="Times New Roman"/>
          <w:color w:val="000000"/>
          <w:spacing w:val="0"/>
          <w:w w:val="100"/>
          <w:position w:val="0"/>
        </w:rPr>
        <w:t>“</w:t>
      </w:r>
      <w:r>
        <w:rPr>
          <w:color w:val="000000"/>
          <w:spacing w:val="0"/>
          <w:w w:val="100"/>
          <w:position w:val="0"/>
        </w:rPr>
        <w:t>因处置部分股权投资或其他原因丧失了对原有子公司的控制权</w:t>
      </w:r>
      <w:r>
        <w:rPr>
          <w:rFonts w:ascii="Times New Roman" w:eastAsia="Times New Roman" w:hAnsi="Times New Roman" w:cs="Times New Roman"/>
          <w:color w:val="000000"/>
          <w:spacing w:val="0"/>
          <w:w w:val="100"/>
          <w:position w:val="0"/>
        </w:rPr>
        <w:t>”</w:t>
      </w:r>
      <w:r>
        <w:rPr>
          <w:color w:val="000000"/>
          <w:spacing w:val="0"/>
          <w:w w:val="100"/>
          <w:position w:val="0"/>
        </w:rPr>
        <w:t>（详见前段）适用的 原则进行会计处理。处置对子公司股权投资直至丧失控制权的各项交易属于一揽子交易的，将各 项交易作为一项处置子公司并丧失控制权的交易进行会计处理；但是，在丧失控制权之前每一次 处置价款与处置投资对应的享有该子公司净资产份额的差额，在合并财务报表中确认为其他综合 收益，在丧失控制权时一并转入丧失控制权当期的损益。</w:t>
      </w:r>
    </w:p>
    <w:p>
      <w:pPr>
        <w:pStyle w:val="Style52"/>
        <w:keepNext/>
        <w:keepLines/>
        <w:widowControl w:val="0"/>
        <w:shd w:val="clear" w:color="auto" w:fill="auto"/>
        <w:bidi w:val="0"/>
        <w:spacing w:before="0" w:after="220" w:line="469" w:lineRule="exact"/>
        <w:ind w:left="0" w:right="0" w:firstLine="0"/>
        <w:jc w:val="both"/>
        <w:rPr>
          <w:sz w:val="24"/>
          <w:szCs w:val="24"/>
        </w:rPr>
      </w:pPr>
      <w:bookmarkStart w:id="772" w:name="bookmark772"/>
      <w:bookmarkStart w:id="773" w:name="bookmark773"/>
      <w:bookmarkStart w:id="774" w:name="bookmark774"/>
      <w:bookmarkStart w:id="775" w:name="bookmark775"/>
      <w:r>
        <w:rPr>
          <w:rFonts w:ascii="Times New Roman" w:eastAsia="Times New Roman" w:hAnsi="Times New Roman" w:cs="Times New Roman"/>
          <w:b w:val="0"/>
          <w:bCs w:val="0"/>
          <w:color w:val="000000"/>
          <w:spacing w:val="0"/>
          <w:w w:val="100"/>
          <w:position w:val="0"/>
          <w:sz w:val="24"/>
          <w:szCs w:val="24"/>
        </w:rPr>
        <w:t>7</w:t>
      </w:r>
      <w:bookmarkEnd w:id="774"/>
      <w:r>
        <w:rPr>
          <w:b w:val="0"/>
          <w:bCs w:val="0"/>
          <w:color w:val="000000"/>
          <w:spacing w:val="0"/>
          <w:w w:val="100"/>
          <w:position w:val="0"/>
          <w:sz w:val="24"/>
          <w:szCs w:val="24"/>
        </w:rPr>
        <w:t>、合营安排分类及共同经营会计处理方法</w:t>
      </w:r>
      <w:bookmarkEnd w:id="772"/>
      <w:bookmarkEnd w:id="773"/>
      <w:bookmarkEnd w:id="775"/>
    </w:p>
    <w:p>
      <w:pPr>
        <w:pStyle w:val="Style44"/>
        <w:keepNext w:val="0"/>
        <w:keepLines w:val="0"/>
        <w:widowControl w:val="0"/>
        <w:shd w:val="clear" w:color="auto" w:fill="auto"/>
        <w:bidi w:val="0"/>
        <w:spacing w:before="0" w:after="0" w:line="469" w:lineRule="exact"/>
        <w:ind w:left="0" w:right="0" w:firstLine="520"/>
        <w:jc w:val="both"/>
      </w:pPr>
      <w:r>
        <w:rPr>
          <w:color w:val="000000"/>
          <w:spacing w:val="0"/>
          <w:w w:val="100"/>
          <w:position w:val="0"/>
        </w:rPr>
        <w:t>合营安排，是指一项由两个或两个以上的参与方共同控制的安排。本公司根据在合营安排中 享有的权利和承担的义务，将合营安排分为共同经营和合营企业。共同经营，是指本公司享有该 安排相关资产且承担该安排相关负债的合营安排。合营企业，是指本公司仅对该安排的净资产享 有权利的合营安排。</w:t>
      </w:r>
    </w:p>
    <w:p>
      <w:pPr>
        <w:pStyle w:val="Style44"/>
        <w:keepNext w:val="0"/>
        <w:keepLines w:val="0"/>
        <w:widowControl w:val="0"/>
        <w:shd w:val="clear" w:color="auto" w:fill="auto"/>
        <w:bidi w:val="0"/>
        <w:spacing w:before="0" w:after="120" w:line="480" w:lineRule="exact"/>
        <w:ind w:left="0" w:right="0" w:firstLine="520"/>
        <w:jc w:val="both"/>
      </w:pPr>
      <w:r>
        <w:rPr>
          <w:color w:val="000000"/>
          <w:spacing w:val="0"/>
          <w:w w:val="100"/>
          <w:position w:val="0"/>
        </w:rPr>
        <w:t>本公司对合营企业的投资采用权益法核算，按照本附注三、</w:t>
      </w: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）②</w:t>
      </w:r>
      <w:r>
        <w:rPr>
          <w:rFonts w:ascii="Times New Roman" w:eastAsia="Times New Roman" w:hAnsi="Times New Roman" w:cs="Times New Roman"/>
          <w:color w:val="000000"/>
          <w:spacing w:val="0"/>
          <w:w w:val="100"/>
          <w:position w:val="0"/>
        </w:rPr>
        <w:t>“</w:t>
      </w:r>
      <w:r>
        <w:rPr>
          <w:color w:val="000000"/>
          <w:spacing w:val="0"/>
          <w:w w:val="100"/>
          <w:position w:val="0"/>
        </w:rPr>
        <w:t>权益法核算的长期股 权投资</w:t>
      </w:r>
      <w:r>
        <w:rPr>
          <w:rFonts w:ascii="Times New Roman" w:eastAsia="Times New Roman" w:hAnsi="Times New Roman" w:cs="Times New Roman"/>
          <w:color w:val="000000"/>
          <w:spacing w:val="0"/>
          <w:w w:val="100"/>
          <w:position w:val="0"/>
        </w:rPr>
        <w:t>”</w:t>
      </w:r>
      <w:r>
        <w:rPr>
          <w:color w:val="000000"/>
          <w:spacing w:val="0"/>
          <w:w w:val="100"/>
          <w:position w:val="0"/>
        </w:rPr>
        <w:t>中所述的会计政策处理。</w:t>
      </w:r>
    </w:p>
    <w:p>
      <w:pPr>
        <w:pStyle w:val="Style44"/>
        <w:keepNext w:val="0"/>
        <w:keepLines w:val="0"/>
        <w:widowControl w:val="0"/>
        <w:shd w:val="clear" w:color="auto" w:fill="auto"/>
        <w:bidi w:val="0"/>
        <w:spacing w:before="0" w:after="0" w:line="473" w:lineRule="exact"/>
        <w:ind w:left="0" w:right="0" w:firstLine="520"/>
        <w:jc w:val="both"/>
      </w:pPr>
      <w:r>
        <w:rPr>
          <w:color w:val="000000"/>
          <w:spacing w:val="0"/>
          <w:w w:val="100"/>
          <w:position w:val="0"/>
        </w:rPr>
        <w:t>本公司作为合营方对共同经营，确认本公司单独持有的资产、单独所承担的负债，以及按本 公司份额确认共同持有的资产和共同承担的负债；确认出售本公司享有的共同经营产出份额所产 生的收入；按本公司份额确认共同经营因出售产出所产生的收入；确认本公司单独所发生的费用， 以及按本公司份额确认共同经营发生的费用。</w:t>
      </w:r>
    </w:p>
    <w:p>
      <w:pPr>
        <w:pStyle w:val="Style44"/>
        <w:keepNext w:val="0"/>
        <w:keepLines w:val="0"/>
        <w:widowControl w:val="0"/>
        <w:shd w:val="clear" w:color="auto" w:fill="auto"/>
        <w:bidi w:val="0"/>
        <w:spacing w:before="0" w:after="220" w:line="473" w:lineRule="exact"/>
        <w:ind w:left="0" w:right="0" w:firstLine="520"/>
        <w:jc w:val="both"/>
      </w:pPr>
      <w:r>
        <w:rPr>
          <w:color w:val="000000"/>
          <w:spacing w:val="0"/>
          <w:w w:val="100"/>
          <w:position w:val="0"/>
        </w:rPr>
        <w:t>当本公司作为合营方向共同经营投出或出售资产（该资产不构成业务，下同）、或者自共同 经营购买资产时，在该等资产出售给第三方之前，本公司仅确认因该交易产生的损益中归属于共 同经营其他参与方的部分。该等资产发生符合《企业会计准则第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号——资产减值》等规定的资 产减值损失的，对于由本公司向共同经营投出或出售资产的情况，本公司全额确认该损失；对于 本公司自共同经营购买资产的情况，本公司按承担的份额确认该损失。</w:t>
      </w:r>
    </w:p>
    <w:p>
      <w:pPr>
        <w:pStyle w:val="Style52"/>
        <w:keepNext/>
        <w:keepLines/>
        <w:widowControl w:val="0"/>
        <w:shd w:val="clear" w:color="auto" w:fill="auto"/>
        <w:tabs>
          <w:tab w:pos="378" w:val="left"/>
        </w:tabs>
        <w:bidi w:val="0"/>
        <w:spacing w:before="0" w:after="220" w:line="468" w:lineRule="exact"/>
        <w:ind w:left="0" w:right="0" w:firstLine="0"/>
        <w:jc w:val="left"/>
        <w:rPr>
          <w:sz w:val="24"/>
          <w:szCs w:val="24"/>
        </w:rPr>
      </w:pPr>
      <w:bookmarkStart w:id="776" w:name="bookmark776"/>
      <w:bookmarkStart w:id="777" w:name="bookmark777"/>
      <w:bookmarkStart w:id="778" w:name="bookmark778"/>
      <w:bookmarkStart w:id="779" w:name="bookmark779"/>
      <w:r>
        <w:rPr>
          <w:rFonts w:ascii="Times New Roman" w:eastAsia="Times New Roman" w:hAnsi="Times New Roman" w:cs="Times New Roman"/>
          <w:b w:val="0"/>
          <w:bCs w:val="0"/>
          <w:color w:val="000000"/>
          <w:spacing w:val="0"/>
          <w:w w:val="100"/>
          <w:position w:val="0"/>
          <w:sz w:val="24"/>
          <w:szCs w:val="24"/>
        </w:rPr>
        <w:t>8</w:t>
      </w:r>
      <w:bookmarkEnd w:id="778"/>
      <w:r>
        <w:rPr>
          <w:b w:val="0"/>
          <w:bCs w:val="0"/>
          <w:color w:val="000000"/>
          <w:spacing w:val="0"/>
          <w:w w:val="100"/>
          <w:position w:val="0"/>
          <w:sz w:val="24"/>
          <w:szCs w:val="24"/>
        </w:rPr>
        <w:t>、</w:t>
        <w:tab/>
        <w:t>现金及现金等价物的确定标准</w:t>
      </w:r>
      <w:bookmarkEnd w:id="776"/>
      <w:bookmarkEnd w:id="777"/>
      <w:bookmarkEnd w:id="779"/>
    </w:p>
    <w:p>
      <w:pPr>
        <w:pStyle w:val="Style44"/>
        <w:keepNext w:val="0"/>
        <w:keepLines w:val="0"/>
        <w:widowControl w:val="0"/>
        <w:shd w:val="clear" w:color="auto" w:fill="auto"/>
        <w:bidi w:val="0"/>
        <w:spacing w:before="0" w:after="220" w:line="468" w:lineRule="exact"/>
        <w:ind w:left="0" w:right="0" w:firstLine="520"/>
        <w:jc w:val="both"/>
      </w:pPr>
      <w:r>
        <w:rPr>
          <w:color w:val="000000"/>
          <w:spacing w:val="0"/>
          <w:w w:val="100"/>
          <w:position w:val="0"/>
        </w:rPr>
        <w:t>本公司现金及现金等价物包括库存现金、可以随时用于支付的存款以及本公司持有的期限短 （一般为从购买日起，三个月内到期）、流动性强、易于转换为已知金额的现金、价值变动风险 很小的投资。</w:t>
      </w:r>
    </w:p>
    <w:p>
      <w:pPr>
        <w:pStyle w:val="Style52"/>
        <w:keepNext/>
        <w:keepLines/>
        <w:widowControl w:val="0"/>
        <w:shd w:val="clear" w:color="auto" w:fill="auto"/>
        <w:tabs>
          <w:tab w:pos="383" w:val="left"/>
        </w:tabs>
        <w:bidi w:val="0"/>
        <w:spacing w:before="0" w:after="220" w:line="468" w:lineRule="exact"/>
        <w:ind w:left="0" w:right="0" w:firstLine="0"/>
        <w:jc w:val="left"/>
        <w:rPr>
          <w:sz w:val="24"/>
          <w:szCs w:val="24"/>
        </w:rPr>
      </w:pPr>
      <w:bookmarkStart w:id="780" w:name="bookmark780"/>
      <w:bookmarkStart w:id="781" w:name="bookmark781"/>
      <w:bookmarkStart w:id="782" w:name="bookmark782"/>
      <w:bookmarkStart w:id="783" w:name="bookmark783"/>
      <w:r>
        <w:rPr>
          <w:rFonts w:ascii="Times New Roman" w:eastAsia="Times New Roman" w:hAnsi="Times New Roman" w:cs="Times New Roman"/>
          <w:b w:val="0"/>
          <w:bCs w:val="0"/>
          <w:color w:val="000000"/>
          <w:spacing w:val="0"/>
          <w:w w:val="100"/>
          <w:position w:val="0"/>
          <w:sz w:val="24"/>
          <w:szCs w:val="24"/>
        </w:rPr>
        <w:t>9</w:t>
      </w:r>
      <w:bookmarkEnd w:id="782"/>
      <w:r>
        <w:rPr>
          <w:b w:val="0"/>
          <w:bCs w:val="0"/>
          <w:color w:val="000000"/>
          <w:spacing w:val="0"/>
          <w:w w:val="100"/>
          <w:position w:val="0"/>
          <w:sz w:val="24"/>
          <w:szCs w:val="24"/>
        </w:rPr>
        <w:t>、</w:t>
        <w:tab/>
        <w:t>外币业务和外币报表折算</w:t>
      </w:r>
      <w:bookmarkEnd w:id="780"/>
      <w:bookmarkEnd w:id="781"/>
      <w:bookmarkEnd w:id="783"/>
    </w:p>
    <w:p>
      <w:pPr>
        <w:pStyle w:val="Style44"/>
        <w:keepNext w:val="0"/>
        <w:keepLines w:val="0"/>
        <w:widowControl w:val="0"/>
        <w:shd w:val="clear" w:color="auto" w:fill="auto"/>
        <w:tabs>
          <w:tab w:pos="1018" w:val="left"/>
        </w:tabs>
        <w:bidi w:val="0"/>
        <w:spacing w:before="0" w:after="40" w:line="468" w:lineRule="exact"/>
        <w:ind w:left="0" w:right="0" w:firstLine="520"/>
        <w:jc w:val="both"/>
      </w:pPr>
      <w:bookmarkStart w:id="784" w:name="bookmark784"/>
      <w:r>
        <w:rPr>
          <w:color w:val="000000"/>
          <w:spacing w:val="0"/>
          <w:w w:val="100"/>
          <w:position w:val="0"/>
        </w:rPr>
        <w:t>（</w:t>
      </w:r>
      <w:bookmarkEnd w:id="784"/>
      <w:r>
        <w:rPr>
          <w:rFonts w:ascii="Times New Roman" w:eastAsia="Times New Roman" w:hAnsi="Times New Roman" w:cs="Times New Roman"/>
          <w:color w:val="000000"/>
          <w:spacing w:val="0"/>
          <w:w w:val="100"/>
          <w:position w:val="0"/>
        </w:rPr>
        <w:t>1</w:t>
      </w:r>
      <w:r>
        <w:rPr>
          <w:color w:val="000000"/>
          <w:spacing w:val="0"/>
          <w:w w:val="100"/>
          <w:position w:val="0"/>
        </w:rPr>
        <w:t>）</w:t>
        <w:tab/>
        <w:t>外币交易的折算方法</w:t>
      </w:r>
    </w:p>
    <w:p>
      <w:pPr>
        <w:pStyle w:val="Style44"/>
        <w:keepNext w:val="0"/>
        <w:keepLines w:val="0"/>
        <w:widowControl w:val="0"/>
        <w:shd w:val="clear" w:color="auto" w:fill="auto"/>
        <w:bidi w:val="0"/>
        <w:spacing w:before="0" w:after="40" w:line="466" w:lineRule="exact"/>
        <w:ind w:left="0" w:right="0" w:firstLine="520"/>
        <w:jc w:val="both"/>
      </w:pPr>
      <w:r>
        <w:rPr>
          <w:color w:val="000000"/>
          <w:spacing w:val="0"/>
          <w:w w:val="100"/>
          <w:position w:val="0"/>
        </w:rPr>
        <w:t>本公司发生的外币交易在初始确认时，按交易日的即期汇率折算为记账本位币金额，但公司 发生的外币兑换业务或涉及外币兑换的交易事项，按照实际采用的汇率折算为记账本位币金额。</w:t>
      </w:r>
    </w:p>
    <w:p>
      <w:pPr>
        <w:pStyle w:val="Style44"/>
        <w:keepNext w:val="0"/>
        <w:keepLines w:val="0"/>
        <w:widowControl w:val="0"/>
        <w:shd w:val="clear" w:color="auto" w:fill="auto"/>
        <w:tabs>
          <w:tab w:pos="1018" w:val="left"/>
        </w:tabs>
        <w:bidi w:val="0"/>
        <w:spacing w:before="0" w:after="40" w:line="468" w:lineRule="exact"/>
        <w:ind w:left="0" w:right="0" w:firstLine="520"/>
        <w:jc w:val="both"/>
      </w:pPr>
      <w:bookmarkStart w:id="785" w:name="bookmark785"/>
      <w:r>
        <w:rPr>
          <w:color w:val="000000"/>
          <w:spacing w:val="0"/>
          <w:w w:val="100"/>
          <w:position w:val="0"/>
        </w:rPr>
        <w:t>（</w:t>
      </w:r>
      <w:bookmarkEnd w:id="785"/>
      <w:r>
        <w:rPr>
          <w:rFonts w:ascii="Times New Roman" w:eastAsia="Times New Roman" w:hAnsi="Times New Roman" w:cs="Times New Roman"/>
          <w:color w:val="000000"/>
          <w:spacing w:val="0"/>
          <w:w w:val="100"/>
          <w:position w:val="0"/>
        </w:rPr>
        <w:t>2</w:t>
      </w:r>
      <w:r>
        <w:rPr>
          <w:color w:val="000000"/>
          <w:spacing w:val="0"/>
          <w:w w:val="100"/>
          <w:position w:val="0"/>
        </w:rPr>
        <w:t>）</w:t>
        <w:tab/>
        <w:t>对于外币货币性项目和外币非货币性项目的折算方法</w:t>
      </w:r>
    </w:p>
    <w:p>
      <w:pPr>
        <w:pStyle w:val="Style44"/>
        <w:keepNext w:val="0"/>
        <w:keepLines w:val="0"/>
        <w:widowControl w:val="0"/>
        <w:shd w:val="clear" w:color="auto" w:fill="auto"/>
        <w:bidi w:val="0"/>
        <w:spacing w:before="0" w:after="40" w:line="466" w:lineRule="exact"/>
        <w:ind w:left="0" w:right="0" w:firstLine="520"/>
        <w:jc w:val="both"/>
      </w:pPr>
      <w:r>
        <w:rPr>
          <w:color w:val="000000"/>
          <w:spacing w:val="0"/>
          <w:w w:val="100"/>
          <w:position w:val="0"/>
        </w:rPr>
        <w:t>资产负债表日，对于外币货币性项目采用资产负债表日即期汇率折算。为购建符合借款费用 资本化条件的资产而借入的外币专门借款产生的汇兑差额，在资本化期间内予以资本化。</w:t>
      </w:r>
    </w:p>
    <w:p>
      <w:pPr>
        <w:pStyle w:val="Style44"/>
        <w:keepNext w:val="0"/>
        <w:keepLines w:val="0"/>
        <w:widowControl w:val="0"/>
        <w:shd w:val="clear" w:color="auto" w:fill="auto"/>
        <w:bidi w:val="0"/>
        <w:spacing w:before="0" w:after="40" w:line="461" w:lineRule="exact"/>
        <w:ind w:left="0" w:right="0" w:firstLine="520"/>
        <w:jc w:val="both"/>
      </w:pPr>
      <w:r>
        <w:rPr>
          <w:color w:val="000000"/>
          <w:spacing w:val="0"/>
          <w:w w:val="100"/>
          <w:position w:val="0"/>
        </w:rPr>
        <w:t>编制合并财务报表涉及境外经营的，如有实质上构成对境外经营净投资的外币货币性项目， 因汇率变动而产生的汇兑差额，计入其他综合收益；处置境外经营时，转入处置当期损益。</w:t>
      </w:r>
    </w:p>
    <w:p>
      <w:pPr>
        <w:pStyle w:val="Style44"/>
        <w:keepNext w:val="0"/>
        <w:keepLines w:val="0"/>
        <w:widowControl w:val="0"/>
        <w:shd w:val="clear" w:color="auto" w:fill="auto"/>
        <w:bidi w:val="0"/>
        <w:spacing w:before="0" w:after="40" w:line="466" w:lineRule="exact"/>
        <w:ind w:left="0" w:right="0" w:firstLine="520"/>
        <w:jc w:val="both"/>
      </w:pPr>
      <w:r>
        <w:rPr>
          <w:color w:val="000000"/>
          <w:spacing w:val="0"/>
          <w:w w:val="100"/>
          <w:position w:val="0"/>
        </w:rPr>
        <w:t>以历史成本计量的外币非货币性项目，仍采用交易发生日的即期汇率折算的记账本位币金额 计量。以公允价值计量的外币非货币性项目，采用公允价值确定日的即期汇率折算，折算后的记 账本位币金额与原记账本位币金额的差额，作为公允价值变动（含汇率变动）处理，计入当期损 益或确认为其他综合收益。</w:t>
      </w:r>
    </w:p>
    <w:p>
      <w:pPr>
        <w:pStyle w:val="Style44"/>
        <w:keepNext w:val="0"/>
        <w:keepLines w:val="0"/>
        <w:widowControl w:val="0"/>
        <w:shd w:val="clear" w:color="auto" w:fill="auto"/>
        <w:tabs>
          <w:tab w:pos="1018" w:val="left"/>
        </w:tabs>
        <w:bidi w:val="0"/>
        <w:spacing w:before="0" w:after="40" w:line="468" w:lineRule="exact"/>
        <w:ind w:left="0" w:right="0" w:firstLine="520"/>
        <w:jc w:val="both"/>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rPr>
        <w:t>3</w:t>
      </w:r>
      <w:r>
        <w:rPr>
          <w:color w:val="000000"/>
          <w:spacing w:val="0"/>
          <w:w w:val="100"/>
          <w:position w:val="0"/>
        </w:rPr>
        <w:t>）</w:t>
        <w:tab/>
        <w:t>外币财务报表的折算方法</w:t>
      </w:r>
    </w:p>
    <w:p>
      <w:pPr>
        <w:pStyle w:val="Style44"/>
        <w:keepNext w:val="0"/>
        <w:keepLines w:val="0"/>
        <w:widowControl w:val="0"/>
        <w:shd w:val="clear" w:color="auto" w:fill="auto"/>
        <w:bidi w:val="0"/>
        <w:spacing w:before="0" w:after="200" w:line="468" w:lineRule="exact"/>
        <w:ind w:left="0" w:right="0" w:firstLine="520"/>
        <w:jc w:val="left"/>
      </w:pPr>
      <w:r>
        <w:rPr>
          <w:color w:val="000000"/>
          <w:spacing w:val="0"/>
          <w:w w:val="100"/>
          <w:position w:val="0"/>
        </w:rPr>
        <w:t>境外经营的外币财务报表按以下方法折算为人民币报表：资产负债表中的资产和负债项目， 采用资产负债表日的即期汇率折算；股东权益类项目除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 时的即期汇率折算。利润表中的收入和费用项目，采用交易发生日的即期汇率折算。年初未分配 利润为上一年折算后的年末未分配利润；年末未分配利润按折算后的利润分配各项目计算列示； 折算后资产类项目与负债类项目和股东权益类项目合计数的差额，作为外币报表折算差额，确认 为其他综合收益。处置境外经营并丧失控制权时，将资产负债表中股东权益项目下列示的、与该 境外经营相关的外币报表折算差额，全部或按处置该境外经营的比例转入处置当期损益。</w:t>
      </w:r>
    </w:p>
    <w:p>
      <w:pPr>
        <w:pStyle w:val="Style52"/>
        <w:keepNext/>
        <w:keepLines/>
        <w:widowControl w:val="0"/>
        <w:shd w:val="clear" w:color="auto" w:fill="auto"/>
        <w:bidi w:val="0"/>
        <w:spacing w:before="0" w:after="200" w:line="468" w:lineRule="exact"/>
        <w:ind w:left="0" w:right="0" w:firstLine="0"/>
        <w:jc w:val="left"/>
        <w:rPr>
          <w:sz w:val="24"/>
          <w:szCs w:val="24"/>
        </w:rPr>
      </w:pPr>
      <w:bookmarkStart w:id="787" w:name="bookmark787"/>
      <w:bookmarkStart w:id="788" w:name="bookmark788"/>
      <w:bookmarkStart w:id="789" w:name="bookmark789"/>
      <w:bookmarkStart w:id="790" w:name="bookmark790"/>
      <w:r>
        <w:rPr>
          <w:rFonts w:ascii="Times New Roman" w:eastAsia="Times New Roman" w:hAnsi="Times New Roman" w:cs="Times New Roman"/>
          <w:b w:val="0"/>
          <w:bCs w:val="0"/>
          <w:color w:val="000000"/>
          <w:spacing w:val="0"/>
          <w:w w:val="100"/>
          <w:position w:val="0"/>
          <w:sz w:val="24"/>
          <w:szCs w:val="24"/>
        </w:rPr>
        <w:t>1</w:t>
      </w:r>
      <w:bookmarkEnd w:id="789"/>
      <w:r>
        <w:rPr>
          <w:rFonts w:ascii="Times New Roman" w:eastAsia="Times New Roman" w:hAnsi="Times New Roman" w:cs="Times New Roman"/>
          <w:b w:val="0"/>
          <w:bCs w:val="0"/>
          <w:color w:val="000000"/>
          <w:spacing w:val="0"/>
          <w:w w:val="100"/>
          <w:position w:val="0"/>
          <w:sz w:val="24"/>
          <w:szCs w:val="24"/>
        </w:rPr>
        <w:t>0</w:t>
      </w:r>
      <w:r>
        <w:rPr>
          <w:b w:val="0"/>
          <w:bCs w:val="0"/>
          <w:color w:val="000000"/>
          <w:spacing w:val="0"/>
          <w:w w:val="100"/>
          <w:position w:val="0"/>
          <w:sz w:val="24"/>
          <w:szCs w:val="24"/>
        </w:rPr>
        <w:t>、金融工具</w:t>
      </w:r>
      <w:bookmarkEnd w:id="787"/>
      <w:bookmarkEnd w:id="788"/>
      <w:bookmarkEnd w:id="790"/>
    </w:p>
    <w:p>
      <w:pPr>
        <w:pStyle w:val="Style44"/>
        <w:keepNext w:val="0"/>
        <w:keepLines w:val="0"/>
        <w:widowControl w:val="0"/>
        <w:shd w:val="clear" w:color="auto" w:fill="auto"/>
        <w:bidi w:val="0"/>
        <w:spacing w:before="0" w:after="0" w:line="475" w:lineRule="exact"/>
        <w:ind w:left="0" w:right="0" w:firstLine="520"/>
        <w:jc w:val="both"/>
      </w:pPr>
      <w:r>
        <w:rPr>
          <w:color w:val="000000"/>
          <w:spacing w:val="0"/>
          <w:w w:val="100"/>
          <w:position w:val="0"/>
        </w:rPr>
        <w:t>金融工具，是指形成一方的金融资产并形成其他方的金融负债或权益工具的合同。当本公司 成为金融工具合同的一方时，确认相关的金融资产或金融负债。</w:t>
      </w:r>
    </w:p>
    <w:p>
      <w:pPr>
        <w:pStyle w:val="Style44"/>
        <w:keepNext w:val="0"/>
        <w:keepLines w:val="0"/>
        <w:widowControl w:val="0"/>
        <w:shd w:val="clear" w:color="auto" w:fill="auto"/>
        <w:bidi w:val="0"/>
        <w:spacing w:before="0" w:after="0" w:line="468" w:lineRule="exact"/>
        <w:ind w:left="0" w:right="0" w:firstLine="520"/>
        <w:jc w:val="both"/>
      </w:pPr>
      <w:r>
        <w:rPr>
          <w:color w:val="000000"/>
          <w:spacing w:val="0"/>
          <w:w w:val="100"/>
          <w:position w:val="0"/>
        </w:rPr>
        <w:t>金融资产和金融负债在初始确认时以公允价值计量：①对于以公允价值计量且其变动计入当 期损益的金融资产和金融负债，相关交易费用直接计入当期损益；②对于其他类别的金融资产和 金融负债，相关交易费用计入初始确认金额。金融资产和金融负债的后续计量取决于其分类。</w:t>
      </w:r>
    </w:p>
    <w:p>
      <w:pPr>
        <w:pStyle w:val="Style44"/>
        <w:keepNext w:val="0"/>
        <w:keepLines w:val="0"/>
        <w:widowControl w:val="0"/>
        <w:shd w:val="clear" w:color="auto" w:fill="auto"/>
        <w:bidi w:val="0"/>
        <w:spacing w:before="0" w:after="0" w:line="470" w:lineRule="exact"/>
        <w:ind w:left="0" w:right="0" w:firstLine="520"/>
        <w:jc w:val="both"/>
      </w:pPr>
      <w:r>
        <w:rPr>
          <w:color w:val="000000"/>
          <w:spacing w:val="0"/>
          <w:w w:val="100"/>
          <w:position w:val="0"/>
        </w:rPr>
        <w:t>金融资产或金融负债满足下列条件之一的，表明持有目的是交易性的：①取得相关金融资产 或承担相关金融负债的目的，主要是为了近期内出售或回购；②初始确认时属于集中管理的可辨 认金融工具组合的一部分，且有客观证据表明近期实际存在短期获利模式；③属于衍生工具，但 符合财务担保合同定义的衍生工具以及被指定为有效套期工具的衍生工具除外。</w:t>
      </w:r>
    </w:p>
    <w:p>
      <w:pPr>
        <w:pStyle w:val="Style44"/>
        <w:keepNext w:val="0"/>
        <w:keepLines w:val="0"/>
        <w:widowControl w:val="0"/>
        <w:shd w:val="clear" w:color="auto" w:fill="auto"/>
        <w:bidi w:val="0"/>
        <w:spacing w:before="0" w:after="0" w:line="468" w:lineRule="exact"/>
        <w:ind w:left="0" w:right="0" w:firstLine="520"/>
        <w:jc w:val="both"/>
      </w:pPr>
      <w:bookmarkStart w:id="791" w:name="bookmark791"/>
      <w:r>
        <w:rPr>
          <w:color w:val="000000"/>
          <w:spacing w:val="0"/>
          <w:w w:val="100"/>
          <w:position w:val="0"/>
        </w:rPr>
        <w:t>（</w:t>
      </w:r>
      <w:bookmarkEnd w:id="791"/>
      <w:r>
        <w:rPr>
          <w:rFonts w:ascii="Times New Roman" w:eastAsia="Times New Roman" w:hAnsi="Times New Roman" w:cs="Times New Roman"/>
          <w:color w:val="000000"/>
          <w:spacing w:val="0"/>
          <w:w w:val="100"/>
          <w:position w:val="0"/>
        </w:rPr>
        <w:t>1</w:t>
      </w:r>
      <w:r>
        <w:rPr>
          <w:color w:val="000000"/>
          <w:spacing w:val="0"/>
          <w:w w:val="100"/>
          <w:position w:val="0"/>
        </w:rPr>
        <w:t>）债务工具</w:t>
      </w:r>
    </w:p>
    <w:p>
      <w:pPr>
        <w:pStyle w:val="Style44"/>
        <w:keepNext w:val="0"/>
        <w:keepLines w:val="0"/>
        <w:widowControl w:val="0"/>
        <w:shd w:val="clear" w:color="auto" w:fill="auto"/>
        <w:bidi w:val="0"/>
        <w:spacing w:before="0" w:after="0" w:line="468" w:lineRule="exact"/>
        <w:ind w:left="0" w:right="0" w:firstLine="520"/>
        <w:jc w:val="both"/>
      </w:pPr>
      <w:r>
        <w:rPr>
          <w:color w:val="000000"/>
          <w:spacing w:val="0"/>
          <w:w w:val="100"/>
          <w:position w:val="0"/>
        </w:rPr>
        <w:t>债务工具是指从发行方角度分析符合金融负债定义的工具。债务工具的分类和后续计量取决 于本公司管理金融资产的业务模式，以及金融资产的合同现金流量特征。不能通过现金流量特征 测试的，直接分类为以公允价值计量且其变动计入当期损益的金融资产；能够通过现金流量特征 测试的，其分类取决于管理金融资产的业务模式，以及是否将其指定为以公允价值计量且其变动 计入当期损益的金融资产。</w:t>
      </w:r>
    </w:p>
    <w:p>
      <w:pPr>
        <w:pStyle w:val="Style44"/>
        <w:keepNext w:val="0"/>
        <w:keepLines w:val="0"/>
        <w:widowControl w:val="0"/>
        <w:numPr>
          <w:ilvl w:val="0"/>
          <w:numId w:val="17"/>
        </w:numPr>
        <w:shd w:val="clear" w:color="auto" w:fill="auto"/>
        <w:bidi w:val="0"/>
        <w:spacing w:before="0" w:after="0" w:line="466" w:lineRule="exact"/>
        <w:ind w:left="0" w:right="0" w:firstLine="520"/>
        <w:jc w:val="both"/>
      </w:pPr>
      <w:bookmarkStart w:id="792" w:name="bookmark792"/>
      <w:bookmarkEnd w:id="792"/>
      <w:r>
        <w:rPr>
          <w:color w:val="000000"/>
          <w:spacing w:val="0"/>
          <w:w w:val="100"/>
          <w:position w:val="0"/>
        </w:rPr>
        <w:t>以摊余成本计量。本公司管理此类金融资产的业务模式为以收取合同现金流量为目标，且 此类金融资产的合同现金流量特征与基本借贷安排相一致，即在特定日期产生的现金流量，仅为 对本金和以未偿付本金金额为基础的利息的支付，同时并未指定此类金融资产为以公允价值计量 且其变动计入当期损益。本公司对于此类金融资产按照实际利率法确认利息收入。此类金融资产 因终止确认产生的利得或损失以及因减值导致的损失直接计入当期损益。</w:t>
      </w:r>
    </w:p>
    <w:p>
      <w:pPr>
        <w:pStyle w:val="Style44"/>
        <w:keepNext w:val="0"/>
        <w:keepLines w:val="0"/>
        <w:widowControl w:val="0"/>
        <w:numPr>
          <w:ilvl w:val="0"/>
          <w:numId w:val="17"/>
        </w:numPr>
        <w:shd w:val="clear" w:color="auto" w:fill="auto"/>
        <w:tabs>
          <w:tab w:pos="812" w:val="left"/>
        </w:tabs>
        <w:bidi w:val="0"/>
        <w:spacing w:before="0" w:after="0" w:line="468" w:lineRule="exact"/>
        <w:ind w:left="0" w:right="0" w:firstLine="520"/>
        <w:jc w:val="both"/>
      </w:pPr>
      <w:bookmarkStart w:id="793" w:name="bookmark793"/>
      <w:bookmarkEnd w:id="793"/>
      <w:r>
        <w:rPr>
          <w:color w:val="000000"/>
          <w:spacing w:val="0"/>
          <w:w w:val="100"/>
          <w:position w:val="0"/>
        </w:rPr>
        <w:t>以公允价值计量且其变动计入其他综合收益。本公司管理此类金融资产的业务模式为既以 收取合同现金流量为目标又以出售为目标，且此类金融资产的合同现金流量特征与基本借贷安排 相一致，即在特定日期产生的现金流量，仅为对本金和以未偿付本金金额为基础的利息的支付， 同时并未指定此类金融资产为以公允价值计量且其变动计入当期损益。此类金融资产按照公允价 值计量且其变动计入其他综合收益，但减值损失或利得、汇兑损益和按照实际利率法计算的利息 收入计入当期损益。此类金融资产终止确认时，累计计入其他综合收益的公允价值变动将结转计 入当期损益。此类金融资产列示为其他债权投资。</w:t>
      </w:r>
    </w:p>
    <w:p>
      <w:pPr>
        <w:pStyle w:val="Style44"/>
        <w:keepNext w:val="0"/>
        <w:keepLines w:val="0"/>
        <w:widowControl w:val="0"/>
        <w:numPr>
          <w:ilvl w:val="0"/>
          <w:numId w:val="17"/>
        </w:numPr>
        <w:shd w:val="clear" w:color="auto" w:fill="auto"/>
        <w:tabs>
          <w:tab w:pos="812" w:val="left"/>
        </w:tabs>
        <w:bidi w:val="0"/>
        <w:spacing w:before="0" w:after="0" w:line="469" w:lineRule="exact"/>
        <w:ind w:left="0" w:right="0" w:firstLine="520"/>
        <w:jc w:val="both"/>
      </w:pPr>
      <w:bookmarkStart w:id="794" w:name="bookmark794"/>
      <w:bookmarkEnd w:id="794"/>
      <w:r>
        <w:rPr>
          <w:color w:val="000000"/>
          <w:spacing w:val="0"/>
          <w:w w:val="100"/>
          <w:position w:val="0"/>
        </w:rPr>
        <w:t>以公允价值计量且其变动计入当期损益。本公司将持有的未划分为以摊余成本计量和以公 允价值计量且其变动计入其他综合收益的债务工具，以公允价值计量且其变动计入当期损益，分 类为以公允价值计量且其变动计入当期损益的金融资产，列示为交易性金融资产或其他非流动金 融资产。</w:t>
      </w:r>
    </w:p>
    <w:p>
      <w:pPr>
        <w:pStyle w:val="Style44"/>
        <w:keepNext w:val="0"/>
        <w:keepLines w:val="0"/>
        <w:widowControl w:val="0"/>
        <w:numPr>
          <w:ilvl w:val="0"/>
          <w:numId w:val="19"/>
        </w:numPr>
        <w:shd w:val="clear" w:color="auto" w:fill="auto"/>
        <w:tabs>
          <w:tab w:pos="972" w:val="left"/>
        </w:tabs>
        <w:bidi w:val="0"/>
        <w:spacing w:before="0" w:after="0" w:line="469" w:lineRule="exact"/>
        <w:ind w:left="0" w:right="0" w:firstLine="520"/>
        <w:jc w:val="left"/>
      </w:pPr>
      <w:bookmarkStart w:id="795" w:name="bookmark795"/>
      <w:bookmarkEnd w:id="795"/>
      <w:r>
        <w:rPr>
          <w:color w:val="000000"/>
          <w:spacing w:val="0"/>
          <w:w w:val="100"/>
          <w:position w:val="0"/>
        </w:rPr>
        <w:t>权益工具</w:t>
      </w:r>
    </w:p>
    <w:p>
      <w:pPr>
        <w:pStyle w:val="Style44"/>
        <w:keepNext w:val="0"/>
        <w:keepLines w:val="0"/>
        <w:widowControl w:val="0"/>
        <w:shd w:val="clear" w:color="auto" w:fill="auto"/>
        <w:bidi w:val="0"/>
        <w:spacing w:before="0" w:after="0" w:line="469" w:lineRule="exact"/>
        <w:ind w:left="0" w:right="0" w:firstLine="520"/>
        <w:jc w:val="both"/>
      </w:pPr>
      <w:r>
        <w:rPr>
          <w:color w:val="000000"/>
          <w:spacing w:val="0"/>
          <w:w w:val="100"/>
          <w:position w:val="0"/>
        </w:rPr>
        <w:t>权益工具是指从发行方角度分析符合权益工具定义的工具。权益工具投资以公允价值计量且 其变动计入当期损益，列示为交易性金融资产，但本公司管理层指定为以公允价值计量且其变动 计入其他综合收益除外。指定为以公允价值计量且其变动计入综合收益的，列示为其他权益工具 投资，相关公允价值变动不得结转至当期损益，且该指定一经作出不得撤销。相关股利收入计入 当期损益。其他权益工具投资不计提减值准备，终止确认时，之前计入其他综合收益的累计利得 或损失从其他综合收益转出，计入留存收益。</w:t>
      </w:r>
    </w:p>
    <w:p>
      <w:pPr>
        <w:pStyle w:val="Style44"/>
        <w:keepNext w:val="0"/>
        <w:keepLines w:val="0"/>
        <w:widowControl w:val="0"/>
        <w:numPr>
          <w:ilvl w:val="0"/>
          <w:numId w:val="19"/>
        </w:numPr>
        <w:shd w:val="clear" w:color="auto" w:fill="auto"/>
        <w:tabs>
          <w:tab w:pos="972" w:val="left"/>
        </w:tabs>
        <w:bidi w:val="0"/>
        <w:spacing w:before="0" w:after="0" w:line="469" w:lineRule="exact"/>
        <w:ind w:left="0" w:right="0" w:firstLine="520"/>
        <w:jc w:val="left"/>
      </w:pPr>
      <w:bookmarkStart w:id="796" w:name="bookmark796"/>
      <w:bookmarkEnd w:id="796"/>
      <w:r>
        <w:rPr>
          <w:color w:val="000000"/>
          <w:spacing w:val="0"/>
          <w:w w:val="100"/>
          <w:position w:val="0"/>
        </w:rPr>
        <w:t>金融负债</w:t>
      </w:r>
    </w:p>
    <w:p>
      <w:pPr>
        <w:pStyle w:val="Style44"/>
        <w:keepNext w:val="0"/>
        <w:keepLines w:val="0"/>
        <w:widowControl w:val="0"/>
        <w:shd w:val="clear" w:color="auto" w:fill="auto"/>
        <w:bidi w:val="0"/>
        <w:spacing w:before="0" w:after="0" w:line="470" w:lineRule="exact"/>
        <w:ind w:left="0" w:right="0" w:firstLine="520"/>
        <w:jc w:val="both"/>
      </w:pPr>
      <w:r>
        <w:rPr>
          <w:color w:val="000000"/>
          <w:spacing w:val="0"/>
          <w:w w:val="100"/>
          <w:position w:val="0"/>
        </w:rPr>
        <w:t>金融负债于初始确认时分类为以公允价值计量且其变动计入当期损益的金融负债及其他金 融负债。</w:t>
      </w:r>
    </w:p>
    <w:p>
      <w:pPr>
        <w:pStyle w:val="Style44"/>
        <w:keepNext w:val="0"/>
        <w:keepLines w:val="0"/>
        <w:widowControl w:val="0"/>
        <w:shd w:val="clear" w:color="auto" w:fill="auto"/>
        <w:bidi w:val="0"/>
        <w:spacing w:before="0" w:after="0" w:line="467" w:lineRule="exact"/>
        <w:ind w:left="0" w:right="0" w:firstLine="520"/>
        <w:jc w:val="both"/>
      </w:pPr>
      <w:r>
        <w:rPr>
          <w:color w:val="000000"/>
          <w:spacing w:val="0"/>
          <w:w w:val="100"/>
          <w:position w:val="0"/>
        </w:rPr>
        <w:t>以公允价值计量且其变动计入当期损益的金融负债，包括交易性金融负债和指定为以公允价 值计量且其变动计入当期损益的金融负债。满足以下条件之一时，金融负债可在初始计量时指定 为以公允价值计量且其变动计入当期损益的金融负债：①该项指定能够消除或显著减少会计错配; ②根据正式书面文件载明的风险管理或投资策略，以公允价值为基础对金融负债组合或金融资产 和金融负债组合进行管理和业绩评价，并在公司内部以此为基础向关键管理人员报告。该指定一 经作出，不得撤销。</w:t>
      </w:r>
    </w:p>
    <w:p>
      <w:pPr>
        <w:pStyle w:val="Style44"/>
        <w:keepNext w:val="0"/>
        <w:keepLines w:val="0"/>
        <w:widowControl w:val="0"/>
        <w:shd w:val="clear" w:color="auto" w:fill="auto"/>
        <w:bidi w:val="0"/>
        <w:spacing w:before="0" w:after="40" w:line="470" w:lineRule="exact"/>
        <w:ind w:left="0" w:right="0" w:firstLine="520"/>
        <w:jc w:val="both"/>
      </w:pPr>
      <w:r>
        <w:rPr>
          <w:color w:val="000000"/>
          <w:spacing w:val="0"/>
          <w:w w:val="100"/>
          <w:position w:val="0"/>
        </w:rPr>
        <w:t xml:space="preserve">指定为以公允价值计量且变动计入当期损益的金融负债，由公司自身信用风险变动引起的公 允价值的变动金额，计入其他综合收益；其他公允价值变动，计入当期损益。该金融负债终止确 </w:t>
      </w:r>
      <w:r>
        <w:rPr>
          <w:color w:val="000000"/>
          <w:spacing w:val="0"/>
          <w:w w:val="100"/>
          <w:position w:val="0"/>
        </w:rPr>
        <w:t>认时，之前计入其他综合收益的累计利得或损失从其他综合收益转出，计入留存收益。</w:t>
      </w:r>
    </w:p>
    <w:p>
      <w:pPr>
        <w:pStyle w:val="Style44"/>
        <w:keepNext w:val="0"/>
        <w:keepLines w:val="0"/>
        <w:widowControl w:val="0"/>
        <w:shd w:val="clear" w:color="auto" w:fill="auto"/>
        <w:bidi w:val="0"/>
        <w:spacing w:before="0" w:after="40" w:line="470" w:lineRule="exact"/>
        <w:ind w:left="0" w:right="0" w:firstLine="520"/>
        <w:jc w:val="left"/>
      </w:pPr>
      <w:r>
        <w:rPr>
          <w:color w:val="000000"/>
          <w:spacing w:val="0"/>
          <w:w w:val="100"/>
          <w:position w:val="0"/>
        </w:rPr>
        <w:t>本公司其他金融负债主要包括短期借款、长期借款。对于此类金融负债，采用实际利率法， 按照摊余成本进行后续计量。</w:t>
      </w:r>
    </w:p>
    <w:p>
      <w:pPr>
        <w:pStyle w:val="Style44"/>
        <w:keepNext w:val="0"/>
        <w:keepLines w:val="0"/>
        <w:widowControl w:val="0"/>
        <w:shd w:val="clear" w:color="auto" w:fill="auto"/>
        <w:tabs>
          <w:tab w:pos="1032" w:val="left"/>
        </w:tabs>
        <w:bidi w:val="0"/>
        <w:spacing w:before="0" w:after="40" w:line="470" w:lineRule="exact"/>
        <w:ind w:left="0" w:right="0" w:firstLine="520"/>
        <w:jc w:val="left"/>
      </w:pPr>
      <w:bookmarkStart w:id="797" w:name="bookmark797"/>
      <w:r>
        <w:rPr>
          <w:color w:val="000000"/>
          <w:spacing w:val="0"/>
          <w:w w:val="100"/>
          <w:position w:val="0"/>
        </w:rPr>
        <w:t>（</w:t>
      </w:r>
      <w:bookmarkEnd w:id="797"/>
      <w:r>
        <w:rPr>
          <w:rFonts w:ascii="Times New Roman" w:eastAsia="Times New Roman" w:hAnsi="Times New Roman" w:cs="Times New Roman"/>
          <w:color w:val="000000"/>
          <w:spacing w:val="0"/>
          <w:w w:val="100"/>
          <w:position w:val="0"/>
        </w:rPr>
        <w:t>4</w:t>
      </w:r>
      <w:r>
        <w:rPr>
          <w:color w:val="000000"/>
          <w:spacing w:val="0"/>
          <w:w w:val="100"/>
          <w:position w:val="0"/>
        </w:rPr>
        <w:t>）</w:t>
        <w:tab/>
        <w:t>金融资产和金融负债的终止确认</w:t>
      </w:r>
    </w:p>
    <w:p>
      <w:pPr>
        <w:pStyle w:val="Style44"/>
        <w:keepNext w:val="0"/>
        <w:keepLines w:val="0"/>
        <w:widowControl w:val="0"/>
        <w:shd w:val="clear" w:color="auto" w:fill="auto"/>
        <w:bidi w:val="0"/>
        <w:spacing w:before="0" w:after="40" w:line="467" w:lineRule="exact"/>
        <w:ind w:left="0" w:right="0" w:firstLine="520"/>
        <w:jc w:val="left"/>
      </w:pPr>
      <w:r>
        <w:rPr>
          <w:color w:val="000000"/>
          <w:spacing w:val="0"/>
          <w:w w:val="100"/>
          <w:position w:val="0"/>
        </w:rPr>
        <w:t>金融资产满足下列条件之一的，予以终止确认：</w:t>
      </w:r>
    </w:p>
    <w:p>
      <w:pPr>
        <w:pStyle w:val="Style44"/>
        <w:keepNext w:val="0"/>
        <w:keepLines w:val="0"/>
        <w:widowControl w:val="0"/>
        <w:numPr>
          <w:ilvl w:val="0"/>
          <w:numId w:val="21"/>
        </w:numPr>
        <w:shd w:val="clear" w:color="auto" w:fill="auto"/>
        <w:tabs>
          <w:tab w:pos="931" w:val="left"/>
        </w:tabs>
        <w:bidi w:val="0"/>
        <w:spacing w:before="0" w:after="40" w:line="467" w:lineRule="exact"/>
        <w:ind w:left="0" w:right="0" w:firstLine="520"/>
        <w:jc w:val="left"/>
      </w:pPr>
      <w:bookmarkStart w:id="798" w:name="bookmark798"/>
      <w:bookmarkEnd w:id="798"/>
      <w:r>
        <w:rPr>
          <w:color w:val="000000"/>
          <w:spacing w:val="0"/>
          <w:w w:val="100"/>
          <w:position w:val="0"/>
        </w:rPr>
        <w:t>收取该金融资产现金流量的合同权利终止；</w:t>
      </w:r>
    </w:p>
    <w:p>
      <w:pPr>
        <w:pStyle w:val="Style44"/>
        <w:keepNext w:val="0"/>
        <w:keepLines w:val="0"/>
        <w:widowControl w:val="0"/>
        <w:numPr>
          <w:ilvl w:val="0"/>
          <w:numId w:val="21"/>
        </w:numPr>
        <w:shd w:val="clear" w:color="auto" w:fill="auto"/>
        <w:tabs>
          <w:tab w:pos="931" w:val="left"/>
        </w:tabs>
        <w:bidi w:val="0"/>
        <w:spacing w:before="0" w:after="40" w:line="467" w:lineRule="exact"/>
        <w:ind w:left="0" w:right="0" w:firstLine="520"/>
        <w:jc w:val="left"/>
      </w:pPr>
      <w:bookmarkStart w:id="799" w:name="bookmark799"/>
      <w:bookmarkEnd w:id="799"/>
      <w:r>
        <w:rPr>
          <w:color w:val="000000"/>
          <w:spacing w:val="0"/>
          <w:w w:val="100"/>
          <w:position w:val="0"/>
        </w:rPr>
        <w:t>该金融资产已转移，且本公司将金融资产所有权上几乎所有的风险和报酬转移给转入方；</w:t>
      </w:r>
    </w:p>
    <w:p>
      <w:pPr>
        <w:pStyle w:val="Style44"/>
        <w:keepNext w:val="0"/>
        <w:keepLines w:val="0"/>
        <w:widowControl w:val="0"/>
        <w:numPr>
          <w:ilvl w:val="0"/>
          <w:numId w:val="21"/>
        </w:numPr>
        <w:shd w:val="clear" w:color="auto" w:fill="auto"/>
        <w:tabs>
          <w:tab w:pos="872" w:val="left"/>
        </w:tabs>
        <w:bidi w:val="0"/>
        <w:spacing w:before="0" w:after="40" w:line="466" w:lineRule="exact"/>
        <w:ind w:left="0" w:right="0" w:firstLine="520"/>
        <w:jc w:val="left"/>
      </w:pPr>
      <w:bookmarkStart w:id="800" w:name="bookmark800"/>
      <w:bookmarkEnd w:id="800"/>
      <w:r>
        <w:rPr>
          <w:color w:val="000000"/>
          <w:spacing w:val="0"/>
          <w:w w:val="100"/>
          <w:position w:val="0"/>
        </w:rPr>
        <w:t>该金融资产已转移，虽然本公司既没有转移也没有保留金融资产所有权上几乎所有的风险 和报酬，但是放弃了对该金融资产的控制。</w:t>
      </w:r>
    </w:p>
    <w:p>
      <w:pPr>
        <w:pStyle w:val="Style44"/>
        <w:keepNext w:val="0"/>
        <w:keepLines w:val="0"/>
        <w:widowControl w:val="0"/>
        <w:shd w:val="clear" w:color="auto" w:fill="auto"/>
        <w:bidi w:val="0"/>
        <w:spacing w:before="0" w:after="40" w:line="475" w:lineRule="exact"/>
        <w:ind w:left="0" w:right="0" w:firstLine="520"/>
        <w:jc w:val="left"/>
      </w:pPr>
      <w:r>
        <w:rPr>
          <w:color w:val="000000"/>
          <w:spacing w:val="0"/>
          <w:w w:val="100"/>
          <w:position w:val="0"/>
        </w:rPr>
        <w:t>金融负债（或其一部分）的现时义务已经解除的，本公司终止确认该金融负债（或该部分金 融负债）。</w:t>
      </w:r>
    </w:p>
    <w:p>
      <w:pPr>
        <w:pStyle w:val="Style44"/>
        <w:keepNext w:val="0"/>
        <w:keepLines w:val="0"/>
        <w:widowControl w:val="0"/>
        <w:shd w:val="clear" w:color="auto" w:fill="auto"/>
        <w:tabs>
          <w:tab w:pos="1032" w:val="left"/>
        </w:tabs>
        <w:bidi w:val="0"/>
        <w:spacing w:before="0" w:after="40" w:line="475" w:lineRule="exact"/>
        <w:ind w:left="0" w:right="0" w:firstLine="520"/>
        <w:jc w:val="left"/>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rPr>
        <w:t>5</w:t>
      </w:r>
      <w:r>
        <w:rPr>
          <w:color w:val="000000"/>
          <w:spacing w:val="0"/>
          <w:w w:val="100"/>
          <w:position w:val="0"/>
        </w:rPr>
        <w:t>）</w:t>
        <w:tab/>
        <w:t>金融工具的减值</w:t>
      </w:r>
    </w:p>
    <w:p>
      <w:pPr>
        <w:pStyle w:val="Style44"/>
        <w:keepNext w:val="0"/>
        <w:keepLines w:val="0"/>
        <w:widowControl w:val="0"/>
        <w:shd w:val="clear" w:color="auto" w:fill="auto"/>
        <w:bidi w:val="0"/>
        <w:spacing w:before="0" w:after="40" w:line="470" w:lineRule="exact"/>
        <w:ind w:left="0" w:right="0" w:firstLine="520"/>
        <w:jc w:val="left"/>
      </w:pPr>
      <w:r>
        <w:rPr>
          <w:color w:val="000000"/>
          <w:spacing w:val="0"/>
          <w:w w:val="100"/>
          <w:position w:val="0"/>
        </w:rPr>
        <w:t>本公司以预期信用损失为基础进行金融工具减值会计处理并确认损失准备。预期信用损失， 是指以发生违约的风险为权重的金融工具信用损失的加权平均值。信用损失，是指按照原实际利 率折现的、根据合同应收的所有合同现金流量与预期收取的所有现金流量之间的差额，即全部现 金短缺的现值。</w:t>
      </w:r>
    </w:p>
    <w:p>
      <w:pPr>
        <w:pStyle w:val="Style44"/>
        <w:keepNext w:val="0"/>
        <w:keepLines w:val="0"/>
        <w:widowControl w:val="0"/>
        <w:shd w:val="clear" w:color="auto" w:fill="auto"/>
        <w:bidi w:val="0"/>
        <w:spacing w:before="0" w:after="40" w:line="467" w:lineRule="exact"/>
        <w:ind w:left="0" w:right="0" w:firstLine="520"/>
        <w:jc w:val="left"/>
      </w:pPr>
      <w:r>
        <w:rPr>
          <w:color w:val="000000"/>
          <w:spacing w:val="0"/>
          <w:w w:val="100"/>
          <w:position w:val="0"/>
        </w:rPr>
        <w:t>本公司计量金融工具预期信用损失的方法反映的因素包括：通过评价一系列可能的结果而确 定的无偏概率加权平均金额；货币时间价值；在资产负债表日无须付出不必要的额外成本或努力 即可获得的有关过去事项、当前状况以及未来经济状况预测的合理且有依据的信息。本公司按照 下列方法确定相关金融工具的预期信用损失：</w:t>
      </w:r>
    </w:p>
    <w:p>
      <w:pPr>
        <w:pStyle w:val="Style44"/>
        <w:keepNext w:val="0"/>
        <w:keepLines w:val="0"/>
        <w:widowControl w:val="0"/>
        <w:numPr>
          <w:ilvl w:val="0"/>
          <w:numId w:val="23"/>
        </w:numPr>
        <w:shd w:val="clear" w:color="auto" w:fill="auto"/>
        <w:tabs>
          <w:tab w:pos="853" w:val="left"/>
        </w:tabs>
        <w:bidi w:val="0"/>
        <w:spacing w:before="0" w:after="40" w:line="451" w:lineRule="exact"/>
        <w:ind w:left="0" w:right="0" w:firstLine="520"/>
        <w:jc w:val="left"/>
      </w:pPr>
      <w:bookmarkStart w:id="802" w:name="bookmark802"/>
      <w:bookmarkEnd w:id="802"/>
      <w:r>
        <w:rPr>
          <w:color w:val="000000"/>
          <w:spacing w:val="0"/>
          <w:w w:val="100"/>
          <w:position w:val="0"/>
        </w:rPr>
        <w:t>对于金融资产，信用损失为本公司应收取的合同现金流量与预期收取的现金流量之间差额 的现值；</w:t>
      </w:r>
    </w:p>
    <w:p>
      <w:pPr>
        <w:pStyle w:val="Style44"/>
        <w:keepNext w:val="0"/>
        <w:keepLines w:val="0"/>
        <w:widowControl w:val="0"/>
        <w:numPr>
          <w:ilvl w:val="0"/>
          <w:numId w:val="23"/>
        </w:numPr>
        <w:shd w:val="clear" w:color="auto" w:fill="auto"/>
        <w:tabs>
          <w:tab w:pos="867" w:val="left"/>
        </w:tabs>
        <w:bidi w:val="0"/>
        <w:spacing w:before="0" w:after="40" w:line="461" w:lineRule="exact"/>
        <w:ind w:left="0" w:right="0" w:firstLine="520"/>
        <w:jc w:val="left"/>
      </w:pPr>
      <w:bookmarkStart w:id="803" w:name="bookmark803"/>
      <w:bookmarkEnd w:id="803"/>
      <w:r>
        <w:rPr>
          <w:color w:val="000000"/>
          <w:spacing w:val="0"/>
          <w:w w:val="100"/>
          <w:position w:val="0"/>
        </w:rPr>
        <w:t>对于租赁应收款项，信用损失为本公司应收取的合同现金流量与预期收取的现金流量之间 差额的现值；</w:t>
      </w:r>
    </w:p>
    <w:p>
      <w:pPr>
        <w:pStyle w:val="Style44"/>
        <w:keepNext w:val="0"/>
        <w:keepLines w:val="0"/>
        <w:widowControl w:val="0"/>
        <w:numPr>
          <w:ilvl w:val="0"/>
          <w:numId w:val="23"/>
        </w:numPr>
        <w:shd w:val="clear" w:color="auto" w:fill="auto"/>
        <w:tabs>
          <w:tab w:pos="867" w:val="left"/>
        </w:tabs>
        <w:bidi w:val="0"/>
        <w:spacing w:before="0" w:after="40" w:line="466" w:lineRule="exact"/>
        <w:ind w:left="0" w:right="0" w:firstLine="520"/>
        <w:jc w:val="left"/>
      </w:pPr>
      <w:bookmarkStart w:id="804" w:name="bookmark804"/>
      <w:bookmarkEnd w:id="804"/>
      <w:r>
        <w:rPr>
          <w:color w:val="000000"/>
          <w:spacing w:val="0"/>
          <w:w w:val="100"/>
          <w:position w:val="0"/>
        </w:rPr>
        <w:t>对于资产负债表日已发生信用减值但并非购买或源生已发生信用减值的金融资产，信用损 失为该金融资产账面余额与按原实际利率折现的估计未来现金流量的现值之间的差额。</w:t>
      </w:r>
    </w:p>
    <w:p>
      <w:pPr>
        <w:pStyle w:val="Style44"/>
        <w:keepNext w:val="0"/>
        <w:keepLines w:val="0"/>
        <w:widowControl w:val="0"/>
        <w:shd w:val="clear" w:color="auto" w:fill="auto"/>
        <w:bidi w:val="0"/>
        <w:spacing w:before="0" w:after="0" w:line="466" w:lineRule="exact"/>
        <w:ind w:left="0" w:right="0" w:firstLine="520"/>
        <w:jc w:val="left"/>
      </w:pPr>
      <w:r>
        <w:rPr>
          <w:color w:val="000000"/>
          <w:spacing w:val="0"/>
          <w:w w:val="100"/>
          <w:position w:val="0"/>
        </w:rPr>
        <w:t xml:space="preserve">对于购买或源生的未发生信用减值的金融工具，每个资产负债表日，考虑合理且有依据的信 息（包括前瞻性信息），评估其信用风险自初始确认后是否显著增加，按照三阶段分别确认预期 </w:t>
      </w:r>
      <w:r>
        <w:rPr>
          <w:color w:val="000000"/>
          <w:spacing w:val="0"/>
          <w:w w:val="100"/>
          <w:position w:val="0"/>
        </w:rPr>
        <w:t>信用损失。信用风险自初始确认后未显著增加的，处于第一阶段，按照该金融工具未来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 内的预期信用损失计量损失准备；信用风险自初始确认后已显著增加但尚未发生信用减值的，处 于第二阶段，按照该金融工具整个存续期的预期信用损失计量损失准备；自初始确认后已经发生 信用减值的，处于第三阶段，按照该金融工具整个存续期的预期信用损失计量损失准备。处于第 一阶段和第二阶段的金融工具，按照其账面余额和实际利率计算利息收入；处于第三阶段的金融 工具，按照其摊余成本和实际利率计算确定利息收入。</w:t>
      </w:r>
    </w:p>
    <w:p>
      <w:pPr>
        <w:pStyle w:val="Style44"/>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对于购买或源生的已发生信用减值的金融资产，在资产负债表日仅将自初始确认后整个存续 期内预期信用损失的累计变动确认为损失准备，其利息收入按照金融资产的摊余成本和经信用调 整的实际利率计算确定。</w:t>
      </w:r>
    </w:p>
    <w:p>
      <w:pPr>
        <w:pStyle w:val="Style44"/>
        <w:keepNext w:val="0"/>
        <w:keepLines w:val="0"/>
        <w:widowControl w:val="0"/>
        <w:shd w:val="clear" w:color="auto" w:fill="auto"/>
        <w:bidi w:val="0"/>
        <w:spacing w:before="0" w:after="0" w:line="475" w:lineRule="exact"/>
        <w:ind w:left="0" w:right="0" w:firstLine="520"/>
        <w:jc w:val="both"/>
      </w:pPr>
      <w:r>
        <w:rPr>
          <w:color w:val="000000"/>
          <w:spacing w:val="0"/>
          <w:w w:val="100"/>
          <w:position w:val="0"/>
        </w:rPr>
        <w:t>损失准备的增加或转回，作为减值损失或利得，计入当期损益。对于持有的以公允价值计量 且其变动计入其他综合收益的债务工具，减值损失或利得计入当期损益的同时调整其他综合收益。</w:t>
      </w:r>
    </w:p>
    <w:p>
      <w:pPr>
        <w:pStyle w:val="Style44"/>
        <w:keepNext w:val="0"/>
        <w:keepLines w:val="0"/>
        <w:widowControl w:val="0"/>
        <w:numPr>
          <w:ilvl w:val="0"/>
          <w:numId w:val="25"/>
        </w:numPr>
        <w:shd w:val="clear" w:color="auto" w:fill="auto"/>
        <w:bidi w:val="0"/>
        <w:spacing w:before="0" w:after="0" w:line="480" w:lineRule="exact"/>
        <w:ind w:left="0" w:right="0" w:firstLine="520"/>
        <w:jc w:val="both"/>
      </w:pPr>
      <w:bookmarkStart w:id="805" w:name="bookmark805"/>
      <w:bookmarkEnd w:id="805"/>
      <w:r>
        <w:rPr>
          <w:color w:val="000000"/>
          <w:spacing w:val="0"/>
          <w:w w:val="100"/>
          <w:position w:val="0"/>
        </w:rPr>
        <w:t>对于应收票据和应收账款，无论是否存在重大融资成分，本公司均按照整个存续期的预期 信用损失计量损失准备。</w:t>
      </w:r>
    </w:p>
    <w:p>
      <w:pPr>
        <w:pStyle w:val="Style44"/>
        <w:keepNext w:val="0"/>
        <w:keepLines w:val="0"/>
        <w:widowControl w:val="0"/>
        <w:shd w:val="clear" w:color="auto" w:fill="auto"/>
        <w:bidi w:val="0"/>
        <w:spacing w:before="0" w:after="0" w:line="475" w:lineRule="exact"/>
        <w:ind w:left="0" w:right="0" w:firstLine="520"/>
        <w:jc w:val="both"/>
      </w:pPr>
      <w:r>
        <w:rPr>
          <w:color w:val="000000"/>
          <w:spacing w:val="0"/>
          <w:w w:val="100"/>
          <w:position w:val="0"/>
        </w:rPr>
        <w:t>当单项应收票据和应收账款无法以合理成本取得评估预期信用损失的信息时，本公司依据信 用风险特征，将应收票据和应收账款划分为若干组合，在组合基础上计算预期信用损失。</w:t>
      </w:r>
    </w:p>
    <w:p>
      <w:pPr>
        <w:pStyle w:val="Style44"/>
        <w:keepNext w:val="0"/>
        <w:keepLines w:val="0"/>
        <w:widowControl w:val="0"/>
        <w:shd w:val="clear" w:color="auto" w:fill="auto"/>
        <w:bidi w:val="0"/>
        <w:spacing w:before="0" w:after="140" w:line="466" w:lineRule="exact"/>
        <w:ind w:left="0" w:right="0" w:firstLine="520"/>
        <w:jc w:val="both"/>
      </w:pPr>
      <w:r>
        <w:rPr>
          <w:color w:val="000000"/>
          <w:spacing w:val="0"/>
          <w:w w:val="100"/>
          <w:position w:val="0"/>
        </w:rPr>
        <w:t>对于划分为组合的应收票据，本公司参考历史信用损失经验，结合当前状况以及对未来经济 状况的预测，通过违约风险敞口和整个存续期预期信用损失率，计算预期信用损失。确定组合的 依据如下：</w:t>
      </w:r>
    </w:p>
    <w:tbl>
      <w:tblPr>
        <w:tblOverlap w:val="never"/>
        <w:jc w:val="center"/>
        <w:tblLayout w:type="fixed"/>
      </w:tblPr>
      <w:tblGrid>
        <w:gridCol w:w="2659"/>
        <w:gridCol w:w="7070"/>
      </w:tblGrid>
      <w:tr>
        <w:trPr>
          <w:trHeight w:val="46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280" w:right="0" w:firstLine="0"/>
              <w:jc w:val="left"/>
              <w:rPr>
                <w:sz w:val="20"/>
                <w:szCs w:val="20"/>
              </w:rPr>
            </w:pPr>
            <w:r>
              <w:rPr>
                <w:b/>
                <w:bCs/>
                <w:color w:val="000000"/>
                <w:spacing w:val="0"/>
                <w:w w:val="100"/>
                <w:position w:val="0"/>
                <w:sz w:val="20"/>
                <w:szCs w:val="20"/>
              </w:rPr>
              <w:t>组合名称</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确定组合的依据</w:t>
            </w:r>
          </w:p>
        </w:tc>
      </w:tr>
      <w:tr>
        <w:trPr>
          <w:trHeight w:val="45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2880" w:right="0" w:firstLine="0"/>
              <w:jc w:val="left"/>
              <w:rPr>
                <w:sz w:val="20"/>
                <w:szCs w:val="20"/>
              </w:rPr>
            </w:pPr>
            <w:r>
              <w:rPr>
                <w:color w:val="000000"/>
                <w:spacing w:val="0"/>
                <w:w w:val="100"/>
                <w:position w:val="0"/>
                <w:sz w:val="20"/>
                <w:szCs w:val="20"/>
              </w:rPr>
              <w:t>银行承兑汇票</w:t>
            </w:r>
          </w:p>
        </w:tc>
      </w:tr>
      <w:tr>
        <w:trPr>
          <w:trHeight w:val="45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rPr>
              <w:t>2</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2880" w:right="0" w:firstLine="0"/>
              <w:jc w:val="left"/>
              <w:rPr>
                <w:sz w:val="20"/>
                <w:szCs w:val="20"/>
              </w:rPr>
            </w:pPr>
            <w:r>
              <w:rPr>
                <w:color w:val="000000"/>
                <w:spacing w:val="0"/>
                <w:w w:val="100"/>
                <w:position w:val="0"/>
                <w:sz w:val="20"/>
                <w:szCs w:val="20"/>
              </w:rPr>
              <w:t>商业承兑汇票</w:t>
            </w:r>
          </w:p>
        </w:tc>
      </w:tr>
      <w:tr>
        <w:trPr>
          <w:trHeight w:val="518"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对于划分为组合的应收账款，本公司参考历史信用损失经验，结合当前状况以及对未来经济</w:t>
            </w:r>
          </w:p>
        </w:tc>
      </w:tr>
      <w:tr>
        <w:trPr>
          <w:trHeight w:val="470" w:hRule="exact"/>
        </w:trPr>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状况的预测，编制应收账款账龄与整个存续期预期信用损失率对照表，计算预期信用损失。确定</w:t>
            </w:r>
          </w:p>
        </w:tc>
      </w:tr>
      <w:tr>
        <w:trPr>
          <w:trHeight w:val="51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组合的依据如下：</w:t>
            </w:r>
          </w:p>
        </w:tc>
        <w:tc>
          <w:tcPr>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280" w:right="0" w:firstLine="0"/>
              <w:jc w:val="left"/>
              <w:rPr>
                <w:sz w:val="20"/>
                <w:szCs w:val="20"/>
              </w:rPr>
            </w:pPr>
            <w:r>
              <w:rPr>
                <w:b/>
                <w:bCs/>
                <w:color w:val="000000"/>
                <w:spacing w:val="0"/>
                <w:w w:val="100"/>
                <w:position w:val="0"/>
                <w:sz w:val="20"/>
                <w:szCs w:val="20"/>
              </w:rPr>
              <w:t>组合名称</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2880" w:right="0" w:firstLine="0"/>
              <w:jc w:val="left"/>
              <w:rPr>
                <w:sz w:val="20"/>
                <w:szCs w:val="20"/>
              </w:rPr>
            </w:pPr>
            <w:r>
              <w:rPr>
                <w:b/>
                <w:bCs/>
                <w:color w:val="000000"/>
                <w:spacing w:val="0"/>
                <w:w w:val="100"/>
                <w:position w:val="0"/>
                <w:sz w:val="20"/>
                <w:szCs w:val="20"/>
              </w:rPr>
              <w:t>确定组合的依据</w:t>
            </w:r>
          </w:p>
        </w:tc>
      </w:tr>
      <w:tr>
        <w:trPr>
          <w:trHeight w:val="45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应收合并内关联方款项</w:t>
            </w:r>
          </w:p>
        </w:tc>
      </w:tr>
      <w:tr>
        <w:trPr>
          <w:trHeight w:val="475"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rPr>
              <w:t>2</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按账龄划分的具有类似信用风险特征的应收款项</w:t>
            </w:r>
          </w:p>
        </w:tc>
      </w:tr>
    </w:tbl>
    <w:p>
      <w:pPr>
        <w:pStyle w:val="Style44"/>
        <w:keepNext w:val="0"/>
        <w:keepLines w:val="0"/>
        <w:widowControl w:val="0"/>
        <w:numPr>
          <w:ilvl w:val="0"/>
          <w:numId w:val="25"/>
        </w:numPr>
        <w:shd w:val="clear" w:color="auto" w:fill="auto"/>
        <w:bidi w:val="0"/>
        <w:spacing w:before="0" w:after="0" w:line="475" w:lineRule="exact"/>
        <w:ind w:left="0" w:right="0" w:firstLine="520"/>
        <w:jc w:val="both"/>
        <w:sectPr>
          <w:headerReference w:type="default" r:id="rId99"/>
          <w:footerReference w:type="default" r:id="rId100"/>
          <w:headerReference w:type="even" r:id="rId101"/>
          <w:footerReference w:type="even" r:id="rId102"/>
          <w:footnotePr>
            <w:pos w:val="pageBottom"/>
            <w:numFmt w:val="decimal"/>
            <w:numRestart w:val="continuous"/>
          </w:footnotePr>
          <w:pgSz w:w="11900" w:h="16840"/>
          <w:pgMar w:top="1424" w:right="922" w:bottom="1327" w:left="1027" w:header="0" w:footer="3" w:gutter="0"/>
          <w:cols w:space="720"/>
          <w:noEndnote/>
          <w:rtlGutter w:val="0"/>
          <w:docGrid w:linePitch="360"/>
        </w:sectPr>
      </w:pPr>
      <w:bookmarkStart w:id="806" w:name="bookmark806"/>
      <w:bookmarkEnd w:id="806"/>
      <w:r>
        <w:rPr>
          <w:color w:val="000000"/>
          <w:spacing w:val="0"/>
          <w:w w:val="100"/>
          <w:position w:val="0"/>
        </w:rPr>
        <w:t>当单项其他应收款、长期应收款无法以合理成本取得评估预期信用损失的信息时，本公司 依据信用风险特征将其他应收款、长期应收款划分为若干组合，在组合基础上计算预期信用损失。</w:t>
      </w:r>
    </w:p>
    <w:tbl>
      <w:tblPr>
        <w:tblOverlap w:val="never"/>
        <w:jc w:val="center"/>
        <w:tblLayout w:type="fixed"/>
      </w:tblPr>
      <w:tblGrid>
        <w:gridCol w:w="2688"/>
        <w:gridCol w:w="7162"/>
      </w:tblGrid>
      <w:tr>
        <w:trPr>
          <w:trHeight w:val="70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b/>
                <w:bCs/>
                <w:color w:val="01408A"/>
                <w:spacing w:val="0"/>
                <w:w w:val="100"/>
                <w:position w:val="0"/>
                <w:sz w:val="42"/>
                <w:szCs w:val="42"/>
              </w:rPr>
              <w:t>Nation ©</w:t>
            </w:r>
          </w:p>
          <w:p>
            <w:pPr>
              <w:pStyle w:val="Style2"/>
              <w:keepNext w:val="0"/>
              <w:keepLines w:val="0"/>
              <w:widowControl w:val="0"/>
              <w:shd w:val="clear" w:color="auto" w:fill="auto"/>
              <w:bidi w:val="0"/>
              <w:spacing w:before="0" w:after="0" w:line="240" w:lineRule="auto"/>
              <w:ind w:left="0" w:right="0" w:firstLine="58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国民技术股份有限公司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年年度报告全文</w:t>
            </w:r>
          </w:p>
        </w:tc>
      </w:tr>
      <w:tr>
        <w:trPr>
          <w:trHeight w:val="806"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确定组合的依据如下：</w:t>
            </w:r>
          </w:p>
        </w:tc>
      </w:tr>
      <w:tr>
        <w:trPr>
          <w:trHeight w:val="45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320" w:right="0" w:firstLine="0"/>
              <w:jc w:val="left"/>
              <w:rPr>
                <w:sz w:val="20"/>
                <w:szCs w:val="20"/>
              </w:rPr>
            </w:pPr>
            <w:r>
              <w:rPr>
                <w:b/>
                <w:bCs/>
                <w:color w:val="000000"/>
                <w:spacing w:val="0"/>
                <w:w w:val="100"/>
                <w:position w:val="0"/>
                <w:sz w:val="20"/>
                <w:szCs w:val="20"/>
              </w:rPr>
              <w:t>组合名称</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确定组合的依据</w:t>
            </w:r>
          </w:p>
        </w:tc>
      </w:tr>
      <w:tr>
        <w:trPr>
          <w:trHeight w:val="45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应收合并内关联方款项</w:t>
            </w:r>
          </w:p>
        </w:tc>
      </w:tr>
      <w:tr>
        <w:trPr>
          <w:trHeight w:val="48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rPr>
              <w:t>2</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按账龄划分的具有类似信用风险特征的应收款项</w:t>
            </w:r>
          </w:p>
        </w:tc>
      </w:tr>
      <w:tr>
        <w:trPr>
          <w:trHeight w:val="74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rPr>
              <w:t>3</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88" w:lineRule="exact"/>
              <w:ind w:left="460" w:right="0" w:firstLine="20"/>
              <w:jc w:val="both"/>
              <w:rPr>
                <w:sz w:val="20"/>
                <w:szCs w:val="20"/>
              </w:rPr>
            </w:pPr>
            <w:r>
              <w:rPr>
                <w:color w:val="000000"/>
                <w:spacing w:val="0"/>
                <w:w w:val="100"/>
                <w:position w:val="0"/>
                <w:sz w:val="20"/>
                <w:szCs w:val="20"/>
              </w:rPr>
              <w:t>根据业务性质，认定低信用风险，主要包括押金及保证金、备用金、 未逾期的商业承兑汇票、社保和公积金等</w:t>
            </w:r>
          </w:p>
        </w:tc>
      </w:tr>
    </w:tbl>
    <w:p>
      <w:pPr>
        <w:pStyle w:val="Style3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r>
        <w:rPr>
          <w:color w:val="000000"/>
          <w:spacing w:val="0"/>
          <w:w w:val="100"/>
          <w:position w:val="0"/>
        </w:rPr>
        <w:t>）金融资产和金融负债的抵销</w:t>
      </w:r>
    </w:p>
    <w:p>
      <w:pPr>
        <w:pStyle w:val="Style44"/>
        <w:keepNext w:val="0"/>
        <w:keepLines w:val="0"/>
        <w:widowControl w:val="0"/>
        <w:shd w:val="clear" w:color="auto" w:fill="auto"/>
        <w:bidi w:val="0"/>
        <w:spacing w:before="0" w:after="0" w:line="480" w:lineRule="exact"/>
        <w:ind w:left="0" w:right="0" w:firstLine="520"/>
        <w:jc w:val="both"/>
      </w:pPr>
      <w:r>
        <w:rPr>
          <w:color w:val="000000"/>
          <w:spacing w:val="0"/>
          <w:w w:val="100"/>
          <w:position w:val="0"/>
        </w:rPr>
        <w:t>当本公司具有抵销已确认金融资产和金融负债的法定权利，且目前可执行该种法定权利，同 时本公司计划以净额结算或同时变现该金融资产和清偿该金融负债时，金融资产和金融负债以相 互抵销后的金额在资产负债表内列示。除此以外，金融资产和金融负债在资产负债表内分别列示, 不予相互抵销。</w:t>
      </w:r>
    </w:p>
    <w:p>
      <w:pPr>
        <w:pStyle w:val="Style44"/>
        <w:keepNext w:val="0"/>
        <w:keepLines w:val="0"/>
        <w:widowControl w:val="0"/>
        <w:shd w:val="clear" w:color="auto" w:fill="auto"/>
        <w:bidi w:val="0"/>
        <w:spacing w:before="0" w:after="0" w:line="480" w:lineRule="exact"/>
        <w:ind w:left="0" w:right="0" w:firstLine="520"/>
        <w:jc w:val="both"/>
      </w:pPr>
      <w:bookmarkStart w:id="807" w:name="bookmark807"/>
      <w:r>
        <w:rPr>
          <w:color w:val="000000"/>
          <w:spacing w:val="0"/>
          <w:w w:val="100"/>
          <w:position w:val="0"/>
        </w:rPr>
        <w:t>（</w:t>
      </w:r>
      <w:bookmarkEnd w:id="807"/>
      <w:r>
        <w:rPr>
          <w:rFonts w:ascii="Times New Roman" w:eastAsia="Times New Roman" w:hAnsi="Times New Roman" w:cs="Times New Roman"/>
          <w:color w:val="000000"/>
          <w:spacing w:val="0"/>
          <w:w w:val="100"/>
          <w:position w:val="0"/>
        </w:rPr>
        <w:t>7</w:t>
      </w:r>
      <w:r>
        <w:rPr>
          <w:color w:val="000000"/>
          <w:spacing w:val="0"/>
          <w:w w:val="100"/>
          <w:position w:val="0"/>
        </w:rPr>
        <w:t>）金融工具的公允价值确定</w:t>
      </w:r>
    </w:p>
    <w:p>
      <w:pPr>
        <w:pStyle w:val="Style44"/>
        <w:keepNext w:val="0"/>
        <w:keepLines w:val="0"/>
        <w:widowControl w:val="0"/>
        <w:shd w:val="clear" w:color="auto" w:fill="auto"/>
        <w:bidi w:val="0"/>
        <w:spacing w:before="0" w:after="420" w:line="471" w:lineRule="exact"/>
        <w:ind w:left="0" w:right="0" w:firstLine="520"/>
        <w:jc w:val="both"/>
      </w:pPr>
      <w:r>
        <w:rPr>
          <w:color w:val="000000"/>
          <w:spacing w:val="0"/>
          <w:w w:val="100"/>
          <w:position w:val="0"/>
        </w:rPr>
        <w:t>存在活跃市场的金融工具，以市场参与者在计量日发生的有序交易中，出售一项资产所能收 到或者转移一项负债所需支付的价格确定其公允价值。不存在活跃市场的金融工具，采用估值技 术确定其公允价值。在估值时，本公司采用在当前情况下适用并且有足够可利用数据和其他信息 支持的估值技术，选择与市场参与者在相关资产或负债的交易中所考虑的资产或负债特征相一致 的输入值，并尽可能优先使用相关可观察输入值。在相关可观察输入值无法取得或取得不切实可 行时，使用不可观察输入值。</w:t>
      </w:r>
    </w:p>
    <w:p>
      <w:pPr>
        <w:pStyle w:val="Style52"/>
        <w:keepNext/>
        <w:keepLines/>
        <w:widowControl w:val="0"/>
        <w:shd w:val="clear" w:color="auto" w:fill="auto"/>
        <w:bidi w:val="0"/>
        <w:spacing w:before="0" w:after="0" w:line="413" w:lineRule="auto"/>
        <w:ind w:left="0" w:right="0" w:firstLine="0"/>
        <w:jc w:val="both"/>
        <w:rPr>
          <w:sz w:val="24"/>
          <w:szCs w:val="24"/>
        </w:rPr>
      </w:pPr>
      <w:bookmarkStart w:id="808" w:name="bookmark808"/>
      <w:bookmarkStart w:id="809" w:name="bookmark809"/>
      <w:bookmarkStart w:id="810" w:name="bookmark810"/>
      <w:r>
        <w:rPr>
          <w:rFonts w:ascii="Times New Roman" w:eastAsia="Times New Roman" w:hAnsi="Times New Roman" w:cs="Times New Roman"/>
          <w:b w:val="0"/>
          <w:bCs w:val="0"/>
          <w:color w:val="000000"/>
          <w:spacing w:val="0"/>
          <w:w w:val="100"/>
          <w:position w:val="0"/>
          <w:sz w:val="24"/>
          <w:szCs w:val="24"/>
        </w:rPr>
        <w:t>11</w:t>
      </w:r>
      <w:r>
        <w:rPr>
          <w:b w:val="0"/>
          <w:bCs w:val="0"/>
          <w:color w:val="000000"/>
          <w:spacing w:val="0"/>
          <w:w w:val="100"/>
          <w:position w:val="0"/>
          <w:sz w:val="24"/>
          <w:szCs w:val="24"/>
        </w:rPr>
        <w:t>、存货</w:t>
      </w:r>
      <w:bookmarkEnd w:id="808"/>
      <w:bookmarkEnd w:id="809"/>
      <w:bookmarkEnd w:id="810"/>
    </w:p>
    <w:p>
      <w:pPr>
        <w:pStyle w:val="Style44"/>
        <w:keepNext w:val="0"/>
        <w:keepLines w:val="0"/>
        <w:widowControl w:val="0"/>
        <w:shd w:val="clear" w:color="auto" w:fill="auto"/>
        <w:tabs>
          <w:tab w:pos="1031" w:val="left"/>
        </w:tabs>
        <w:bidi w:val="0"/>
        <w:spacing w:before="0" w:after="0" w:line="480" w:lineRule="exact"/>
        <w:ind w:left="0" w:right="0" w:firstLine="520"/>
        <w:jc w:val="both"/>
      </w:pPr>
      <w:bookmarkStart w:id="811" w:name="bookmark811"/>
      <w:r>
        <w:rPr>
          <w:color w:val="000000"/>
          <w:spacing w:val="0"/>
          <w:w w:val="100"/>
          <w:position w:val="0"/>
        </w:rPr>
        <w:t>（</w:t>
      </w:r>
      <w:bookmarkEnd w:id="811"/>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p>
    <w:p>
      <w:pPr>
        <w:pStyle w:val="Style44"/>
        <w:keepNext w:val="0"/>
        <w:keepLines w:val="0"/>
        <w:widowControl w:val="0"/>
        <w:shd w:val="clear" w:color="auto" w:fill="auto"/>
        <w:bidi w:val="0"/>
        <w:spacing w:before="0" w:after="0" w:line="480" w:lineRule="exact"/>
        <w:ind w:left="0" w:right="0" w:firstLine="980"/>
        <w:jc w:val="both"/>
      </w:pPr>
      <w:r>
        <w:rPr>
          <w:color w:val="000000"/>
          <w:spacing w:val="0"/>
          <w:w w:val="100"/>
          <w:position w:val="0"/>
        </w:rPr>
        <w:t>本公司存货分为原材料、在产品、库存商品、周转材料、发出商品、委托加工物资、未 到结算期的分期销售收款商品或提供的劳务等。</w:t>
      </w:r>
    </w:p>
    <w:p>
      <w:pPr>
        <w:pStyle w:val="Style44"/>
        <w:keepNext w:val="0"/>
        <w:keepLines w:val="0"/>
        <w:widowControl w:val="0"/>
        <w:shd w:val="clear" w:color="auto" w:fill="auto"/>
        <w:tabs>
          <w:tab w:pos="1031" w:val="left"/>
        </w:tabs>
        <w:bidi w:val="0"/>
        <w:spacing w:before="0" w:after="0" w:line="480" w:lineRule="exact"/>
        <w:ind w:left="0" w:right="0" w:firstLine="520"/>
        <w:jc w:val="both"/>
      </w:pPr>
      <w:bookmarkStart w:id="812" w:name="bookmark812"/>
      <w:r>
        <w:rPr>
          <w:color w:val="000000"/>
          <w:spacing w:val="0"/>
          <w:w w:val="100"/>
          <w:position w:val="0"/>
        </w:rPr>
        <w:t>（</w:t>
      </w:r>
      <w:bookmarkEnd w:id="812"/>
      <w:r>
        <w:rPr>
          <w:rFonts w:ascii="Times New Roman" w:eastAsia="Times New Roman" w:hAnsi="Times New Roman" w:cs="Times New Roman"/>
          <w:color w:val="000000"/>
          <w:spacing w:val="0"/>
          <w:w w:val="100"/>
          <w:position w:val="0"/>
        </w:rPr>
        <w:t>2</w:t>
      </w:r>
      <w:r>
        <w:rPr>
          <w:color w:val="000000"/>
          <w:spacing w:val="0"/>
          <w:w w:val="100"/>
          <w:position w:val="0"/>
        </w:rPr>
        <w:t>）</w:t>
        <w:tab/>
        <w:t>存货取得和发出的计价方法</w:t>
      </w:r>
    </w:p>
    <w:p>
      <w:pPr>
        <w:pStyle w:val="Style44"/>
        <w:keepNext w:val="0"/>
        <w:keepLines w:val="0"/>
        <w:widowControl w:val="0"/>
        <w:shd w:val="clear" w:color="auto" w:fill="auto"/>
        <w:bidi w:val="0"/>
        <w:spacing w:before="0" w:after="0" w:line="470" w:lineRule="exact"/>
        <w:ind w:left="0" w:right="0" w:firstLine="980"/>
        <w:jc w:val="both"/>
      </w:pPr>
      <w:r>
        <w:rPr>
          <w:color w:val="000000"/>
          <w:spacing w:val="0"/>
          <w:w w:val="100"/>
          <w:position w:val="0"/>
        </w:rPr>
        <w:t>本公司存货盘存制度采用永续盘存制，存货取得时按实际成本计价。原材料、在产品、 库存商品、发出商品等发出时采用月末一次加权平均法计价；低值易耗品领用时采用一次转销法 摊销；周转用包装物按照预计的使用次数分次计入成本费用。</w:t>
      </w:r>
    </w:p>
    <w:p>
      <w:pPr>
        <w:pStyle w:val="Style44"/>
        <w:keepNext w:val="0"/>
        <w:keepLines w:val="0"/>
        <w:widowControl w:val="0"/>
        <w:shd w:val="clear" w:color="auto" w:fill="auto"/>
        <w:tabs>
          <w:tab w:pos="1031" w:val="left"/>
        </w:tabs>
        <w:bidi w:val="0"/>
        <w:spacing w:before="0" w:after="0" w:line="470" w:lineRule="exact"/>
        <w:ind w:left="0" w:right="0" w:firstLine="520"/>
        <w:jc w:val="both"/>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rPr>
        <w:t>3</w:t>
      </w:r>
      <w:r>
        <w:rPr>
          <w:color w:val="000000"/>
          <w:spacing w:val="0"/>
          <w:w w:val="100"/>
          <w:position w:val="0"/>
        </w:rPr>
        <w:t>）</w:t>
        <w:tab/>
        <w:t>存货跌价准备计提方法</w:t>
      </w:r>
    </w:p>
    <w:p>
      <w:pPr>
        <w:pStyle w:val="Style44"/>
        <w:keepNext w:val="0"/>
        <w:keepLines w:val="0"/>
        <w:widowControl w:val="0"/>
        <w:shd w:val="clear" w:color="auto" w:fill="auto"/>
        <w:bidi w:val="0"/>
        <w:spacing w:before="0" w:after="0" w:line="476" w:lineRule="exact"/>
        <w:ind w:left="0" w:right="0" w:firstLine="980"/>
        <w:jc w:val="both"/>
        <w:sectPr>
          <w:headerReference w:type="default" r:id="rId103"/>
          <w:footerReference w:type="default" r:id="rId104"/>
          <w:headerReference w:type="even" r:id="rId105"/>
          <w:footerReference w:type="even" r:id="rId106"/>
          <w:footnotePr>
            <w:pos w:val="pageBottom"/>
            <w:numFmt w:val="decimal"/>
            <w:numRestart w:val="continuous"/>
          </w:footnotePr>
          <w:pgSz w:w="11900" w:h="16840"/>
          <w:pgMar w:top="452" w:right="985" w:bottom="1234" w:left="1066" w:header="24" w:footer="3" w:gutter="0"/>
          <w:cols w:space="720"/>
          <w:noEndnote/>
          <w:rtlGutter w:val="0"/>
          <w:docGrid w:linePitch="360"/>
        </w:sectPr>
      </w:pPr>
      <w:r>
        <w:rPr>
          <w:color w:val="000000"/>
          <w:spacing w:val="0"/>
          <w:w w:val="100"/>
          <w:position w:val="0"/>
        </w:rPr>
        <w:t>本公司期末存货成本高于其可变现净值的，计提存货跌价准备。本公司通常按照单个存</w:t>
      </w:r>
    </w:p>
    <w:p>
      <w:pPr>
        <w:pStyle w:val="Style44"/>
        <w:keepNext w:val="0"/>
        <w:keepLines w:val="0"/>
        <w:widowControl w:val="0"/>
        <w:shd w:val="clear" w:color="auto" w:fill="auto"/>
        <w:bidi w:val="0"/>
        <w:spacing w:before="180" w:after="0" w:line="475" w:lineRule="exact"/>
        <w:ind w:left="0" w:right="0" w:firstLine="0"/>
        <w:jc w:val="both"/>
      </w:pPr>
      <w:r>
        <w:rPr>
          <w:color w:val="000000"/>
          <w:spacing w:val="0"/>
          <w:w w:val="100"/>
          <w:position w:val="0"/>
        </w:rPr>
        <w:t>货项目计提存货跌价准备，期末，以前减记存货价值的影响因素已经消失的，存货跌价准备在原 己计提的金额内转回。</w:t>
      </w:r>
    </w:p>
    <w:p>
      <w:pPr>
        <w:pStyle w:val="Style44"/>
        <w:keepNext w:val="0"/>
        <w:keepLines w:val="0"/>
        <w:widowControl w:val="0"/>
        <w:shd w:val="clear" w:color="auto" w:fill="auto"/>
        <w:bidi w:val="0"/>
        <w:spacing w:before="0" w:after="0" w:line="475" w:lineRule="exact"/>
        <w:ind w:left="0" w:right="0" w:firstLine="520"/>
        <w:jc w:val="both"/>
      </w:pPr>
      <w:bookmarkStart w:id="814" w:name="bookmark814"/>
      <w:r>
        <w:rPr>
          <w:color w:val="000000"/>
          <w:spacing w:val="0"/>
          <w:w w:val="100"/>
          <w:position w:val="0"/>
        </w:rPr>
        <w:t>（</w:t>
      </w:r>
      <w:bookmarkEnd w:id="814"/>
      <w:r>
        <w:rPr>
          <w:rFonts w:ascii="Times New Roman" w:eastAsia="Times New Roman" w:hAnsi="Times New Roman" w:cs="Times New Roman"/>
          <w:color w:val="000000"/>
          <w:spacing w:val="0"/>
          <w:w w:val="100"/>
          <w:position w:val="0"/>
        </w:rPr>
        <w:t>4</w:t>
      </w:r>
      <w:r>
        <w:rPr>
          <w:color w:val="000000"/>
          <w:spacing w:val="0"/>
          <w:w w:val="100"/>
          <w:position w:val="0"/>
        </w:rPr>
        <w:t>）存货可变现净值的确认方法</w:t>
      </w:r>
    </w:p>
    <w:p>
      <w:pPr>
        <w:pStyle w:val="Style44"/>
        <w:keepNext w:val="0"/>
        <w:keepLines w:val="0"/>
        <w:widowControl w:val="0"/>
        <w:shd w:val="clear" w:color="auto" w:fill="auto"/>
        <w:bidi w:val="0"/>
        <w:spacing w:before="0" w:after="200" w:line="470" w:lineRule="exact"/>
        <w:ind w:left="0" w:right="0" w:firstLine="520"/>
        <w:jc w:val="both"/>
      </w:pPr>
      <w:r>
        <w:rPr>
          <w:color w:val="000000"/>
          <w:spacing w:val="0"/>
          <w:w w:val="100"/>
          <w:position w:val="0"/>
        </w:rPr>
        <w:t>存货可变现净值是按存货的估计售价减去至完工时估计将要发生的成本、估计的销售费用以 及相关税费后的金额。</w:t>
      </w:r>
    </w:p>
    <w:p>
      <w:pPr>
        <w:pStyle w:val="Style52"/>
        <w:keepNext/>
        <w:keepLines/>
        <w:widowControl w:val="0"/>
        <w:shd w:val="clear" w:color="auto" w:fill="auto"/>
        <w:tabs>
          <w:tab w:pos="488" w:val="left"/>
        </w:tabs>
        <w:bidi w:val="0"/>
        <w:spacing w:before="0" w:after="200" w:line="470" w:lineRule="exact"/>
        <w:ind w:left="0" w:right="0" w:firstLine="0"/>
        <w:jc w:val="left"/>
        <w:rPr>
          <w:sz w:val="24"/>
          <w:szCs w:val="24"/>
        </w:rPr>
      </w:pPr>
      <w:bookmarkStart w:id="815" w:name="bookmark815"/>
      <w:bookmarkStart w:id="816" w:name="bookmark816"/>
      <w:bookmarkStart w:id="817" w:name="bookmark817"/>
      <w:bookmarkStart w:id="818" w:name="bookmark818"/>
      <w:r>
        <w:rPr>
          <w:rFonts w:ascii="Times New Roman" w:eastAsia="Times New Roman" w:hAnsi="Times New Roman" w:cs="Times New Roman"/>
          <w:b w:val="0"/>
          <w:bCs w:val="0"/>
          <w:color w:val="000000"/>
          <w:spacing w:val="0"/>
          <w:w w:val="100"/>
          <w:position w:val="0"/>
          <w:sz w:val="24"/>
          <w:szCs w:val="24"/>
        </w:rPr>
        <w:t>1</w:t>
      </w:r>
      <w:bookmarkEnd w:id="817"/>
      <w:r>
        <w:rPr>
          <w:rFonts w:ascii="Times New Roman" w:eastAsia="Times New Roman" w:hAnsi="Times New Roman" w:cs="Times New Roman"/>
          <w:b w:val="0"/>
          <w:bCs w:val="0"/>
          <w:color w:val="000000"/>
          <w:spacing w:val="0"/>
          <w:w w:val="100"/>
          <w:position w:val="0"/>
          <w:sz w:val="24"/>
          <w:szCs w:val="24"/>
        </w:rPr>
        <w:t>2</w:t>
      </w:r>
      <w:r>
        <w:rPr>
          <w:b w:val="0"/>
          <w:bCs w:val="0"/>
          <w:color w:val="000000"/>
          <w:spacing w:val="0"/>
          <w:w w:val="100"/>
          <w:position w:val="0"/>
          <w:sz w:val="24"/>
          <w:szCs w:val="24"/>
        </w:rPr>
        <w:t>、</w:t>
        <w:tab/>
        <w:t>合同资产和合同负债</w:t>
      </w:r>
      <w:bookmarkEnd w:id="815"/>
      <w:bookmarkEnd w:id="816"/>
      <w:bookmarkEnd w:id="818"/>
    </w:p>
    <w:p>
      <w:pPr>
        <w:pStyle w:val="Style44"/>
        <w:keepNext w:val="0"/>
        <w:keepLines w:val="0"/>
        <w:widowControl w:val="0"/>
        <w:shd w:val="clear" w:color="auto" w:fill="auto"/>
        <w:bidi w:val="0"/>
        <w:spacing w:before="0" w:after="0" w:line="473" w:lineRule="exact"/>
        <w:ind w:left="0" w:right="0" w:firstLine="520"/>
        <w:jc w:val="both"/>
      </w:pPr>
      <w:r>
        <w:rPr>
          <w:color w:val="000000"/>
          <w:spacing w:val="0"/>
          <w:w w:val="100"/>
          <w:position w:val="0"/>
        </w:rPr>
        <w:t>本公司根据履行履约义务与客户付款之间的关系在资产负债表中列示合同资产或合同负债。 合同资产是本公司已向客户转让商品而有权收取对价的权利，且该权利取决于时间流逝之外的其 他因素。合同负债是本公司已收或应收客户对价而应向客户转让商品的义务。</w:t>
      </w:r>
    </w:p>
    <w:p>
      <w:pPr>
        <w:pStyle w:val="Style44"/>
        <w:keepNext w:val="0"/>
        <w:keepLines w:val="0"/>
        <w:widowControl w:val="0"/>
        <w:shd w:val="clear" w:color="auto" w:fill="auto"/>
        <w:bidi w:val="0"/>
        <w:spacing w:before="0" w:after="0" w:line="467" w:lineRule="exact"/>
        <w:ind w:left="0" w:right="0" w:firstLine="520"/>
        <w:jc w:val="both"/>
      </w:pPr>
      <w:r>
        <w:rPr>
          <w:color w:val="000000"/>
          <w:spacing w:val="0"/>
          <w:w w:val="100"/>
          <w:position w:val="0"/>
        </w:rPr>
        <w:t>合同资产按照预期信用损失法计提减值准备。无论是否包含重大融资成分，本公司在资产负 债表日均按照整个存续期内预期信用损失的金额计量其损失准备，如果该预期信用损失大于当前 合同资产减值准备的账面金额，将其差额确认为减值损失，反之则确认为减值利得。实际发生减 值损失，认定相关合同资产无法收回，经批准予以核销。</w:t>
      </w:r>
    </w:p>
    <w:p>
      <w:pPr>
        <w:pStyle w:val="Style44"/>
        <w:keepNext w:val="0"/>
        <w:keepLines w:val="0"/>
        <w:widowControl w:val="0"/>
        <w:shd w:val="clear" w:color="auto" w:fill="auto"/>
        <w:bidi w:val="0"/>
        <w:spacing w:before="0" w:after="200" w:line="466" w:lineRule="exact"/>
        <w:ind w:left="0" w:right="0" w:firstLine="520"/>
        <w:jc w:val="both"/>
      </w:pPr>
      <w:r>
        <w:rPr>
          <w:color w:val="000000"/>
          <w:spacing w:val="0"/>
          <w:w w:val="100"/>
          <w:position w:val="0"/>
        </w:rPr>
        <w:t>资产负债表日，对于不同合同下的合同资产、合同负债，分别列示。对于同一合同下的合同 资产、合同负债，以净额列示，净额为借方余额的，根据其流动性分别列示为合同资产或其他非 流动资产，己计提减值准备的，减去合同资产减值准备的期末余额后列示；净额为贷方余额的， 根据其流动性列示为合同负债或其他非流动负债。</w:t>
      </w:r>
    </w:p>
    <w:p>
      <w:pPr>
        <w:pStyle w:val="Style52"/>
        <w:keepNext/>
        <w:keepLines/>
        <w:widowControl w:val="0"/>
        <w:shd w:val="clear" w:color="auto" w:fill="auto"/>
        <w:tabs>
          <w:tab w:pos="488" w:val="left"/>
        </w:tabs>
        <w:bidi w:val="0"/>
        <w:spacing w:before="0" w:after="200" w:line="470" w:lineRule="exact"/>
        <w:ind w:left="0" w:right="0" w:firstLine="0"/>
        <w:jc w:val="left"/>
        <w:rPr>
          <w:sz w:val="24"/>
          <w:szCs w:val="24"/>
        </w:rPr>
      </w:pPr>
      <w:bookmarkStart w:id="819" w:name="bookmark819"/>
      <w:bookmarkStart w:id="820" w:name="bookmark820"/>
      <w:bookmarkStart w:id="821" w:name="bookmark821"/>
      <w:bookmarkStart w:id="822" w:name="bookmark822"/>
      <w:r>
        <w:rPr>
          <w:rFonts w:ascii="Times New Roman" w:eastAsia="Times New Roman" w:hAnsi="Times New Roman" w:cs="Times New Roman"/>
          <w:b w:val="0"/>
          <w:bCs w:val="0"/>
          <w:color w:val="000000"/>
          <w:spacing w:val="0"/>
          <w:w w:val="100"/>
          <w:position w:val="0"/>
          <w:sz w:val="24"/>
          <w:szCs w:val="24"/>
        </w:rPr>
        <w:t>1</w:t>
      </w:r>
      <w:bookmarkEnd w:id="821"/>
      <w:r>
        <w:rPr>
          <w:rFonts w:ascii="Times New Roman" w:eastAsia="Times New Roman" w:hAnsi="Times New Roman" w:cs="Times New Roman"/>
          <w:b w:val="0"/>
          <w:bCs w:val="0"/>
          <w:color w:val="000000"/>
          <w:spacing w:val="0"/>
          <w:w w:val="100"/>
          <w:position w:val="0"/>
          <w:sz w:val="24"/>
          <w:szCs w:val="24"/>
        </w:rPr>
        <w:t>3</w:t>
      </w:r>
      <w:r>
        <w:rPr>
          <w:b w:val="0"/>
          <w:bCs w:val="0"/>
          <w:color w:val="000000"/>
          <w:spacing w:val="0"/>
          <w:w w:val="100"/>
          <w:position w:val="0"/>
          <w:sz w:val="24"/>
          <w:szCs w:val="24"/>
        </w:rPr>
        <w:t>、</w:t>
        <w:tab/>
        <w:t>长期股权投资</w:t>
      </w:r>
      <w:bookmarkEnd w:id="819"/>
      <w:bookmarkEnd w:id="820"/>
      <w:bookmarkEnd w:id="822"/>
    </w:p>
    <w:p>
      <w:pPr>
        <w:pStyle w:val="Style44"/>
        <w:keepNext w:val="0"/>
        <w:keepLines w:val="0"/>
        <w:widowControl w:val="0"/>
        <w:shd w:val="clear" w:color="auto" w:fill="auto"/>
        <w:bidi w:val="0"/>
        <w:spacing w:before="0" w:after="0" w:line="468" w:lineRule="exact"/>
        <w:ind w:left="0" w:right="0" w:firstLine="520"/>
        <w:jc w:val="both"/>
      </w:pPr>
      <w:r>
        <w:rPr>
          <w:color w:val="000000"/>
          <w:spacing w:val="0"/>
          <w:w w:val="100"/>
          <w:position w:val="0"/>
        </w:rPr>
        <w:t>本部分所指的长期股权投资，是指本公司对被投资单位具有控制、共同控制或重大影响的长 期股权投资。本公司对被投资单位不具有控制、共同控制或重大影响的长期股权投资，作为交易 性金融资产或其他权益工具投资核算，其会计政策详见附注三、</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4"/>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共同控制，是指本公司按照相关约定对某项安排所共有的控制，并且该安排的相关活动必须 经过分享控制权的参与方一致同意后才能决策。重大影响，是指本公司对被投资单位的财务和经 营政策有参与决策的权力，但并不能够控制或者与其他方一起共同控制这些政策的制定。</w:t>
      </w:r>
    </w:p>
    <w:p>
      <w:pPr>
        <w:pStyle w:val="Style44"/>
        <w:keepNext w:val="0"/>
        <w:keepLines w:val="0"/>
        <w:widowControl w:val="0"/>
        <w:shd w:val="clear" w:color="auto" w:fill="auto"/>
        <w:bidi w:val="0"/>
        <w:spacing w:before="0" w:after="0" w:line="470" w:lineRule="exact"/>
        <w:ind w:left="0" w:right="0" w:firstLine="520"/>
        <w:jc w:val="both"/>
      </w:pPr>
      <w:bookmarkStart w:id="823" w:name="bookmark823"/>
      <w:r>
        <w:rPr>
          <w:color w:val="000000"/>
          <w:spacing w:val="0"/>
          <w:w w:val="100"/>
          <w:position w:val="0"/>
        </w:rPr>
        <w:t>（</w:t>
      </w:r>
      <w:bookmarkEnd w:id="823"/>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p>
    <w:p>
      <w:pPr>
        <w:pStyle w:val="Style44"/>
        <w:keepNext w:val="0"/>
        <w:keepLines w:val="0"/>
        <w:widowControl w:val="0"/>
        <w:shd w:val="clear" w:color="auto" w:fill="auto"/>
        <w:bidi w:val="0"/>
        <w:spacing w:before="0" w:after="0" w:line="470" w:lineRule="exact"/>
        <w:ind w:left="0" w:right="0" w:firstLine="520"/>
        <w:jc w:val="both"/>
      </w:pPr>
      <w:r>
        <w:rPr>
          <w:color w:val="000000"/>
          <w:spacing w:val="0"/>
          <w:w w:val="100"/>
          <w:position w:val="0"/>
        </w:rPr>
        <w:t xml:space="preserve">对于同一控制下的企业合并取得的长期股权投资，在合并日按照被合并方所有者权益在最终 控制方合并财务报表中的账面价值的份额作为长期股权投资的初始投资成本。长期股权投资初始 </w:t>
      </w:r>
      <w:r>
        <w:rPr>
          <w:color w:val="000000"/>
          <w:spacing w:val="0"/>
          <w:w w:val="100"/>
          <w:position w:val="0"/>
        </w:rPr>
        <w:t>投资成本与支付的现金、转让的非现金资产以及所承担债务账面价值之间的差额，调整资本公积； 资本公积不足冲减的，调整留存收益。以发行权益性证券作为合并对价的，在合并日按照被合并 方所有者权益在最终控制方合并财务报表中的账面价值的份额作为长期股权投资的初始投资成 本，按照发行股份的面值总额作为股本，长期股权投资初始投资成本与所发行股份面值总额之间 的差额，调整资本公积；资本公积不足冲减的，调整留存收益。</w:t>
      </w:r>
    </w:p>
    <w:p>
      <w:pPr>
        <w:pStyle w:val="Style44"/>
        <w:keepNext w:val="0"/>
        <w:keepLines w:val="0"/>
        <w:widowControl w:val="0"/>
        <w:shd w:val="clear" w:color="auto" w:fill="auto"/>
        <w:bidi w:val="0"/>
        <w:spacing w:before="0" w:after="0" w:line="473" w:lineRule="exact"/>
        <w:ind w:left="0" w:right="0" w:firstLine="520"/>
        <w:jc w:val="both"/>
      </w:pPr>
      <w:r>
        <w:rPr>
          <w:color w:val="000000"/>
          <w:spacing w:val="0"/>
          <w:w w:val="100"/>
          <w:position w:val="0"/>
        </w:rPr>
        <w:t>对于非同一控制下的企业合并取得的长期股权投资，在购买日按照合并成本作为长期股权投 资的初始投资成本，合并成本包括包括购买方付出的资产、发生或承担的负债、发行的权益性证 券的公允价值之和。</w:t>
      </w:r>
    </w:p>
    <w:p>
      <w:pPr>
        <w:pStyle w:val="Style44"/>
        <w:keepNext w:val="0"/>
        <w:keepLines w:val="0"/>
        <w:widowControl w:val="0"/>
        <w:shd w:val="clear" w:color="auto" w:fill="auto"/>
        <w:bidi w:val="0"/>
        <w:spacing w:before="0" w:after="0" w:line="461" w:lineRule="exact"/>
        <w:ind w:left="0" w:right="0" w:firstLine="520"/>
        <w:jc w:val="both"/>
      </w:pPr>
      <w:r>
        <w:rPr>
          <w:color w:val="000000"/>
          <w:spacing w:val="0"/>
          <w:w w:val="100"/>
          <w:position w:val="0"/>
        </w:rPr>
        <w:t>合并方或购买方为企业合并发生的审计、法律服务、评估咨询等中介费用以及其他相关管理 费用，于发生时计入当期损益。</w:t>
      </w:r>
    </w:p>
    <w:p>
      <w:pPr>
        <w:pStyle w:val="Style44"/>
        <w:keepNext w:val="0"/>
        <w:keepLines w:val="0"/>
        <w:widowControl w:val="0"/>
        <w:shd w:val="clear" w:color="auto" w:fill="auto"/>
        <w:bidi w:val="0"/>
        <w:spacing w:before="0" w:after="0" w:line="468" w:lineRule="exact"/>
        <w:ind w:left="0" w:right="0" w:firstLine="520"/>
        <w:jc w:val="both"/>
      </w:pPr>
      <w:r>
        <w:rPr>
          <w:color w:val="000000"/>
          <w:spacing w:val="0"/>
          <w:w w:val="100"/>
          <w:position w:val="0"/>
        </w:rPr>
        <w:t>除企业合并形成的长期股权投资外的其他股权投资，按成本进行初始计量，该成本视长期股 权投资取得方式的不同，分别按照本公司实际支付的现金购买价款、本公司发行的权益性证券的 公允价值、投资合同或协议约定的价值、非货币性资产交换交易中换出资产的公允价值或原账面 价值、该项长期股权投资自身的公允价值等方式确定。与取得长期股权投资直接相关的费用、税 金及其他必要支出也计入投资成本。</w:t>
      </w:r>
    </w:p>
    <w:p>
      <w:pPr>
        <w:pStyle w:val="Style44"/>
        <w:keepNext w:val="0"/>
        <w:keepLines w:val="0"/>
        <w:widowControl w:val="0"/>
        <w:numPr>
          <w:ilvl w:val="0"/>
          <w:numId w:val="27"/>
        </w:numPr>
        <w:shd w:val="clear" w:color="auto" w:fill="auto"/>
        <w:bidi w:val="0"/>
        <w:spacing w:before="0" w:after="0" w:line="470" w:lineRule="exact"/>
        <w:ind w:left="0" w:right="0" w:firstLine="520"/>
        <w:jc w:val="both"/>
      </w:pPr>
      <w:bookmarkStart w:id="824" w:name="bookmark824"/>
      <w:bookmarkEnd w:id="824"/>
      <w:r>
        <w:rPr>
          <w:color w:val="000000"/>
          <w:spacing w:val="0"/>
          <w:w w:val="100"/>
          <w:position w:val="0"/>
        </w:rPr>
        <w:t>后续计量及损益确认方法</w:t>
      </w:r>
    </w:p>
    <w:p>
      <w:pPr>
        <w:pStyle w:val="Style44"/>
        <w:keepNext w:val="0"/>
        <w:keepLines w:val="0"/>
        <w:widowControl w:val="0"/>
        <w:shd w:val="clear" w:color="auto" w:fill="auto"/>
        <w:bidi w:val="0"/>
        <w:spacing w:before="0" w:after="0" w:line="466" w:lineRule="exact"/>
        <w:ind w:left="0" w:right="0" w:firstLine="520"/>
        <w:jc w:val="both"/>
      </w:pPr>
      <w:r>
        <w:rPr>
          <w:color w:val="000000"/>
          <w:spacing w:val="0"/>
          <w:w w:val="100"/>
          <w:position w:val="0"/>
        </w:rPr>
        <w:t>对被投资单位具有共同控制(构成共同经营者除外)或重大影响的长期股权投资，采用权益 法核算。此外，公司财务报表采用成本法核算能够对被投资单位实施控制的长期股权投资。</w:t>
      </w:r>
    </w:p>
    <w:p>
      <w:pPr>
        <w:pStyle w:val="Style44"/>
        <w:keepNext w:val="0"/>
        <w:keepLines w:val="0"/>
        <w:widowControl w:val="0"/>
        <w:numPr>
          <w:ilvl w:val="0"/>
          <w:numId w:val="29"/>
        </w:numPr>
        <w:shd w:val="clear" w:color="auto" w:fill="auto"/>
        <w:tabs>
          <w:tab w:pos="890" w:val="left"/>
        </w:tabs>
        <w:bidi w:val="0"/>
        <w:spacing w:before="0" w:after="0" w:line="470" w:lineRule="exact"/>
        <w:ind w:left="0" w:right="0" w:firstLine="520"/>
        <w:jc w:val="both"/>
      </w:pPr>
      <w:bookmarkStart w:id="825" w:name="bookmark825"/>
      <w:bookmarkEnd w:id="825"/>
      <w:r>
        <w:rPr>
          <w:color w:val="000000"/>
          <w:spacing w:val="0"/>
          <w:w w:val="100"/>
          <w:position w:val="0"/>
        </w:rPr>
        <w:t>成本法核算的长期股权投资</w:t>
      </w:r>
    </w:p>
    <w:p>
      <w:pPr>
        <w:pStyle w:val="Style44"/>
        <w:keepNext w:val="0"/>
        <w:keepLines w:val="0"/>
        <w:widowControl w:val="0"/>
        <w:shd w:val="clear" w:color="auto" w:fill="auto"/>
        <w:bidi w:val="0"/>
        <w:spacing w:before="0" w:after="0" w:line="470" w:lineRule="exact"/>
        <w:ind w:left="0" w:right="0" w:firstLine="520"/>
        <w:jc w:val="both"/>
      </w:pPr>
      <w:r>
        <w:rPr>
          <w:color w:val="000000"/>
          <w:spacing w:val="0"/>
          <w:w w:val="100"/>
          <w:position w:val="0"/>
        </w:rPr>
        <w:t>采用成本法核算时，长期股权投资按初始投资成本计价，追加或收回投资调整长期股权投资 的成本。除取得投资时实际支付的价款或者对价中包含的已宣告但尚未发放的现金股利或者利润 外，当期投资收益按照享有被投资单位宣告发放的现金股利或利润确认。</w:t>
      </w:r>
    </w:p>
    <w:p>
      <w:pPr>
        <w:pStyle w:val="Style44"/>
        <w:keepNext w:val="0"/>
        <w:keepLines w:val="0"/>
        <w:widowControl w:val="0"/>
        <w:numPr>
          <w:ilvl w:val="0"/>
          <w:numId w:val="29"/>
        </w:numPr>
        <w:shd w:val="clear" w:color="auto" w:fill="auto"/>
        <w:tabs>
          <w:tab w:pos="890" w:val="left"/>
        </w:tabs>
        <w:bidi w:val="0"/>
        <w:spacing w:before="0" w:after="0" w:line="470" w:lineRule="exact"/>
        <w:ind w:left="0" w:right="0" w:firstLine="520"/>
        <w:jc w:val="both"/>
      </w:pPr>
      <w:bookmarkStart w:id="826" w:name="bookmark826"/>
      <w:bookmarkEnd w:id="826"/>
      <w:r>
        <w:rPr>
          <w:color w:val="000000"/>
          <w:spacing w:val="0"/>
          <w:w w:val="100"/>
          <w:position w:val="0"/>
        </w:rPr>
        <w:t>权益法核算的长期股权投资</w:t>
      </w:r>
    </w:p>
    <w:p>
      <w:pPr>
        <w:pStyle w:val="Style44"/>
        <w:keepNext w:val="0"/>
        <w:keepLines w:val="0"/>
        <w:widowControl w:val="0"/>
        <w:shd w:val="clear" w:color="auto" w:fill="auto"/>
        <w:bidi w:val="0"/>
        <w:spacing w:before="0" w:after="0" w:line="470" w:lineRule="exact"/>
        <w:ind w:left="0" w:right="0" w:firstLine="520"/>
        <w:jc w:val="both"/>
      </w:pPr>
      <w:r>
        <w:rPr>
          <w:color w:val="000000"/>
          <w:spacing w:val="0"/>
          <w:w w:val="100"/>
          <w:position w:val="0"/>
        </w:rPr>
        <w:t>采用权益法核算时，长期股权投资的初始投资成本大于投资时应享有被投资单位可辨认净资 产公允价值份额的，不调整长期股权投资的初始投资成本；初始投资成本小于投资时应享有被投 资单位可辨认净资产公允价值份额的，其差额计入当期损益，同时调整长期股权投资的成本。</w:t>
      </w:r>
    </w:p>
    <w:p>
      <w:pPr>
        <w:pStyle w:val="Style44"/>
        <w:keepNext w:val="0"/>
        <w:keepLines w:val="0"/>
        <w:widowControl w:val="0"/>
        <w:shd w:val="clear" w:color="auto" w:fill="auto"/>
        <w:bidi w:val="0"/>
        <w:spacing w:before="0" w:after="0" w:line="468" w:lineRule="exact"/>
        <w:ind w:left="0" w:right="0" w:firstLine="520"/>
        <w:jc w:val="both"/>
      </w:pPr>
      <w:r>
        <w:rPr>
          <w:color w:val="000000"/>
          <w:spacing w:val="0"/>
          <w:w w:val="100"/>
          <w:position w:val="0"/>
        </w:rPr>
        <w:t xml:space="preserve">采用权益法核算时，按照应享有或应分担的被投资单位实现的净损益和其他综合收益的份额, 分别确认投资收益和其他综合收益，同时调整长期股权投资的账面价值；按照被投资单位宣告分 派的利润或现金股利计算应享有的部分，相应减少长期股权投资的账面价值；对于被投资单位除 </w:t>
      </w:r>
      <w:r>
        <w:rPr>
          <w:color w:val="000000"/>
          <w:spacing w:val="0"/>
          <w:w w:val="100"/>
          <w:position w:val="0"/>
        </w:rPr>
        <w:t>净损益、其他综合收益和利润分配以外所有者权益的其他变动，调整长期股权投资的账面价值并 计入资本公积。在确认应享有被投资单位净损益的份额时，以取得投资时被投资单位各项可辨认 资产等的公允价值为基础，对被投资单位的净利润进行调整后确认。被投资单位采用的会计政策 及会计期间与本公司不一致的，按照本公司的会计政策及会计期间对被投资单位的财务报表进行 调整，并据以确认投资收益和其他综合收益。对于本公司与联营企业及合营企业之间发生的交易， 投出或出售的资产不构成业务的，未实现内部交易损益按照享有的比例计算归属于本公司的部分 予以抵销，在此基础上确认投资损益。但本公司与被投资单位发生的未实现内部交易损失，属于 所转让资产减值损失的，不予以抵销。</w:t>
      </w:r>
    </w:p>
    <w:p>
      <w:pPr>
        <w:pStyle w:val="Style44"/>
        <w:keepNext w:val="0"/>
        <w:keepLines w:val="0"/>
        <w:widowControl w:val="0"/>
        <w:shd w:val="clear" w:color="auto" w:fill="auto"/>
        <w:bidi w:val="0"/>
        <w:spacing w:before="0" w:after="0" w:line="456" w:lineRule="exact"/>
        <w:ind w:left="0" w:right="0" w:firstLine="520"/>
        <w:jc w:val="both"/>
      </w:pPr>
      <w:r>
        <w:rPr>
          <w:color w:val="000000"/>
          <w:spacing w:val="0"/>
          <w:w w:val="100"/>
          <w:position w:val="0"/>
        </w:rPr>
        <w:t>在确认应分担被投资单位发生的净亏损时，以长期股权投资的账面价值和其他实质上构成对 被投资单位净投资的长期权益减记至零为限。此外，如本公司对被投资单位负有承担额外损失的 义务，则按预计承担的义务确认预计负债，计入当期投资损失。被投资单位以后期间实现净利润 的，本公司在收益分享额弥补未确认的亏损分担额后，恢复确认收益分享额。</w:t>
      </w:r>
    </w:p>
    <w:p>
      <w:pPr>
        <w:pStyle w:val="Style44"/>
        <w:keepNext w:val="0"/>
        <w:keepLines w:val="0"/>
        <w:widowControl w:val="0"/>
        <w:numPr>
          <w:ilvl w:val="0"/>
          <w:numId w:val="29"/>
        </w:numPr>
        <w:shd w:val="clear" w:color="auto" w:fill="auto"/>
        <w:tabs>
          <w:tab w:pos="871" w:val="left"/>
        </w:tabs>
        <w:bidi w:val="0"/>
        <w:spacing w:before="0" w:after="0" w:line="469" w:lineRule="exact"/>
        <w:ind w:left="0" w:right="0" w:firstLine="520"/>
        <w:jc w:val="both"/>
      </w:pPr>
      <w:bookmarkStart w:id="827" w:name="bookmark827"/>
      <w:bookmarkEnd w:id="827"/>
      <w:r>
        <w:rPr>
          <w:color w:val="000000"/>
          <w:spacing w:val="0"/>
          <w:w w:val="100"/>
          <w:position w:val="0"/>
        </w:rPr>
        <w:t>收购少数股权</w:t>
      </w:r>
    </w:p>
    <w:p>
      <w:pPr>
        <w:pStyle w:val="Style44"/>
        <w:keepNext w:val="0"/>
        <w:keepLines w:val="0"/>
        <w:widowControl w:val="0"/>
        <w:shd w:val="clear" w:color="auto" w:fill="auto"/>
        <w:bidi w:val="0"/>
        <w:spacing w:before="0" w:after="0" w:line="468" w:lineRule="exact"/>
        <w:ind w:left="0" w:right="0" w:firstLine="520"/>
        <w:jc w:val="both"/>
      </w:pPr>
      <w:r>
        <w:rPr>
          <w:color w:val="000000"/>
          <w:spacing w:val="0"/>
          <w:w w:val="100"/>
          <w:position w:val="0"/>
        </w:rPr>
        <w:t>在编制合并财务报表时，因购买少数股权新增的长期股权投资与按照新增持股比例计算应享 有子公司自购买日（或合并日）开始持续计算的净资产份额之间的差额，调整资本公积，资本公 积不足冲减的，调整留存收益。</w:t>
      </w:r>
    </w:p>
    <w:p>
      <w:pPr>
        <w:pStyle w:val="Style44"/>
        <w:keepNext w:val="0"/>
        <w:keepLines w:val="0"/>
        <w:widowControl w:val="0"/>
        <w:numPr>
          <w:ilvl w:val="0"/>
          <w:numId w:val="29"/>
        </w:numPr>
        <w:shd w:val="clear" w:color="auto" w:fill="auto"/>
        <w:tabs>
          <w:tab w:pos="871" w:val="left"/>
        </w:tabs>
        <w:bidi w:val="0"/>
        <w:spacing w:before="0" w:after="0" w:line="469" w:lineRule="exact"/>
        <w:ind w:left="0" w:right="0" w:firstLine="520"/>
        <w:jc w:val="both"/>
      </w:pPr>
      <w:bookmarkStart w:id="828" w:name="bookmark828"/>
      <w:bookmarkEnd w:id="828"/>
      <w:r>
        <w:rPr>
          <w:color w:val="000000"/>
          <w:spacing w:val="0"/>
          <w:w w:val="100"/>
          <w:position w:val="0"/>
        </w:rPr>
        <w:t>处置长期股权投资</w:t>
      </w:r>
    </w:p>
    <w:p>
      <w:pPr>
        <w:pStyle w:val="Style44"/>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在合并财务报表中，母公司在不丧失控制权的情况下部分处置对子公司的长期股权投资，处 置价款与处置长期股权投资相对应享有子公司净资产的差额计入股东权益；母公司部分处置对子 公司的长期股权投资导致丧失对子公司控制权的，按本附注三、</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合并财务报表编制的方 法</w:t>
      </w:r>
      <w:r>
        <w:rPr>
          <w:rFonts w:ascii="Times New Roman" w:eastAsia="Times New Roman" w:hAnsi="Times New Roman" w:cs="Times New Roman"/>
          <w:color w:val="000000"/>
          <w:spacing w:val="0"/>
          <w:w w:val="100"/>
          <w:position w:val="0"/>
        </w:rPr>
        <w:t>”</w:t>
      </w:r>
      <w:r>
        <w:rPr>
          <w:color w:val="000000"/>
          <w:spacing w:val="0"/>
          <w:w w:val="100"/>
          <w:position w:val="0"/>
        </w:rPr>
        <w:t>中所述的相关会计政策处理。</w:t>
      </w:r>
    </w:p>
    <w:p>
      <w:pPr>
        <w:pStyle w:val="Style44"/>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其他情形下的长期股权投资处置，对于处置的股权，其账面价值与实际取得价款的差额，计 入当期损益。</w:t>
      </w:r>
    </w:p>
    <w:p>
      <w:pPr>
        <w:pStyle w:val="Style44"/>
        <w:keepNext w:val="0"/>
        <w:keepLines w:val="0"/>
        <w:widowControl w:val="0"/>
        <w:shd w:val="clear" w:color="auto" w:fill="auto"/>
        <w:bidi w:val="0"/>
        <w:spacing w:before="0" w:after="0" w:line="473" w:lineRule="exact"/>
        <w:ind w:left="0" w:right="0" w:firstLine="520"/>
        <w:jc w:val="both"/>
      </w:pPr>
      <w:r>
        <w:rPr>
          <w:color w:val="000000"/>
          <w:spacing w:val="0"/>
          <w:w w:val="100"/>
          <w:position w:val="0"/>
        </w:rPr>
        <w:t>采用权益法核算的长期股权投资，处置后的剩余股权仍采用权益法核算的，在处置时将原计 入股东权益的其他综合收益部分按相应的比例采用与被投资单位直接处置相关资产或负债相同 的基础进行会计处理。因被投资方除净损益、其他综合收益和利润分配以外的其他所有者权益变 动而确认的所有者权益，按比例结转入当期损益。</w:t>
      </w:r>
    </w:p>
    <w:p>
      <w:pPr>
        <w:pStyle w:val="Style44"/>
        <w:keepNext w:val="0"/>
        <w:keepLines w:val="0"/>
        <w:widowControl w:val="0"/>
        <w:shd w:val="clear" w:color="auto" w:fill="auto"/>
        <w:bidi w:val="0"/>
        <w:spacing w:before="0" w:after="220" w:line="473" w:lineRule="exact"/>
        <w:ind w:left="0" w:right="0" w:firstLine="520"/>
        <w:jc w:val="both"/>
      </w:pPr>
      <w:r>
        <w:rPr>
          <w:color w:val="000000"/>
          <w:spacing w:val="0"/>
          <w:w w:val="100"/>
          <w:position w:val="0"/>
        </w:rPr>
        <w:t xml:space="preserve">采用成本法核算的长期股权投资，处置后剩余股权仍采用成本法核算的，其在取得对被投资 单位的控制之前因采用权益法核算或金融工具确认和计量准则核算而确认的其他综合收益，采用 </w:t>
      </w:r>
      <w:r>
        <w:rPr>
          <w:color w:val="000000"/>
          <w:spacing w:val="0"/>
          <w:w w:val="100"/>
          <w:position w:val="0"/>
        </w:rPr>
        <w:t>与被投资单位直接处置相关资产或负债相同的基础进行会计处理，并按比例结转当期损益；因采 用权益法核算而确认的被投资单位净资产中除净损益、其他综合收益和利润分配以外的其他所有 者权益变动按比例结转当期损益。</w:t>
      </w:r>
    </w:p>
    <w:p>
      <w:pPr>
        <w:pStyle w:val="Style52"/>
        <w:keepNext/>
        <w:keepLines/>
        <w:widowControl w:val="0"/>
        <w:shd w:val="clear" w:color="auto" w:fill="auto"/>
        <w:tabs>
          <w:tab w:pos="486" w:val="left"/>
        </w:tabs>
        <w:bidi w:val="0"/>
        <w:spacing w:before="0" w:after="220" w:line="468" w:lineRule="exact"/>
        <w:ind w:left="0" w:right="0" w:firstLine="0"/>
        <w:jc w:val="both"/>
        <w:rPr>
          <w:sz w:val="24"/>
          <w:szCs w:val="24"/>
        </w:rPr>
      </w:pPr>
      <w:bookmarkStart w:id="829" w:name="bookmark829"/>
      <w:bookmarkStart w:id="830" w:name="bookmark830"/>
      <w:bookmarkStart w:id="831" w:name="bookmark831"/>
      <w:bookmarkStart w:id="832" w:name="bookmark832"/>
      <w:r>
        <w:rPr>
          <w:rFonts w:ascii="Times New Roman" w:eastAsia="Times New Roman" w:hAnsi="Times New Roman" w:cs="Times New Roman"/>
          <w:b w:val="0"/>
          <w:bCs w:val="0"/>
          <w:color w:val="000000"/>
          <w:spacing w:val="0"/>
          <w:w w:val="100"/>
          <w:position w:val="0"/>
          <w:sz w:val="24"/>
          <w:szCs w:val="24"/>
        </w:rPr>
        <w:t>1</w:t>
      </w:r>
      <w:bookmarkEnd w:id="831"/>
      <w:r>
        <w:rPr>
          <w:rFonts w:ascii="Times New Roman" w:eastAsia="Times New Roman" w:hAnsi="Times New Roman" w:cs="Times New Roman"/>
          <w:b w:val="0"/>
          <w:bCs w:val="0"/>
          <w:color w:val="000000"/>
          <w:spacing w:val="0"/>
          <w:w w:val="100"/>
          <w:position w:val="0"/>
          <w:sz w:val="24"/>
          <w:szCs w:val="24"/>
        </w:rPr>
        <w:t>4</w:t>
      </w:r>
      <w:r>
        <w:rPr>
          <w:b w:val="0"/>
          <w:bCs w:val="0"/>
          <w:color w:val="000000"/>
          <w:spacing w:val="0"/>
          <w:w w:val="100"/>
          <w:position w:val="0"/>
          <w:sz w:val="24"/>
          <w:szCs w:val="24"/>
        </w:rPr>
        <w:t>、</w:t>
        <w:tab/>
        <w:t>投资性房地产</w:t>
      </w:r>
      <w:bookmarkEnd w:id="829"/>
      <w:bookmarkEnd w:id="830"/>
      <w:bookmarkEnd w:id="832"/>
    </w:p>
    <w:p>
      <w:pPr>
        <w:pStyle w:val="Style44"/>
        <w:keepNext w:val="0"/>
        <w:keepLines w:val="0"/>
        <w:widowControl w:val="0"/>
        <w:shd w:val="clear" w:color="auto" w:fill="auto"/>
        <w:bidi w:val="0"/>
        <w:spacing w:before="0" w:after="0" w:line="470" w:lineRule="exact"/>
        <w:ind w:left="0" w:right="0" w:firstLine="520"/>
        <w:jc w:val="left"/>
      </w:pPr>
      <w:r>
        <w:rPr>
          <w:color w:val="000000"/>
          <w:spacing w:val="0"/>
          <w:w w:val="100"/>
          <w:position w:val="0"/>
        </w:rPr>
        <w:t>投资性房地产是指为赚取租金或资本增值，或两者兼有而持有的房地产。本公司投资性房地 产包括已出租的土地使用权、持有并准备增值后转让的土地使用权、已出租的建筑物。</w:t>
      </w:r>
    </w:p>
    <w:p>
      <w:pPr>
        <w:pStyle w:val="Style44"/>
        <w:keepNext w:val="0"/>
        <w:keepLines w:val="0"/>
        <w:widowControl w:val="0"/>
        <w:shd w:val="clear" w:color="auto" w:fill="auto"/>
        <w:bidi w:val="0"/>
        <w:spacing w:before="0" w:after="0" w:line="468" w:lineRule="exact"/>
        <w:ind w:left="0" w:right="0" w:firstLine="520"/>
        <w:jc w:val="left"/>
      </w:pPr>
      <w:r>
        <w:rPr>
          <w:color w:val="000000"/>
          <w:spacing w:val="0"/>
          <w:w w:val="100"/>
          <w:position w:val="0"/>
        </w:rPr>
        <w:t>本公司投资性房地产按照取得时的成本进行初始计量，与投资性房地产有关的后续支出，如 果与该资产有关的经济利益很可能流入且其成本能可靠地计量，则计入投资性房地产成本，其他 后续支出，在发生时计入当期损益。</w:t>
      </w:r>
    </w:p>
    <w:p>
      <w:pPr>
        <w:pStyle w:val="Style44"/>
        <w:keepNext w:val="0"/>
        <w:keepLines w:val="0"/>
        <w:widowControl w:val="0"/>
        <w:shd w:val="clear" w:color="auto" w:fill="auto"/>
        <w:bidi w:val="0"/>
        <w:spacing w:before="0" w:after="0" w:line="470" w:lineRule="exact"/>
        <w:ind w:left="0" w:right="0" w:firstLine="520"/>
        <w:jc w:val="left"/>
      </w:pPr>
      <w:r>
        <w:rPr>
          <w:color w:val="000000"/>
          <w:spacing w:val="0"/>
          <w:w w:val="100"/>
          <w:position w:val="0"/>
        </w:rPr>
        <w:t>本公司投资性房地产采用公允价值模式进行后续计量，不对投资性房地产计提折旧或进行摊 销，以资产负债表日投资性房地产的公允价值为基础调整其账面价值，公允价值与原账面价值之 间的差额计入当期损益。</w:t>
      </w:r>
    </w:p>
    <w:p>
      <w:pPr>
        <w:pStyle w:val="Style44"/>
        <w:keepNext w:val="0"/>
        <w:keepLines w:val="0"/>
        <w:widowControl w:val="0"/>
        <w:shd w:val="clear" w:color="auto" w:fill="auto"/>
        <w:bidi w:val="0"/>
        <w:spacing w:before="0" w:after="0" w:line="475" w:lineRule="exact"/>
        <w:ind w:left="0" w:right="0" w:firstLine="520"/>
        <w:jc w:val="left"/>
      </w:pPr>
      <w:r>
        <w:rPr>
          <w:color w:val="000000"/>
          <w:spacing w:val="0"/>
          <w:w w:val="100"/>
          <w:position w:val="0"/>
        </w:rPr>
        <w:t>本公司投资性房地产采用公允价值模式进行后续计量，不对投资性房地产计提折旧或进行摊 销，以资产负债表日投资性房地产的公允价值为基础调整其账面价值，公允价值与原账面价值之 间的差额计入当期损益。</w:t>
      </w:r>
    </w:p>
    <w:p>
      <w:pPr>
        <w:pStyle w:val="Style44"/>
        <w:keepNext w:val="0"/>
        <w:keepLines w:val="0"/>
        <w:widowControl w:val="0"/>
        <w:shd w:val="clear" w:color="auto" w:fill="auto"/>
        <w:bidi w:val="0"/>
        <w:spacing w:before="0" w:after="0" w:line="468" w:lineRule="exact"/>
        <w:ind w:left="0" w:right="0" w:firstLine="520"/>
        <w:jc w:val="left"/>
      </w:pPr>
      <w:r>
        <w:rPr>
          <w:color w:val="000000"/>
          <w:spacing w:val="0"/>
          <w:w w:val="100"/>
          <w:position w:val="0"/>
        </w:rPr>
        <w:t>投资性房地产采用公允价值模式进行后续计量的依据为：①投资性房地产所在地有活跃的房 地产交易市场。②本公司能够从房地产交易市场上取得同类或类似房地产的市场价格及其他相关 信息，从而对投资性房地产的公允价值作出合理的估计。</w:t>
      </w:r>
    </w:p>
    <w:p>
      <w:pPr>
        <w:pStyle w:val="Style44"/>
        <w:keepNext w:val="0"/>
        <w:keepLines w:val="0"/>
        <w:widowControl w:val="0"/>
        <w:shd w:val="clear" w:color="auto" w:fill="auto"/>
        <w:bidi w:val="0"/>
        <w:spacing w:before="0" w:after="220" w:line="467" w:lineRule="exact"/>
        <w:ind w:left="0" w:right="0" w:firstLine="520"/>
        <w:jc w:val="left"/>
      </w:pPr>
      <w:r>
        <w:rPr>
          <w:color w:val="000000"/>
          <w:spacing w:val="0"/>
          <w:w w:val="100"/>
          <w:position w:val="0"/>
        </w:rPr>
        <w:t>本公司确定投资性房地产的公允价值时，参照活跃市场上同类或类似房地产的现行市场价格; 无法取得同类或类似房地产的现行市场价格的，参照活跃市场上同类或类似房地产的最近交易价 格，并考虑资产状况、所在位置、交易情况、交易日期等因素，从而对投资性房地产的公允价值 作出合理的估计；或基于预计未来获得的租金收益和有关现金流量的现值确定其公允价值。</w:t>
      </w:r>
    </w:p>
    <w:p>
      <w:pPr>
        <w:pStyle w:val="Style52"/>
        <w:keepNext/>
        <w:keepLines/>
        <w:widowControl w:val="0"/>
        <w:shd w:val="clear" w:color="auto" w:fill="auto"/>
        <w:tabs>
          <w:tab w:pos="486" w:val="left"/>
        </w:tabs>
        <w:bidi w:val="0"/>
        <w:spacing w:before="0" w:after="220" w:line="468" w:lineRule="exact"/>
        <w:ind w:left="0" w:right="0" w:firstLine="0"/>
        <w:jc w:val="left"/>
        <w:rPr>
          <w:sz w:val="24"/>
          <w:szCs w:val="24"/>
        </w:rPr>
      </w:pPr>
      <w:bookmarkStart w:id="833" w:name="bookmark833"/>
      <w:bookmarkStart w:id="834" w:name="bookmark834"/>
      <w:bookmarkStart w:id="835" w:name="bookmark835"/>
      <w:bookmarkStart w:id="836" w:name="bookmark836"/>
      <w:r>
        <w:rPr>
          <w:rFonts w:ascii="Times New Roman" w:eastAsia="Times New Roman" w:hAnsi="Times New Roman" w:cs="Times New Roman"/>
          <w:b w:val="0"/>
          <w:bCs w:val="0"/>
          <w:color w:val="000000"/>
          <w:spacing w:val="0"/>
          <w:w w:val="100"/>
          <w:position w:val="0"/>
          <w:sz w:val="24"/>
          <w:szCs w:val="24"/>
        </w:rPr>
        <w:t>1</w:t>
      </w:r>
      <w:bookmarkEnd w:id="835"/>
      <w:r>
        <w:rPr>
          <w:rFonts w:ascii="Times New Roman" w:eastAsia="Times New Roman" w:hAnsi="Times New Roman" w:cs="Times New Roman"/>
          <w:b w:val="0"/>
          <w:bCs w:val="0"/>
          <w:color w:val="000000"/>
          <w:spacing w:val="0"/>
          <w:w w:val="100"/>
          <w:position w:val="0"/>
          <w:sz w:val="24"/>
          <w:szCs w:val="24"/>
        </w:rPr>
        <w:t>5</w:t>
      </w:r>
      <w:r>
        <w:rPr>
          <w:b w:val="0"/>
          <w:bCs w:val="0"/>
          <w:color w:val="000000"/>
          <w:spacing w:val="0"/>
          <w:w w:val="100"/>
          <w:position w:val="0"/>
          <w:sz w:val="24"/>
          <w:szCs w:val="24"/>
        </w:rPr>
        <w:t>、</w:t>
        <w:tab/>
        <w:t>固定资产及其累计折旧</w:t>
      </w:r>
      <w:bookmarkEnd w:id="833"/>
      <w:bookmarkEnd w:id="834"/>
      <w:bookmarkEnd w:id="836"/>
    </w:p>
    <w:p>
      <w:pPr>
        <w:pStyle w:val="Style44"/>
        <w:keepNext w:val="0"/>
        <w:keepLines w:val="0"/>
        <w:widowControl w:val="0"/>
        <w:shd w:val="clear" w:color="auto" w:fill="auto"/>
        <w:bidi w:val="0"/>
        <w:spacing w:before="0" w:after="0" w:line="468" w:lineRule="exact"/>
        <w:ind w:left="0" w:right="0" w:firstLine="520"/>
        <w:jc w:val="left"/>
      </w:pPr>
      <w:bookmarkStart w:id="837" w:name="bookmark837"/>
      <w:r>
        <w:rPr>
          <w:color w:val="000000"/>
          <w:spacing w:val="0"/>
          <w:w w:val="100"/>
          <w:position w:val="0"/>
        </w:rPr>
        <w:t>（</w:t>
      </w:r>
      <w:bookmarkEnd w:id="837"/>
      <w:r>
        <w:rPr>
          <w:rFonts w:ascii="Times New Roman" w:eastAsia="Times New Roman" w:hAnsi="Times New Roman" w:cs="Times New Roman"/>
          <w:color w:val="000000"/>
          <w:spacing w:val="0"/>
          <w:w w:val="100"/>
          <w:position w:val="0"/>
        </w:rPr>
        <w:t>1</w:t>
      </w:r>
      <w:r>
        <w:rPr>
          <w:color w:val="000000"/>
          <w:spacing w:val="0"/>
          <w:w w:val="100"/>
          <w:position w:val="0"/>
        </w:rPr>
        <w:t>）固定资产的确认条件</w:t>
      </w:r>
    </w:p>
    <w:p>
      <w:pPr>
        <w:pStyle w:val="Style44"/>
        <w:keepNext w:val="0"/>
        <w:keepLines w:val="0"/>
        <w:widowControl w:val="0"/>
        <w:shd w:val="clear" w:color="auto" w:fill="auto"/>
        <w:bidi w:val="0"/>
        <w:spacing w:before="0" w:after="0" w:line="470" w:lineRule="exact"/>
        <w:ind w:left="0" w:right="0" w:firstLine="520"/>
        <w:jc w:val="both"/>
      </w:pPr>
      <w:r>
        <w:rPr>
          <w:color w:val="000000"/>
          <w:spacing w:val="0"/>
          <w:w w:val="100"/>
          <w:position w:val="0"/>
        </w:rPr>
        <w:t>本公司固定资产是指为生产商品、提供劳务、出租或经营管理而持有的，使用寿命超过一个 会计年度的有形资产。</w:t>
      </w:r>
    </w:p>
    <w:p>
      <w:pPr>
        <w:pStyle w:val="Style44"/>
        <w:keepNext w:val="0"/>
        <w:keepLines w:val="0"/>
        <w:widowControl w:val="0"/>
        <w:shd w:val="clear" w:color="auto" w:fill="auto"/>
        <w:bidi w:val="0"/>
        <w:spacing w:before="0" w:after="0" w:line="468" w:lineRule="exact"/>
        <w:ind w:left="0" w:right="0" w:firstLine="520"/>
        <w:jc w:val="left"/>
      </w:pPr>
      <w:r>
        <w:rPr>
          <w:color w:val="000000"/>
          <w:spacing w:val="0"/>
          <w:w w:val="100"/>
          <w:position w:val="0"/>
        </w:rPr>
        <w:t>与该固定资产有关的经济利益很可能流入企业，并且该固定资产的成本能够可靠地计量时，</w:t>
      </w:r>
    </w:p>
    <w:p>
      <w:pPr>
        <w:pStyle w:val="Style44"/>
        <w:keepNext w:val="0"/>
        <w:keepLines w:val="0"/>
        <w:widowControl w:val="0"/>
        <w:shd w:val="clear" w:color="auto" w:fill="auto"/>
        <w:bidi w:val="0"/>
        <w:spacing w:before="0" w:after="0" w:line="473" w:lineRule="exact"/>
        <w:ind w:left="0" w:right="0" w:firstLine="140"/>
        <w:jc w:val="both"/>
      </w:pPr>
      <w:r>
        <w:rPr>
          <w:color w:val="000000"/>
          <w:spacing w:val="0"/>
          <w:w w:val="100"/>
          <w:position w:val="0"/>
        </w:rPr>
        <w:t>固定资产才能予以确认。</w:t>
      </w:r>
    </w:p>
    <w:p>
      <w:pPr>
        <w:pStyle w:val="Style44"/>
        <w:keepNext w:val="0"/>
        <w:keepLines w:val="0"/>
        <w:widowControl w:val="0"/>
        <w:shd w:val="clear" w:color="auto" w:fill="auto"/>
        <w:bidi w:val="0"/>
        <w:spacing w:before="0" w:after="0" w:line="473" w:lineRule="exact"/>
        <w:ind w:left="0" w:right="0" w:firstLine="600"/>
        <w:jc w:val="both"/>
      </w:pPr>
      <w:r>
        <w:rPr>
          <w:color w:val="000000"/>
          <w:spacing w:val="0"/>
          <w:w w:val="100"/>
          <w:position w:val="0"/>
        </w:rPr>
        <w:t>本公司固定资产按照取得时的实际成本进行初始计量。</w:t>
      </w:r>
    </w:p>
    <w:p>
      <w:pPr>
        <w:pStyle w:val="Style44"/>
        <w:keepNext w:val="0"/>
        <w:keepLines w:val="0"/>
        <w:widowControl w:val="0"/>
        <w:numPr>
          <w:ilvl w:val="0"/>
          <w:numId w:val="31"/>
        </w:numPr>
        <w:shd w:val="clear" w:color="auto" w:fill="auto"/>
        <w:bidi w:val="0"/>
        <w:spacing w:before="0" w:after="0" w:line="473" w:lineRule="exact"/>
        <w:ind w:left="0" w:right="0" w:firstLine="600"/>
        <w:jc w:val="both"/>
      </w:pPr>
      <w:bookmarkStart w:id="838" w:name="bookmark838"/>
      <w:bookmarkEnd w:id="838"/>
      <w:r>
        <w:rPr>
          <w:color w:val="000000"/>
          <w:spacing w:val="0"/>
          <w:w w:val="100"/>
          <w:position w:val="0"/>
        </w:rPr>
        <w:t>固定资产分类及折旧政策</w:t>
      </w:r>
    </w:p>
    <w:p>
      <w:pPr>
        <w:pStyle w:val="Style44"/>
        <w:keepNext w:val="0"/>
        <w:keepLines w:val="0"/>
        <w:widowControl w:val="0"/>
        <w:shd w:val="clear" w:color="auto" w:fill="auto"/>
        <w:bidi w:val="0"/>
        <w:spacing w:before="0" w:after="120" w:line="473" w:lineRule="exact"/>
        <w:ind w:left="140" w:right="0" w:firstLine="460"/>
        <w:jc w:val="both"/>
      </w:pPr>
      <w:r>
        <w:rPr>
          <w:color w:val="000000"/>
          <w:spacing w:val="0"/>
          <w:w w:val="100"/>
          <w:position w:val="0"/>
        </w:rPr>
        <w:t>本公司采用年限平均法计提折旧。固定资产自达到预定可使用状态时开始计提折旧，终止确 认时或划分为持有待售非流动资产时停止计提折旧。在不考虑减值准备的情况下，按固定资产类 别、预计使用寿命和预计残值，本公司确定各类固定资产的年折旧率如下：</w:t>
      </w:r>
    </w:p>
    <w:tbl>
      <w:tblPr>
        <w:tblOverlap w:val="never"/>
        <w:jc w:val="left"/>
        <w:tblLayout w:type="fixed"/>
      </w:tblPr>
      <w:tblGrid>
        <w:gridCol w:w="2789"/>
        <w:gridCol w:w="1656"/>
        <w:gridCol w:w="1877"/>
        <w:gridCol w:w="1378"/>
        <w:gridCol w:w="1541"/>
      </w:tblGrid>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b/>
                <w:bCs/>
                <w:color w:val="000000"/>
                <w:spacing w:val="0"/>
                <w:w w:val="100"/>
                <w:position w:val="0"/>
                <w:sz w:val="20"/>
                <w:szCs w:val="20"/>
              </w:rPr>
              <w:t>类别</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折旧方法</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使用年限(年)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0"/>
                <w:szCs w:val="20"/>
              </w:rPr>
              <w:t>残值率</w:t>
            </w:r>
            <w:r>
              <w:rPr>
                <w:b/>
                <w:bCs/>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z w:val="20"/>
                <w:szCs w:val="20"/>
              </w:rPr>
              <w:t>年折旧率</w:t>
            </w:r>
            <w:r>
              <w:rPr>
                <w:b/>
                <w:bCs/>
                <w:color w:val="000000"/>
                <w:spacing w:val="0"/>
                <w:w w:val="100"/>
                <w:position w:val="0"/>
              </w:rPr>
              <w:t>％</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房屋及建筑物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年限平均法</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20-30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3.00-5.00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3.23-4.75</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机器设备及工具设备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年限平均法</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0.00-3.00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9.70-33.33</w:t>
            </w: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运输工具</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年限平均法</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3.00-5.00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11.88-24.25</w:t>
            </w:r>
          </w:p>
        </w:tc>
      </w:tr>
    </w:tbl>
    <w:p>
      <w:pPr>
        <w:pStyle w:val="Style44"/>
        <w:keepNext w:val="0"/>
        <w:keepLines w:val="0"/>
        <w:widowControl w:val="0"/>
        <w:shd w:val="clear" w:color="auto" w:fill="auto"/>
        <w:bidi w:val="0"/>
        <w:spacing w:before="0" w:after="0" w:line="475" w:lineRule="exact"/>
        <w:ind w:left="140" w:right="0" w:firstLine="460"/>
        <w:jc w:val="both"/>
      </w:pPr>
      <w:r>
        <w:rPr>
          <w:color w:val="000000"/>
          <w:spacing w:val="0"/>
          <w:w w:val="100"/>
          <w:position w:val="0"/>
        </w:rPr>
        <w:t>其中，己计提减值准备的固定资产，还应扣除已计提的固定资产减值准备累计金额计算确定 折旧率。</w:t>
      </w:r>
    </w:p>
    <w:p>
      <w:pPr>
        <w:pStyle w:val="Style44"/>
        <w:keepNext w:val="0"/>
        <w:keepLines w:val="0"/>
        <w:widowControl w:val="0"/>
        <w:shd w:val="clear" w:color="auto" w:fill="auto"/>
        <w:bidi w:val="0"/>
        <w:spacing w:before="0" w:after="0" w:line="468" w:lineRule="exact"/>
        <w:ind w:left="140" w:right="0" w:firstLine="460"/>
        <w:jc w:val="both"/>
      </w:pPr>
      <w:r>
        <w:rPr>
          <w:color w:val="000000"/>
          <w:spacing w:val="0"/>
          <w:w w:val="100"/>
          <w:position w:val="0"/>
        </w:rPr>
        <w:t>每年年度终了，本公司对固定资产的使用寿命、预计净残值和折旧方法进行复核。使用寿命 预计数与原先估计数有差异的，调整固定资产使用寿命；预计净残值预计数与原先估计数有差异 的，调整预计净残值。</w:t>
      </w:r>
    </w:p>
    <w:p>
      <w:pPr>
        <w:pStyle w:val="Style44"/>
        <w:keepNext w:val="0"/>
        <w:keepLines w:val="0"/>
        <w:widowControl w:val="0"/>
        <w:numPr>
          <w:ilvl w:val="0"/>
          <w:numId w:val="31"/>
        </w:numPr>
        <w:shd w:val="clear" w:color="auto" w:fill="auto"/>
        <w:tabs>
          <w:tab w:pos="1112" w:val="left"/>
        </w:tabs>
        <w:bidi w:val="0"/>
        <w:spacing w:before="0" w:after="0" w:line="470" w:lineRule="exact"/>
        <w:ind w:left="140" w:right="0" w:firstLine="460"/>
        <w:jc w:val="both"/>
      </w:pPr>
      <w:bookmarkStart w:id="839" w:name="bookmark839"/>
      <w:bookmarkEnd w:id="839"/>
      <w:r>
        <w:rPr>
          <w:color w:val="000000"/>
          <w:spacing w:val="0"/>
          <w:w w:val="100"/>
          <w:position w:val="0"/>
        </w:rPr>
        <w:t>融资租入固定资产的认定依据、计价和折旧方法</w:t>
      </w:r>
    </w:p>
    <w:p>
      <w:pPr>
        <w:pStyle w:val="Style44"/>
        <w:keepNext w:val="0"/>
        <w:keepLines w:val="0"/>
        <w:widowControl w:val="0"/>
        <w:shd w:val="clear" w:color="auto" w:fill="auto"/>
        <w:bidi w:val="0"/>
        <w:spacing w:before="0" w:after="0" w:line="470" w:lineRule="exact"/>
        <w:ind w:left="140" w:right="0" w:firstLine="460"/>
        <w:jc w:val="both"/>
      </w:pPr>
      <w:r>
        <w:rPr>
          <w:color w:val="000000"/>
          <w:spacing w:val="0"/>
          <w:w w:val="100"/>
          <w:position w:val="0"/>
        </w:rPr>
        <w:t>本公司租入的固定资产符合下列一项或数项标准时，确认为融资租入固定资产：</w:t>
      </w:r>
    </w:p>
    <w:p>
      <w:pPr>
        <w:pStyle w:val="Style44"/>
        <w:keepNext w:val="0"/>
        <w:keepLines w:val="0"/>
        <w:widowControl w:val="0"/>
        <w:numPr>
          <w:ilvl w:val="0"/>
          <w:numId w:val="33"/>
        </w:numPr>
        <w:shd w:val="clear" w:color="auto" w:fill="auto"/>
        <w:tabs>
          <w:tab w:pos="1011" w:val="left"/>
        </w:tabs>
        <w:bidi w:val="0"/>
        <w:spacing w:before="0" w:after="0" w:line="470" w:lineRule="exact"/>
        <w:ind w:left="140" w:right="0" w:firstLine="460"/>
        <w:jc w:val="both"/>
      </w:pPr>
      <w:bookmarkStart w:id="840" w:name="bookmark840"/>
      <w:bookmarkEnd w:id="840"/>
      <w:r>
        <w:rPr>
          <w:color w:val="000000"/>
          <w:spacing w:val="0"/>
          <w:w w:val="100"/>
          <w:position w:val="0"/>
        </w:rPr>
        <w:t>在租赁期届满时，租赁资产的所有权转移给本公司。</w:t>
      </w:r>
    </w:p>
    <w:p>
      <w:pPr>
        <w:pStyle w:val="Style44"/>
        <w:keepNext w:val="0"/>
        <w:keepLines w:val="0"/>
        <w:widowControl w:val="0"/>
        <w:numPr>
          <w:ilvl w:val="0"/>
          <w:numId w:val="33"/>
        </w:numPr>
        <w:shd w:val="clear" w:color="auto" w:fill="auto"/>
        <w:tabs>
          <w:tab w:pos="993" w:val="left"/>
        </w:tabs>
        <w:bidi w:val="0"/>
        <w:spacing w:before="0" w:after="0" w:line="504" w:lineRule="exact"/>
        <w:ind w:left="140" w:right="0" w:firstLine="460"/>
        <w:jc w:val="both"/>
      </w:pPr>
      <w:bookmarkStart w:id="841" w:name="bookmark841"/>
      <w:bookmarkEnd w:id="841"/>
      <w:r>
        <w:rPr>
          <w:color w:val="000000"/>
          <w:spacing w:val="0"/>
          <w:w w:val="100"/>
          <w:position w:val="0"/>
        </w:rPr>
        <w:t>本公司有购买租赁资产的选择权，所订立的购买价款预计将远低于行使选择权时租赁资产 的公允价值，因而在租赁开始日就可以合理确定本公司将会行使这种选择权。</w:t>
      </w:r>
    </w:p>
    <w:p>
      <w:pPr>
        <w:pStyle w:val="Style44"/>
        <w:keepNext w:val="0"/>
        <w:keepLines w:val="0"/>
        <w:widowControl w:val="0"/>
        <w:numPr>
          <w:ilvl w:val="0"/>
          <w:numId w:val="33"/>
        </w:numPr>
        <w:shd w:val="clear" w:color="auto" w:fill="auto"/>
        <w:tabs>
          <w:tab w:pos="1011" w:val="left"/>
        </w:tabs>
        <w:bidi w:val="0"/>
        <w:spacing w:before="0" w:after="0" w:line="504" w:lineRule="exact"/>
        <w:ind w:left="140" w:right="0" w:firstLine="460"/>
        <w:jc w:val="both"/>
      </w:pPr>
      <w:bookmarkStart w:id="842" w:name="bookmark842"/>
      <w:bookmarkEnd w:id="842"/>
      <w:r>
        <w:rPr>
          <w:color w:val="000000"/>
          <w:spacing w:val="0"/>
          <w:w w:val="100"/>
          <w:position w:val="0"/>
        </w:rPr>
        <w:t>即使资产的所有权不转移，但租赁期占租赁资产使用寿命的大部分。</w:t>
      </w:r>
    </w:p>
    <w:p>
      <w:pPr>
        <w:pStyle w:val="Style44"/>
        <w:keepNext w:val="0"/>
        <w:keepLines w:val="0"/>
        <w:widowControl w:val="0"/>
        <w:numPr>
          <w:ilvl w:val="0"/>
          <w:numId w:val="33"/>
        </w:numPr>
        <w:shd w:val="clear" w:color="auto" w:fill="auto"/>
        <w:tabs>
          <w:tab w:pos="1011" w:val="left"/>
        </w:tabs>
        <w:bidi w:val="0"/>
        <w:spacing w:before="0" w:after="0" w:line="470" w:lineRule="exact"/>
        <w:ind w:left="140" w:right="0" w:firstLine="460"/>
        <w:jc w:val="both"/>
      </w:pPr>
      <w:bookmarkStart w:id="843" w:name="bookmark843"/>
      <w:bookmarkEnd w:id="843"/>
      <w:r>
        <w:rPr>
          <w:color w:val="000000"/>
          <w:spacing w:val="0"/>
          <w:w w:val="100"/>
          <w:position w:val="0"/>
        </w:rPr>
        <w:t>本公司在租赁开始日的最低租赁付款额现值，几乎相当于租赁开始日租赁资产公允价值。</w:t>
      </w:r>
    </w:p>
    <w:p>
      <w:pPr>
        <w:pStyle w:val="Style44"/>
        <w:keepNext w:val="0"/>
        <w:keepLines w:val="0"/>
        <w:widowControl w:val="0"/>
        <w:numPr>
          <w:ilvl w:val="0"/>
          <w:numId w:val="33"/>
        </w:numPr>
        <w:shd w:val="clear" w:color="auto" w:fill="auto"/>
        <w:tabs>
          <w:tab w:pos="1011" w:val="left"/>
        </w:tabs>
        <w:bidi w:val="0"/>
        <w:spacing w:before="0" w:after="0" w:line="470" w:lineRule="exact"/>
        <w:ind w:left="140" w:right="0" w:firstLine="460"/>
        <w:jc w:val="both"/>
      </w:pPr>
      <w:bookmarkStart w:id="844" w:name="bookmark844"/>
      <w:bookmarkEnd w:id="844"/>
      <w:r>
        <w:rPr>
          <w:color w:val="000000"/>
          <w:spacing w:val="0"/>
          <w:w w:val="100"/>
          <w:position w:val="0"/>
        </w:rPr>
        <w:t>租赁资产性质特殊，如果不作较大改造，只有本公司才能使用。</w:t>
      </w:r>
    </w:p>
    <w:p>
      <w:pPr>
        <w:pStyle w:val="Style44"/>
        <w:keepNext w:val="0"/>
        <w:keepLines w:val="0"/>
        <w:widowControl w:val="0"/>
        <w:shd w:val="clear" w:color="auto" w:fill="auto"/>
        <w:bidi w:val="0"/>
        <w:spacing w:before="0" w:after="0" w:line="470" w:lineRule="exact"/>
        <w:ind w:left="140" w:right="0" w:firstLine="460"/>
        <w:jc w:val="both"/>
      </w:pPr>
      <w:r>
        <w:rPr>
          <w:color w:val="000000"/>
          <w:spacing w:val="0"/>
          <w:w w:val="100"/>
          <w:position w:val="0"/>
        </w:rPr>
        <w:t>融资租入的固定资产，能够合理确定租赁期届满时将会取得租赁资产所有权的，在租赁资产 尚可使用年限内计提折旧；无法合理确定租赁期届满时能够取得租赁资产所有权的，在租赁期与 租赁资产尚可使用年限两者中较短的期间内计提折旧。</w:t>
      </w:r>
    </w:p>
    <w:p>
      <w:pPr>
        <w:pStyle w:val="Style44"/>
        <w:keepNext w:val="0"/>
        <w:keepLines w:val="0"/>
        <w:widowControl w:val="0"/>
        <w:numPr>
          <w:ilvl w:val="0"/>
          <w:numId w:val="31"/>
        </w:numPr>
        <w:shd w:val="clear" w:color="auto" w:fill="auto"/>
        <w:tabs>
          <w:tab w:pos="1112" w:val="left"/>
        </w:tabs>
        <w:bidi w:val="0"/>
        <w:spacing w:before="0" w:after="0" w:line="470" w:lineRule="exact"/>
        <w:ind w:left="0" w:right="0" w:firstLine="600"/>
        <w:jc w:val="both"/>
      </w:pPr>
      <w:bookmarkStart w:id="845" w:name="bookmark845"/>
      <w:bookmarkEnd w:id="845"/>
      <w:r>
        <w:rPr>
          <w:color w:val="000000"/>
          <w:spacing w:val="0"/>
          <w:w w:val="100"/>
          <w:position w:val="0"/>
        </w:rPr>
        <w:t>大修理费用</w:t>
      </w:r>
    </w:p>
    <w:p>
      <w:pPr>
        <w:pStyle w:val="Style44"/>
        <w:keepNext w:val="0"/>
        <w:keepLines w:val="0"/>
        <w:widowControl w:val="0"/>
        <w:shd w:val="clear" w:color="auto" w:fill="auto"/>
        <w:bidi w:val="0"/>
        <w:spacing w:before="0" w:after="220" w:line="470" w:lineRule="exact"/>
        <w:ind w:left="0" w:right="0" w:firstLine="600"/>
        <w:jc w:val="both"/>
      </w:pPr>
      <w:r>
        <w:rPr>
          <w:color w:val="000000"/>
          <w:spacing w:val="0"/>
          <w:w w:val="100"/>
          <w:position w:val="0"/>
        </w:rPr>
        <w:t xml:space="preserve">本公司对固定资产进行定期检查发生的大修理费用，有确凿证据表明符合固定资产确认条件 </w:t>
      </w:r>
      <w:r>
        <w:rPr>
          <w:color w:val="000000"/>
          <w:spacing w:val="0"/>
          <w:w w:val="100"/>
          <w:position w:val="0"/>
        </w:rPr>
        <w:t>的部分，计入固定资产成本，不符合固定资产确认条件的计入当期损益。固定资产在定期大修理 间隔期间，照提折旧。</w:t>
      </w:r>
    </w:p>
    <w:p>
      <w:pPr>
        <w:pStyle w:val="Style52"/>
        <w:keepNext/>
        <w:keepLines/>
        <w:widowControl w:val="0"/>
        <w:shd w:val="clear" w:color="auto" w:fill="auto"/>
        <w:tabs>
          <w:tab w:pos="486" w:val="left"/>
        </w:tabs>
        <w:bidi w:val="0"/>
        <w:spacing w:before="0" w:after="220" w:line="467" w:lineRule="exact"/>
        <w:ind w:left="0" w:right="0" w:firstLine="0"/>
        <w:jc w:val="both"/>
        <w:rPr>
          <w:sz w:val="24"/>
          <w:szCs w:val="24"/>
        </w:rPr>
      </w:pPr>
      <w:bookmarkStart w:id="846" w:name="bookmark846"/>
      <w:bookmarkStart w:id="847" w:name="bookmark847"/>
      <w:bookmarkStart w:id="848" w:name="bookmark848"/>
      <w:bookmarkStart w:id="849" w:name="bookmark849"/>
      <w:r>
        <w:rPr>
          <w:rFonts w:ascii="Times New Roman" w:eastAsia="Times New Roman" w:hAnsi="Times New Roman" w:cs="Times New Roman"/>
          <w:b w:val="0"/>
          <w:bCs w:val="0"/>
          <w:color w:val="000000"/>
          <w:spacing w:val="0"/>
          <w:w w:val="100"/>
          <w:position w:val="0"/>
          <w:sz w:val="24"/>
          <w:szCs w:val="24"/>
        </w:rPr>
        <w:t>1</w:t>
      </w:r>
      <w:bookmarkEnd w:id="848"/>
      <w:r>
        <w:rPr>
          <w:rFonts w:ascii="Times New Roman" w:eastAsia="Times New Roman" w:hAnsi="Times New Roman" w:cs="Times New Roman"/>
          <w:b w:val="0"/>
          <w:bCs w:val="0"/>
          <w:color w:val="000000"/>
          <w:spacing w:val="0"/>
          <w:w w:val="100"/>
          <w:position w:val="0"/>
          <w:sz w:val="24"/>
          <w:szCs w:val="24"/>
        </w:rPr>
        <w:t>6</w:t>
      </w:r>
      <w:r>
        <w:rPr>
          <w:b w:val="0"/>
          <w:bCs w:val="0"/>
          <w:color w:val="000000"/>
          <w:spacing w:val="0"/>
          <w:w w:val="100"/>
          <w:position w:val="0"/>
          <w:sz w:val="24"/>
          <w:szCs w:val="24"/>
        </w:rPr>
        <w:t>、</w:t>
        <w:tab/>
        <w:t>在建工程</w:t>
      </w:r>
      <w:bookmarkEnd w:id="846"/>
      <w:bookmarkEnd w:id="847"/>
      <w:bookmarkEnd w:id="849"/>
    </w:p>
    <w:p>
      <w:pPr>
        <w:pStyle w:val="Style44"/>
        <w:keepNext w:val="0"/>
        <w:keepLines w:val="0"/>
        <w:widowControl w:val="0"/>
        <w:shd w:val="clear" w:color="auto" w:fill="auto"/>
        <w:bidi w:val="0"/>
        <w:spacing w:before="0" w:after="0" w:line="470" w:lineRule="exact"/>
        <w:ind w:left="0" w:right="0" w:firstLine="520"/>
        <w:jc w:val="both"/>
      </w:pPr>
      <w:r>
        <w:rPr>
          <w:color w:val="000000"/>
          <w:spacing w:val="0"/>
          <w:w w:val="100"/>
          <w:position w:val="0"/>
        </w:rPr>
        <w:t>本公司在建工程成本按实际工程支出确定，包括在建期间发生的各项必要工程支出、工程达 到预定可使用状态前的应予资本化的借款费用以及其他相关费用等。</w:t>
      </w:r>
    </w:p>
    <w:p>
      <w:pPr>
        <w:pStyle w:val="Style44"/>
        <w:keepNext w:val="0"/>
        <w:keepLines w:val="0"/>
        <w:widowControl w:val="0"/>
        <w:shd w:val="clear" w:color="auto" w:fill="auto"/>
        <w:bidi w:val="0"/>
        <w:spacing w:before="0" w:after="220" w:line="467" w:lineRule="exact"/>
        <w:ind w:left="0" w:right="0" w:firstLine="520"/>
        <w:jc w:val="left"/>
      </w:pPr>
      <w:r>
        <w:rPr>
          <w:color w:val="000000"/>
          <w:spacing w:val="0"/>
          <w:w w:val="100"/>
          <w:position w:val="0"/>
        </w:rPr>
        <w:t>在建工程在达到预定可使用状态时转入固定资产。</w:t>
      </w:r>
    </w:p>
    <w:p>
      <w:pPr>
        <w:pStyle w:val="Style52"/>
        <w:keepNext/>
        <w:keepLines/>
        <w:widowControl w:val="0"/>
        <w:shd w:val="clear" w:color="auto" w:fill="auto"/>
        <w:tabs>
          <w:tab w:pos="486" w:val="left"/>
        </w:tabs>
        <w:bidi w:val="0"/>
        <w:spacing w:before="0" w:after="220" w:line="467" w:lineRule="exact"/>
        <w:ind w:left="0" w:right="0" w:firstLine="0"/>
        <w:jc w:val="left"/>
        <w:rPr>
          <w:sz w:val="24"/>
          <w:szCs w:val="24"/>
        </w:rPr>
      </w:pPr>
      <w:bookmarkStart w:id="850" w:name="bookmark850"/>
      <w:bookmarkStart w:id="851" w:name="bookmark851"/>
      <w:bookmarkStart w:id="852" w:name="bookmark852"/>
      <w:bookmarkStart w:id="853" w:name="bookmark853"/>
      <w:r>
        <w:rPr>
          <w:rFonts w:ascii="Times New Roman" w:eastAsia="Times New Roman" w:hAnsi="Times New Roman" w:cs="Times New Roman"/>
          <w:b w:val="0"/>
          <w:bCs w:val="0"/>
          <w:color w:val="000000"/>
          <w:spacing w:val="0"/>
          <w:w w:val="100"/>
          <w:position w:val="0"/>
          <w:sz w:val="24"/>
          <w:szCs w:val="24"/>
        </w:rPr>
        <w:t>1</w:t>
      </w:r>
      <w:bookmarkEnd w:id="852"/>
      <w:r>
        <w:rPr>
          <w:rFonts w:ascii="Times New Roman" w:eastAsia="Times New Roman" w:hAnsi="Times New Roman" w:cs="Times New Roman"/>
          <w:b w:val="0"/>
          <w:bCs w:val="0"/>
          <w:color w:val="000000"/>
          <w:spacing w:val="0"/>
          <w:w w:val="100"/>
          <w:position w:val="0"/>
          <w:sz w:val="24"/>
          <w:szCs w:val="24"/>
        </w:rPr>
        <w:t>7</w:t>
      </w:r>
      <w:r>
        <w:rPr>
          <w:b w:val="0"/>
          <w:bCs w:val="0"/>
          <w:color w:val="000000"/>
          <w:spacing w:val="0"/>
          <w:w w:val="100"/>
          <w:position w:val="0"/>
          <w:sz w:val="24"/>
          <w:szCs w:val="24"/>
        </w:rPr>
        <w:t>、</w:t>
        <w:tab/>
        <w:t>借款费用</w:t>
      </w:r>
      <w:bookmarkEnd w:id="850"/>
      <w:bookmarkEnd w:id="851"/>
      <w:bookmarkEnd w:id="853"/>
    </w:p>
    <w:p>
      <w:pPr>
        <w:pStyle w:val="Style44"/>
        <w:keepNext w:val="0"/>
        <w:keepLines w:val="0"/>
        <w:widowControl w:val="0"/>
        <w:shd w:val="clear" w:color="auto" w:fill="auto"/>
        <w:bidi w:val="0"/>
        <w:spacing w:before="0" w:after="0" w:line="467" w:lineRule="exact"/>
        <w:ind w:left="0" w:right="0" w:firstLine="520"/>
        <w:jc w:val="left"/>
      </w:pPr>
      <w:r>
        <w:rPr>
          <w:color w:val="000000"/>
          <w:spacing w:val="0"/>
          <w:w w:val="100"/>
          <w:position w:val="0"/>
        </w:rPr>
        <w:t>借款费用包括借款利息、折价或溢价的摊销、辅助费用以及因外币借款而发生的汇兑差额等。 可直接归属于符合资本化条件的资产的购建或者生产的借款费用，在资产支出已经发生、借款费 用已经发生、为使资产达到预定可使用或可销售状态所必要的购建或生产活动已经开始时，开始 资本化；构建或者生产的符合资本化条件的资产达到预定可使用状态或者可销售状态时，停止资 本化。其余借款费用在发生当期确认为费用。</w:t>
      </w:r>
    </w:p>
    <w:p>
      <w:pPr>
        <w:pStyle w:val="Style44"/>
        <w:keepNext w:val="0"/>
        <w:keepLines w:val="0"/>
        <w:widowControl w:val="0"/>
        <w:shd w:val="clear" w:color="auto" w:fill="auto"/>
        <w:bidi w:val="0"/>
        <w:spacing w:before="0" w:after="0" w:line="467" w:lineRule="exact"/>
        <w:ind w:left="0" w:right="0" w:firstLine="520"/>
        <w:jc w:val="left"/>
      </w:pPr>
      <w:r>
        <w:rPr>
          <w:color w:val="000000"/>
          <w:spacing w:val="0"/>
          <w:w w:val="100"/>
          <w:position w:val="0"/>
        </w:rPr>
        <w:t>专门借款当期实际发生的利息费用，减去尚未动用的借款资金存入银行取得的利息收入或进 行暂时性投资取得的投资收益后的金额予以资本化；一般借款根据累计资产支出超过专门借款部 分的资产支出加权平均数乘以所占用一般借款的资本化率，确定资本化金额。资本化率根据一般 借款的加权平均利率计算确定。</w:t>
      </w:r>
    </w:p>
    <w:p>
      <w:pPr>
        <w:pStyle w:val="Style44"/>
        <w:keepNext w:val="0"/>
        <w:keepLines w:val="0"/>
        <w:widowControl w:val="0"/>
        <w:shd w:val="clear" w:color="auto" w:fill="auto"/>
        <w:bidi w:val="0"/>
        <w:spacing w:before="0" w:after="0" w:line="466" w:lineRule="exact"/>
        <w:ind w:left="0" w:right="0" w:firstLine="520"/>
        <w:jc w:val="left"/>
      </w:pPr>
      <w:r>
        <w:rPr>
          <w:color w:val="000000"/>
          <w:spacing w:val="0"/>
          <w:w w:val="100"/>
          <w:position w:val="0"/>
        </w:rPr>
        <w:t>资本化期间内，外币专门借款的汇兑差额全部予以资本化；外币一般借款的汇兑差额计入当 期损益。</w:t>
      </w:r>
    </w:p>
    <w:p>
      <w:pPr>
        <w:pStyle w:val="Style44"/>
        <w:keepNext w:val="0"/>
        <w:keepLines w:val="0"/>
        <w:widowControl w:val="0"/>
        <w:shd w:val="clear" w:color="auto" w:fill="auto"/>
        <w:bidi w:val="0"/>
        <w:spacing w:before="0" w:after="0" w:line="475" w:lineRule="exact"/>
        <w:ind w:left="0" w:right="0" w:firstLine="520"/>
        <w:jc w:val="left"/>
      </w:pPr>
      <w:r>
        <w:rPr>
          <w:color w:val="000000"/>
          <w:spacing w:val="0"/>
          <w:w w:val="100"/>
          <w:position w:val="0"/>
        </w:rPr>
        <w:t>符合资本化条件的资产指需要经过相当长时间的购建或者生产活动才能达到预定可使用或 可销售状态的固定资产、投资性房地产和存货等资产。</w:t>
      </w:r>
    </w:p>
    <w:p>
      <w:pPr>
        <w:pStyle w:val="Style44"/>
        <w:keepNext w:val="0"/>
        <w:keepLines w:val="0"/>
        <w:widowControl w:val="0"/>
        <w:shd w:val="clear" w:color="auto" w:fill="auto"/>
        <w:bidi w:val="0"/>
        <w:spacing w:before="0" w:after="0" w:line="470" w:lineRule="exact"/>
        <w:ind w:left="0" w:right="0" w:firstLine="520"/>
        <w:jc w:val="left"/>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rPr>
        <w:t xml:space="preserve">3 </w:t>
      </w:r>
      <w:r>
        <w:rPr>
          <w:color w:val="000000"/>
          <w:spacing w:val="0"/>
          <w:w w:val="100"/>
          <w:position w:val="0"/>
        </w:rPr>
        <w:t>个月的，暂停借款费用的资本化，直至资产的购建或生产活动重新开始。</w:t>
      </w:r>
    </w:p>
    <w:p>
      <w:pPr>
        <w:pStyle w:val="Style44"/>
        <w:keepNext w:val="0"/>
        <w:keepLines w:val="0"/>
        <w:widowControl w:val="0"/>
        <w:shd w:val="clear" w:color="auto" w:fill="auto"/>
        <w:bidi w:val="0"/>
        <w:spacing w:before="0" w:after="0" w:line="466" w:lineRule="exact"/>
        <w:ind w:left="0" w:right="0" w:firstLine="520"/>
        <w:jc w:val="left"/>
      </w:pPr>
      <w:r>
        <w:rPr>
          <w:color w:val="000000"/>
          <w:spacing w:val="0"/>
          <w:w w:val="100"/>
          <w:position w:val="0"/>
        </w:rPr>
        <w:t>专门借款的利息费用（扣除尚未动用的借款资金存入银行取得的利息收入或者进行暂时性投 资取得的投资收益）及其辅助费用在所购建或者生产的符合资本化条件的资产达到预定可使用或 者可销售状态前，予以资本化。</w:t>
      </w:r>
    </w:p>
    <w:p>
      <w:pPr>
        <w:pStyle w:val="Style44"/>
        <w:keepNext w:val="0"/>
        <w:keepLines w:val="0"/>
        <w:widowControl w:val="0"/>
        <w:shd w:val="clear" w:color="auto" w:fill="auto"/>
        <w:bidi w:val="0"/>
        <w:spacing w:before="0" w:after="0" w:line="485" w:lineRule="exact"/>
        <w:ind w:left="0" w:right="0" w:firstLine="520"/>
        <w:jc w:val="left"/>
      </w:pPr>
      <w:r>
        <w:rPr>
          <w:color w:val="000000"/>
          <w:spacing w:val="0"/>
          <w:w w:val="100"/>
          <w:position w:val="0"/>
        </w:rPr>
        <w:t>根据累计资产支出超过专门借款部分的资产支出加权平均数乘以所占用一般借款的资本化 率，计算确定一般借款应予资本化的利息金额。资本化率根据一般借款加权平均利率计算确定。</w:t>
      </w:r>
    </w:p>
    <w:p>
      <w:pPr>
        <w:pStyle w:val="Style44"/>
        <w:keepNext w:val="0"/>
        <w:keepLines w:val="0"/>
        <w:widowControl w:val="0"/>
        <w:shd w:val="clear" w:color="auto" w:fill="auto"/>
        <w:bidi w:val="0"/>
        <w:spacing w:before="0" w:after="220" w:line="473" w:lineRule="exact"/>
        <w:ind w:left="0" w:right="0" w:firstLine="520"/>
        <w:jc w:val="left"/>
      </w:pPr>
      <w:r>
        <w:rPr>
          <w:color w:val="000000"/>
          <w:spacing w:val="0"/>
          <w:w w:val="100"/>
          <w:position w:val="0"/>
        </w:rPr>
        <w:t>借款存在折价或者溢价的，按照实际利率法确定每一会计期间应摊销的折价或者溢价金额， 调整每期利息金额。实际利率法是根据借款实际利率计算其摊余折价或溢价或利息费用的方法。 其中实际利率是借款在预期存续期间的未来现金流量，折现为该借款当前账面价值所使用的利率。</w:t>
      </w:r>
    </w:p>
    <w:p>
      <w:pPr>
        <w:pStyle w:val="Style52"/>
        <w:keepNext/>
        <w:keepLines/>
        <w:widowControl w:val="0"/>
        <w:shd w:val="clear" w:color="auto" w:fill="auto"/>
        <w:tabs>
          <w:tab w:pos="498" w:val="left"/>
        </w:tabs>
        <w:bidi w:val="0"/>
        <w:spacing w:before="0" w:after="220" w:line="470" w:lineRule="exact"/>
        <w:ind w:left="0" w:right="0" w:firstLine="0"/>
        <w:jc w:val="left"/>
        <w:rPr>
          <w:sz w:val="24"/>
          <w:szCs w:val="24"/>
        </w:rPr>
      </w:pPr>
      <w:bookmarkStart w:id="854" w:name="bookmark854"/>
      <w:bookmarkStart w:id="855" w:name="bookmark855"/>
      <w:bookmarkStart w:id="856" w:name="bookmark856"/>
      <w:bookmarkStart w:id="857" w:name="bookmark857"/>
      <w:r>
        <w:rPr>
          <w:rFonts w:ascii="Times New Roman" w:eastAsia="Times New Roman" w:hAnsi="Times New Roman" w:cs="Times New Roman"/>
          <w:b w:val="0"/>
          <w:bCs w:val="0"/>
          <w:color w:val="000000"/>
          <w:spacing w:val="0"/>
          <w:w w:val="100"/>
          <w:position w:val="0"/>
          <w:sz w:val="24"/>
          <w:szCs w:val="24"/>
        </w:rPr>
        <w:t>1</w:t>
      </w:r>
      <w:bookmarkEnd w:id="856"/>
      <w:r>
        <w:rPr>
          <w:rFonts w:ascii="Times New Roman" w:eastAsia="Times New Roman" w:hAnsi="Times New Roman" w:cs="Times New Roman"/>
          <w:b w:val="0"/>
          <w:bCs w:val="0"/>
          <w:color w:val="000000"/>
          <w:spacing w:val="0"/>
          <w:w w:val="100"/>
          <w:position w:val="0"/>
          <w:sz w:val="24"/>
          <w:szCs w:val="24"/>
        </w:rPr>
        <w:t>8</w:t>
      </w:r>
      <w:r>
        <w:rPr>
          <w:b w:val="0"/>
          <w:bCs w:val="0"/>
          <w:color w:val="000000"/>
          <w:spacing w:val="0"/>
          <w:w w:val="100"/>
          <w:position w:val="0"/>
          <w:sz w:val="24"/>
          <w:szCs w:val="24"/>
        </w:rPr>
        <w:t>、</w:t>
        <w:tab/>
        <w:t>无形资产</w:t>
      </w:r>
      <w:bookmarkEnd w:id="854"/>
      <w:bookmarkEnd w:id="855"/>
      <w:bookmarkEnd w:id="857"/>
    </w:p>
    <w:p>
      <w:pPr>
        <w:pStyle w:val="Style44"/>
        <w:keepNext w:val="0"/>
        <w:keepLines w:val="0"/>
        <w:widowControl w:val="0"/>
        <w:shd w:val="clear" w:color="auto" w:fill="auto"/>
        <w:bidi w:val="0"/>
        <w:spacing w:before="0" w:after="0" w:line="469" w:lineRule="exact"/>
        <w:ind w:left="0" w:right="0" w:firstLine="520"/>
        <w:jc w:val="both"/>
      </w:pPr>
      <w:r>
        <w:rPr>
          <w:color w:val="000000"/>
          <w:spacing w:val="0"/>
          <w:w w:val="100"/>
          <w:position w:val="0"/>
        </w:rPr>
        <w:t>本公司无形资产按照成本进行初始计量，并于取得无形资产时分析判断其使用寿命。使用寿 命为有限的，自无形资产可供使用时起，采用能反映与该资产有关的经济利益的预期实现方式的 摊销方法，在预计使用年限内摊销；无法可靠确定预期实现方式的，采用直线法摊销；使用寿命 不确定的无形资产，不作摊销。</w:t>
      </w:r>
    </w:p>
    <w:p>
      <w:pPr>
        <w:pStyle w:val="Style44"/>
        <w:keepNext w:val="0"/>
        <w:keepLines w:val="0"/>
        <w:widowControl w:val="0"/>
        <w:shd w:val="clear" w:color="auto" w:fill="auto"/>
        <w:bidi w:val="0"/>
        <w:spacing w:before="0" w:after="0" w:line="480" w:lineRule="exact"/>
        <w:ind w:left="0" w:right="0" w:firstLine="520"/>
        <w:jc w:val="both"/>
      </w:pPr>
      <w:r>
        <w:rPr>
          <w:color w:val="000000"/>
          <w:spacing w:val="0"/>
          <w:w w:val="100"/>
          <w:position w:val="0"/>
        </w:rPr>
        <w:t>本公司于每年年度终了，对使用寿命有限的无形资产的使用寿命及摊销方法进行复核，与以 前估计不同的，调整原先估计数，并按会计估计变更处理。</w:t>
      </w:r>
    </w:p>
    <w:p>
      <w:pPr>
        <w:pStyle w:val="Style44"/>
        <w:keepNext w:val="0"/>
        <w:keepLines w:val="0"/>
        <w:widowControl w:val="0"/>
        <w:shd w:val="clear" w:color="auto" w:fill="auto"/>
        <w:bidi w:val="0"/>
        <w:spacing w:before="0" w:after="220" w:line="470" w:lineRule="exact"/>
        <w:ind w:left="0" w:right="0" w:firstLine="520"/>
        <w:jc w:val="both"/>
      </w:pPr>
      <w:r>
        <w:rPr>
          <w:color w:val="000000"/>
          <w:spacing w:val="0"/>
          <w:w w:val="100"/>
          <w:position w:val="0"/>
        </w:rPr>
        <w:t>本公司期末预计某项无形资产已经不能给企业带来未来经济利益的，将该项无形资产的账面 价值全部转入当期损益。</w:t>
      </w:r>
    </w:p>
    <w:p>
      <w:pPr>
        <w:pStyle w:val="Style52"/>
        <w:keepNext/>
        <w:keepLines/>
        <w:widowControl w:val="0"/>
        <w:shd w:val="clear" w:color="auto" w:fill="auto"/>
        <w:tabs>
          <w:tab w:pos="498" w:val="left"/>
        </w:tabs>
        <w:bidi w:val="0"/>
        <w:spacing w:before="0" w:after="220" w:line="470" w:lineRule="exact"/>
        <w:ind w:left="0" w:right="0" w:firstLine="0"/>
        <w:jc w:val="left"/>
        <w:rPr>
          <w:sz w:val="24"/>
          <w:szCs w:val="24"/>
        </w:rPr>
      </w:pPr>
      <w:bookmarkStart w:id="858" w:name="bookmark858"/>
      <w:bookmarkStart w:id="859" w:name="bookmark859"/>
      <w:bookmarkStart w:id="860" w:name="bookmark860"/>
      <w:bookmarkStart w:id="861" w:name="bookmark861"/>
      <w:r>
        <w:rPr>
          <w:rFonts w:ascii="Times New Roman" w:eastAsia="Times New Roman" w:hAnsi="Times New Roman" w:cs="Times New Roman"/>
          <w:b w:val="0"/>
          <w:bCs w:val="0"/>
          <w:color w:val="000000"/>
          <w:spacing w:val="0"/>
          <w:w w:val="100"/>
          <w:position w:val="0"/>
          <w:sz w:val="24"/>
          <w:szCs w:val="24"/>
        </w:rPr>
        <w:t>1</w:t>
      </w:r>
      <w:bookmarkEnd w:id="860"/>
      <w:r>
        <w:rPr>
          <w:rFonts w:ascii="Times New Roman" w:eastAsia="Times New Roman" w:hAnsi="Times New Roman" w:cs="Times New Roman"/>
          <w:b w:val="0"/>
          <w:bCs w:val="0"/>
          <w:color w:val="000000"/>
          <w:spacing w:val="0"/>
          <w:w w:val="100"/>
          <w:position w:val="0"/>
          <w:sz w:val="24"/>
          <w:szCs w:val="24"/>
        </w:rPr>
        <w:t>9</w:t>
      </w:r>
      <w:r>
        <w:rPr>
          <w:b w:val="0"/>
          <w:bCs w:val="0"/>
          <w:color w:val="000000"/>
          <w:spacing w:val="0"/>
          <w:w w:val="100"/>
          <w:position w:val="0"/>
          <w:sz w:val="24"/>
          <w:szCs w:val="24"/>
        </w:rPr>
        <w:t>、</w:t>
        <w:tab/>
        <w:t>研究开发支出</w:t>
      </w:r>
      <w:bookmarkEnd w:id="858"/>
      <w:bookmarkEnd w:id="859"/>
      <w:bookmarkEnd w:id="861"/>
    </w:p>
    <w:p>
      <w:pPr>
        <w:pStyle w:val="Style44"/>
        <w:keepNext w:val="0"/>
        <w:keepLines w:val="0"/>
        <w:widowControl w:val="0"/>
        <w:shd w:val="clear" w:color="auto" w:fill="auto"/>
        <w:bidi w:val="0"/>
        <w:spacing w:before="0" w:after="0" w:line="466" w:lineRule="exact"/>
        <w:ind w:left="0" w:right="0" w:firstLine="520"/>
        <w:jc w:val="left"/>
      </w:pPr>
      <w:r>
        <w:rPr>
          <w:color w:val="000000"/>
          <w:spacing w:val="0"/>
          <w:w w:val="100"/>
          <w:position w:val="0"/>
        </w:rPr>
        <w:t>本公司将内部研究开发项目的支出，区分为研究阶段支出和开发阶段支出。研究阶段的支出， 于发生时计入当期损益。</w:t>
      </w:r>
    </w:p>
    <w:p>
      <w:pPr>
        <w:pStyle w:val="Style44"/>
        <w:keepNext w:val="0"/>
        <w:keepLines w:val="0"/>
        <w:widowControl w:val="0"/>
        <w:shd w:val="clear" w:color="auto" w:fill="auto"/>
        <w:tabs>
          <w:tab w:pos="1032" w:val="left"/>
        </w:tabs>
        <w:bidi w:val="0"/>
        <w:spacing w:before="0" w:after="0" w:line="470" w:lineRule="exact"/>
        <w:ind w:left="0" w:right="0" w:firstLine="520"/>
        <w:jc w:val="left"/>
      </w:pPr>
      <w:bookmarkStart w:id="862" w:name="bookmark862"/>
      <w:r>
        <w:rPr>
          <w:color w:val="000000"/>
          <w:spacing w:val="0"/>
          <w:w w:val="100"/>
          <w:position w:val="0"/>
        </w:rPr>
        <w:t>（</w:t>
      </w:r>
      <w:bookmarkEnd w:id="862"/>
      <w:r>
        <w:rPr>
          <w:rFonts w:ascii="Times New Roman" w:eastAsia="Times New Roman" w:hAnsi="Times New Roman" w:cs="Times New Roman"/>
          <w:color w:val="000000"/>
          <w:spacing w:val="0"/>
          <w:w w:val="100"/>
          <w:position w:val="0"/>
        </w:rPr>
        <w:t>1</w:t>
      </w:r>
      <w:r>
        <w:rPr>
          <w:color w:val="000000"/>
          <w:spacing w:val="0"/>
          <w:w w:val="100"/>
          <w:position w:val="0"/>
        </w:rPr>
        <w:t>）</w:t>
        <w:tab/>
        <w:t>划分公司内部研究开发项目的研究阶段和开发阶段具体标准</w:t>
      </w:r>
    </w:p>
    <w:p>
      <w:pPr>
        <w:pStyle w:val="Style44"/>
        <w:keepNext w:val="0"/>
        <w:keepLines w:val="0"/>
        <w:widowControl w:val="0"/>
        <w:shd w:val="clear" w:color="auto" w:fill="auto"/>
        <w:bidi w:val="0"/>
        <w:spacing w:before="0" w:after="0" w:line="466" w:lineRule="exact"/>
        <w:ind w:left="0" w:right="0" w:firstLine="520"/>
        <w:jc w:val="left"/>
      </w:pPr>
      <w:r>
        <w:rPr>
          <w:color w:val="000000"/>
          <w:spacing w:val="0"/>
          <w:w w:val="100"/>
          <w:position w:val="0"/>
        </w:rPr>
        <w:t>研究阶段：为研发项目而进行的前期市场调研和项目可行性论证的阶段，公司以《研发项目 立项书》上项目立项申请审核通过时间作为研发项目进入研究阶段的标准。</w:t>
      </w:r>
    </w:p>
    <w:p>
      <w:pPr>
        <w:pStyle w:val="Style44"/>
        <w:keepNext w:val="0"/>
        <w:keepLines w:val="0"/>
        <w:widowControl w:val="0"/>
        <w:shd w:val="clear" w:color="auto" w:fill="auto"/>
        <w:bidi w:val="0"/>
        <w:spacing w:before="0" w:after="0" w:line="470" w:lineRule="exact"/>
        <w:ind w:left="0" w:right="0" w:firstLine="520"/>
        <w:jc w:val="left"/>
      </w:pPr>
      <w:r>
        <w:rPr>
          <w:color w:val="000000"/>
          <w:spacing w:val="0"/>
          <w:w w:val="100"/>
          <w:position w:val="0"/>
        </w:rPr>
        <w:t>开发阶段：研发项目投片后即进入开发阶段，开发阶段以《投片评审报告》上的审批时间作 为进入开发阶段的标准。</w:t>
      </w:r>
    </w:p>
    <w:p>
      <w:pPr>
        <w:pStyle w:val="Style44"/>
        <w:keepNext w:val="0"/>
        <w:keepLines w:val="0"/>
        <w:widowControl w:val="0"/>
        <w:shd w:val="clear" w:color="auto" w:fill="auto"/>
        <w:bidi w:val="0"/>
        <w:spacing w:before="0" w:after="0" w:line="470" w:lineRule="exact"/>
        <w:ind w:left="0" w:right="0" w:firstLine="520"/>
        <w:jc w:val="left"/>
      </w:pPr>
      <w:r>
        <w:rPr>
          <w:color w:val="000000"/>
          <w:spacing w:val="0"/>
          <w:w w:val="100"/>
          <w:position w:val="0"/>
        </w:rPr>
        <w:t>内部研究开发项目研究阶段的支出，在发生时计入当期损益。</w:t>
      </w:r>
    </w:p>
    <w:p>
      <w:pPr>
        <w:pStyle w:val="Style44"/>
        <w:keepNext w:val="0"/>
        <w:keepLines w:val="0"/>
        <w:widowControl w:val="0"/>
        <w:shd w:val="clear" w:color="auto" w:fill="auto"/>
        <w:tabs>
          <w:tab w:pos="1032" w:val="left"/>
        </w:tabs>
        <w:bidi w:val="0"/>
        <w:spacing w:before="0" w:after="0" w:line="470" w:lineRule="exact"/>
        <w:ind w:left="0" w:right="0" w:firstLine="520"/>
        <w:jc w:val="left"/>
      </w:pPr>
      <w:bookmarkStart w:id="863" w:name="bookmark863"/>
      <w:r>
        <w:rPr>
          <w:color w:val="000000"/>
          <w:spacing w:val="0"/>
          <w:w w:val="100"/>
          <w:position w:val="0"/>
        </w:rPr>
        <w:t>（</w:t>
      </w:r>
      <w:bookmarkEnd w:id="863"/>
      <w:r>
        <w:rPr>
          <w:rFonts w:ascii="Times New Roman" w:eastAsia="Times New Roman" w:hAnsi="Times New Roman" w:cs="Times New Roman"/>
          <w:color w:val="000000"/>
          <w:spacing w:val="0"/>
          <w:w w:val="100"/>
          <w:position w:val="0"/>
        </w:rPr>
        <w:t>2</w:t>
      </w:r>
      <w:r>
        <w:rPr>
          <w:color w:val="000000"/>
          <w:spacing w:val="0"/>
          <w:w w:val="100"/>
          <w:position w:val="0"/>
        </w:rPr>
        <w:t>）</w:t>
        <w:tab/>
        <w:t>开发阶段支出符合资本化的具体标准</w:t>
      </w:r>
    </w:p>
    <w:p>
      <w:pPr>
        <w:pStyle w:val="Style44"/>
        <w:keepNext w:val="0"/>
        <w:keepLines w:val="0"/>
        <w:widowControl w:val="0"/>
        <w:shd w:val="clear" w:color="auto" w:fill="auto"/>
        <w:bidi w:val="0"/>
        <w:spacing w:before="0" w:after="0" w:line="470" w:lineRule="exact"/>
        <w:ind w:left="0" w:right="0" w:firstLine="520"/>
        <w:jc w:val="left"/>
      </w:pPr>
      <w:r>
        <w:rPr>
          <w:color w:val="000000"/>
          <w:spacing w:val="0"/>
          <w:w w:val="100"/>
          <w:position w:val="0"/>
        </w:rPr>
        <w:t>内部研究开发项目开发阶段的支出，同时满足下列条件时确认为无形资产：</w:t>
      </w:r>
    </w:p>
    <w:p>
      <w:pPr>
        <w:pStyle w:val="Style44"/>
        <w:keepNext w:val="0"/>
        <w:keepLines w:val="0"/>
        <w:widowControl w:val="0"/>
        <w:numPr>
          <w:ilvl w:val="0"/>
          <w:numId w:val="35"/>
        </w:numPr>
        <w:shd w:val="clear" w:color="auto" w:fill="auto"/>
        <w:tabs>
          <w:tab w:pos="931" w:val="left"/>
        </w:tabs>
        <w:bidi w:val="0"/>
        <w:spacing w:before="0" w:after="0" w:line="470" w:lineRule="exact"/>
        <w:ind w:left="0" w:right="0" w:firstLine="520"/>
        <w:jc w:val="left"/>
      </w:pPr>
      <w:bookmarkStart w:id="864" w:name="bookmark864"/>
      <w:bookmarkEnd w:id="864"/>
      <w:r>
        <w:rPr>
          <w:color w:val="000000"/>
          <w:spacing w:val="0"/>
          <w:w w:val="100"/>
          <w:position w:val="0"/>
        </w:rPr>
        <w:t>完成该无形资产以使其能够使用或出售在技术上具有可行性；</w:t>
      </w:r>
    </w:p>
    <w:p>
      <w:pPr>
        <w:pStyle w:val="Style44"/>
        <w:keepNext w:val="0"/>
        <w:keepLines w:val="0"/>
        <w:widowControl w:val="0"/>
        <w:numPr>
          <w:ilvl w:val="0"/>
          <w:numId w:val="35"/>
        </w:numPr>
        <w:shd w:val="clear" w:color="auto" w:fill="auto"/>
        <w:tabs>
          <w:tab w:pos="931" w:val="left"/>
        </w:tabs>
        <w:bidi w:val="0"/>
        <w:spacing w:before="0" w:after="0" w:line="470" w:lineRule="exact"/>
        <w:ind w:left="0" w:right="0" w:firstLine="520"/>
        <w:jc w:val="left"/>
      </w:pPr>
      <w:bookmarkStart w:id="865" w:name="bookmark865"/>
      <w:bookmarkEnd w:id="865"/>
      <w:r>
        <w:rPr>
          <w:color w:val="000000"/>
          <w:spacing w:val="0"/>
          <w:w w:val="100"/>
          <w:position w:val="0"/>
        </w:rPr>
        <w:t>具有完成该无形资产并使用或出售的意图；</w:t>
      </w:r>
    </w:p>
    <w:p>
      <w:pPr>
        <w:pStyle w:val="Style44"/>
        <w:keepNext w:val="0"/>
        <w:keepLines w:val="0"/>
        <w:widowControl w:val="0"/>
        <w:numPr>
          <w:ilvl w:val="0"/>
          <w:numId w:val="35"/>
        </w:numPr>
        <w:shd w:val="clear" w:color="auto" w:fill="auto"/>
        <w:tabs>
          <w:tab w:pos="862" w:val="left"/>
        </w:tabs>
        <w:bidi w:val="0"/>
        <w:spacing w:before="0" w:after="0" w:line="461" w:lineRule="exact"/>
        <w:ind w:left="0" w:right="0" w:firstLine="520"/>
        <w:jc w:val="left"/>
      </w:pPr>
      <w:bookmarkStart w:id="866" w:name="bookmark866"/>
      <w:bookmarkEnd w:id="866"/>
      <w:r>
        <w:rPr>
          <w:color w:val="000000"/>
          <w:spacing w:val="0"/>
          <w:w w:val="100"/>
          <w:position w:val="0"/>
        </w:rPr>
        <w:t>无形资产产生经济利益的方式，包括能够证明运用该无形资产生产的产品存在市场或无形 资产自身存在市场，无形资产将在内部使用的，能够证明其有用性；</w:t>
      </w:r>
    </w:p>
    <w:p>
      <w:pPr>
        <w:pStyle w:val="Style44"/>
        <w:keepNext w:val="0"/>
        <w:keepLines w:val="0"/>
        <w:widowControl w:val="0"/>
        <w:numPr>
          <w:ilvl w:val="0"/>
          <w:numId w:val="35"/>
        </w:numPr>
        <w:shd w:val="clear" w:color="auto" w:fill="auto"/>
        <w:tabs>
          <w:tab w:pos="814" w:val="left"/>
        </w:tabs>
        <w:bidi w:val="0"/>
        <w:spacing w:before="0" w:after="0" w:line="475" w:lineRule="exact"/>
        <w:ind w:left="0" w:right="0" w:firstLine="520"/>
        <w:jc w:val="both"/>
      </w:pPr>
      <w:bookmarkStart w:id="867" w:name="bookmark867"/>
      <w:bookmarkEnd w:id="867"/>
      <w:r>
        <w:rPr>
          <w:color w:val="000000"/>
          <w:spacing w:val="0"/>
          <w:w w:val="100"/>
          <w:position w:val="0"/>
        </w:rPr>
        <w:t>有足够的技术、财务资源和其他资源支持，以完成该无形资产的开发，并有能力使用或出 售该无形资产；</w:t>
      </w:r>
    </w:p>
    <w:p>
      <w:pPr>
        <w:pStyle w:val="Style44"/>
        <w:keepNext w:val="0"/>
        <w:keepLines w:val="0"/>
        <w:widowControl w:val="0"/>
        <w:numPr>
          <w:ilvl w:val="0"/>
          <w:numId w:val="35"/>
        </w:numPr>
        <w:shd w:val="clear" w:color="auto" w:fill="auto"/>
        <w:tabs>
          <w:tab w:pos="873" w:val="left"/>
        </w:tabs>
        <w:bidi w:val="0"/>
        <w:spacing w:before="0" w:after="0" w:line="467" w:lineRule="exact"/>
        <w:ind w:left="0" w:right="0" w:firstLine="520"/>
        <w:jc w:val="left"/>
      </w:pPr>
      <w:bookmarkStart w:id="868" w:name="bookmark868"/>
      <w:bookmarkEnd w:id="868"/>
      <w:r>
        <w:rPr>
          <w:color w:val="000000"/>
          <w:spacing w:val="0"/>
          <w:w w:val="100"/>
          <w:position w:val="0"/>
        </w:rPr>
        <w:t>归属于该无形资产开发阶段的支出能够可靠地计量。</w:t>
      </w:r>
    </w:p>
    <w:p>
      <w:pPr>
        <w:pStyle w:val="Style44"/>
        <w:keepNext w:val="0"/>
        <w:keepLines w:val="0"/>
        <w:widowControl w:val="0"/>
        <w:shd w:val="clear" w:color="auto" w:fill="auto"/>
        <w:bidi w:val="0"/>
        <w:spacing w:before="0" w:after="0" w:line="475" w:lineRule="exact"/>
        <w:ind w:left="0" w:right="0" w:firstLine="520"/>
        <w:jc w:val="both"/>
      </w:pPr>
      <w:r>
        <w:rPr>
          <w:color w:val="000000"/>
          <w:spacing w:val="0"/>
          <w:w w:val="100"/>
          <w:position w:val="0"/>
        </w:rPr>
        <w:t>具体到研发项目上，公司以研发项目达到量产，《项目总结报告》审批时间作为开发阶段支 出转入无形资产的条件和时点。</w:t>
      </w:r>
    </w:p>
    <w:p>
      <w:pPr>
        <w:pStyle w:val="Style44"/>
        <w:keepNext w:val="0"/>
        <w:keepLines w:val="0"/>
        <w:widowControl w:val="0"/>
        <w:shd w:val="clear" w:color="auto" w:fill="auto"/>
        <w:bidi w:val="0"/>
        <w:spacing w:before="0" w:after="220" w:line="468" w:lineRule="exact"/>
        <w:ind w:left="0" w:right="0" w:firstLine="520"/>
        <w:jc w:val="both"/>
      </w:pPr>
      <w:r>
        <w:rPr>
          <w:color w:val="000000"/>
          <w:spacing w:val="0"/>
          <w:w w:val="100"/>
          <w:position w:val="0"/>
        </w:rPr>
        <w:t>不满足上述条件的开发阶段的支出，于发生时计入当期损益。以前期间已计入损益的开发支 出不在以后期间重新确认为资产。己资本化的开发阶段的支出在资产负债表上列示为开发支出， 自该项目达到预定用途之日起转为无形资产。</w:t>
      </w:r>
    </w:p>
    <w:p>
      <w:pPr>
        <w:pStyle w:val="Style52"/>
        <w:keepNext/>
        <w:keepLines/>
        <w:widowControl w:val="0"/>
        <w:shd w:val="clear" w:color="auto" w:fill="auto"/>
        <w:tabs>
          <w:tab w:pos="490" w:val="left"/>
        </w:tabs>
        <w:bidi w:val="0"/>
        <w:spacing w:before="0" w:after="220" w:line="467" w:lineRule="exact"/>
        <w:ind w:left="0" w:right="0" w:firstLine="0"/>
        <w:jc w:val="left"/>
        <w:rPr>
          <w:sz w:val="24"/>
          <w:szCs w:val="24"/>
        </w:rPr>
      </w:pPr>
      <w:bookmarkStart w:id="869" w:name="bookmark869"/>
      <w:bookmarkStart w:id="870" w:name="bookmark870"/>
      <w:bookmarkStart w:id="871" w:name="bookmark871"/>
      <w:bookmarkStart w:id="872" w:name="bookmark872"/>
      <w:r>
        <w:rPr>
          <w:rFonts w:ascii="Times New Roman" w:eastAsia="Times New Roman" w:hAnsi="Times New Roman" w:cs="Times New Roman"/>
          <w:b w:val="0"/>
          <w:bCs w:val="0"/>
          <w:color w:val="000000"/>
          <w:spacing w:val="0"/>
          <w:w w:val="100"/>
          <w:position w:val="0"/>
          <w:sz w:val="24"/>
          <w:szCs w:val="24"/>
        </w:rPr>
        <w:t>2</w:t>
      </w:r>
      <w:bookmarkEnd w:id="871"/>
      <w:r>
        <w:rPr>
          <w:rFonts w:ascii="Times New Roman" w:eastAsia="Times New Roman" w:hAnsi="Times New Roman" w:cs="Times New Roman"/>
          <w:b w:val="0"/>
          <w:bCs w:val="0"/>
          <w:color w:val="000000"/>
          <w:spacing w:val="0"/>
          <w:w w:val="100"/>
          <w:position w:val="0"/>
          <w:sz w:val="24"/>
          <w:szCs w:val="24"/>
        </w:rPr>
        <w:t>0</w:t>
      </w:r>
      <w:r>
        <w:rPr>
          <w:b w:val="0"/>
          <w:bCs w:val="0"/>
          <w:color w:val="000000"/>
          <w:spacing w:val="0"/>
          <w:w w:val="100"/>
          <w:position w:val="0"/>
          <w:sz w:val="24"/>
          <w:szCs w:val="24"/>
        </w:rPr>
        <w:t>、</w:t>
        <w:tab/>
        <w:t>长期待摊费用摊销方法</w:t>
      </w:r>
      <w:bookmarkEnd w:id="869"/>
      <w:bookmarkEnd w:id="870"/>
      <w:bookmarkEnd w:id="872"/>
    </w:p>
    <w:p>
      <w:pPr>
        <w:pStyle w:val="Style44"/>
        <w:keepNext w:val="0"/>
        <w:keepLines w:val="0"/>
        <w:widowControl w:val="0"/>
        <w:shd w:val="clear" w:color="auto" w:fill="auto"/>
        <w:bidi w:val="0"/>
        <w:spacing w:before="0" w:after="220" w:line="466" w:lineRule="exact"/>
        <w:ind w:left="0" w:right="0" w:firstLine="520"/>
        <w:jc w:val="both"/>
      </w:pPr>
      <w:r>
        <w:rPr>
          <w:color w:val="000000"/>
          <w:spacing w:val="0"/>
          <w:w w:val="100"/>
          <w:position w:val="0"/>
        </w:rPr>
        <w:t>本公司发生的长期待摊费用按实际成本计价，并按预计受益期限平均摊销。对不能使以后会 计期间受益的长期待摊费用项目，其摊余价值全部计入当期损益。</w:t>
      </w:r>
    </w:p>
    <w:p>
      <w:pPr>
        <w:pStyle w:val="Style52"/>
        <w:keepNext/>
        <w:keepLines/>
        <w:widowControl w:val="0"/>
        <w:shd w:val="clear" w:color="auto" w:fill="auto"/>
        <w:tabs>
          <w:tab w:pos="490" w:val="left"/>
        </w:tabs>
        <w:bidi w:val="0"/>
        <w:spacing w:before="0" w:after="220" w:line="467" w:lineRule="exact"/>
        <w:ind w:left="0" w:right="0" w:firstLine="0"/>
        <w:jc w:val="left"/>
        <w:rPr>
          <w:sz w:val="24"/>
          <w:szCs w:val="24"/>
        </w:rPr>
      </w:pPr>
      <w:bookmarkStart w:id="873" w:name="bookmark873"/>
      <w:bookmarkStart w:id="874" w:name="bookmark874"/>
      <w:bookmarkStart w:id="875" w:name="bookmark875"/>
      <w:bookmarkStart w:id="876" w:name="bookmark876"/>
      <w:r>
        <w:rPr>
          <w:rFonts w:ascii="Times New Roman" w:eastAsia="Times New Roman" w:hAnsi="Times New Roman" w:cs="Times New Roman"/>
          <w:b w:val="0"/>
          <w:bCs w:val="0"/>
          <w:color w:val="000000"/>
          <w:spacing w:val="0"/>
          <w:w w:val="100"/>
          <w:position w:val="0"/>
          <w:sz w:val="24"/>
          <w:szCs w:val="24"/>
        </w:rPr>
        <w:t>2</w:t>
      </w:r>
      <w:bookmarkEnd w:id="875"/>
      <w:r>
        <w:rPr>
          <w:rFonts w:ascii="Times New Roman" w:eastAsia="Times New Roman" w:hAnsi="Times New Roman" w:cs="Times New Roman"/>
          <w:b w:val="0"/>
          <w:bCs w:val="0"/>
          <w:color w:val="000000"/>
          <w:spacing w:val="0"/>
          <w:w w:val="100"/>
          <w:position w:val="0"/>
          <w:sz w:val="24"/>
          <w:szCs w:val="24"/>
        </w:rPr>
        <w:t>1</w:t>
      </w:r>
      <w:r>
        <w:rPr>
          <w:b w:val="0"/>
          <w:bCs w:val="0"/>
          <w:color w:val="000000"/>
          <w:spacing w:val="0"/>
          <w:w w:val="100"/>
          <w:position w:val="0"/>
          <w:sz w:val="24"/>
          <w:szCs w:val="24"/>
        </w:rPr>
        <w:t>、</w:t>
        <w:tab/>
        <w:t>长期资产减值</w:t>
      </w:r>
      <w:bookmarkEnd w:id="873"/>
      <w:bookmarkEnd w:id="874"/>
      <w:bookmarkEnd w:id="876"/>
    </w:p>
    <w:p>
      <w:pPr>
        <w:pStyle w:val="Style44"/>
        <w:keepNext w:val="0"/>
        <w:keepLines w:val="0"/>
        <w:widowControl w:val="0"/>
        <w:shd w:val="clear" w:color="auto" w:fill="auto"/>
        <w:bidi w:val="0"/>
        <w:spacing w:before="0" w:after="0" w:line="467" w:lineRule="exact"/>
        <w:ind w:left="0" w:right="0" w:firstLine="520"/>
        <w:jc w:val="both"/>
      </w:pPr>
      <w:r>
        <w:rPr>
          <w:color w:val="000000"/>
          <w:spacing w:val="0"/>
          <w:w w:val="100"/>
          <w:position w:val="0"/>
        </w:rPr>
        <w:t>对于固定资产、在建工程、使用寿命有限的无形资产、以成本模式计量的投资性房地产及对 子公司、合营企业、联营企业的长期股权投资等非流动非金融资产，本公司于资产负债表日判断 是否存在减值迹象。如存在减值迹象的，则估计其可收回金额，进行减值测试。商誉、使用寿命 不确定的无形资产和尚未达到可使用状态的无形资产，无论是否存在减值迹象，每年均进行减值 测试。</w:t>
      </w:r>
    </w:p>
    <w:p>
      <w:pPr>
        <w:pStyle w:val="Style44"/>
        <w:keepNext w:val="0"/>
        <w:keepLines w:val="0"/>
        <w:widowControl w:val="0"/>
        <w:shd w:val="clear" w:color="auto" w:fill="auto"/>
        <w:bidi w:val="0"/>
        <w:spacing w:before="0" w:after="120" w:line="467" w:lineRule="exact"/>
        <w:ind w:left="0" w:right="0" w:firstLine="520"/>
        <w:jc w:val="both"/>
      </w:pPr>
      <w:r>
        <w:rPr>
          <w:color w:val="000000"/>
          <w:spacing w:val="0"/>
          <w:w w:val="100"/>
          <w:position w:val="0"/>
        </w:rPr>
        <w:t>减值测试结果表明资产的可收回金额低于其账面价值的，按其差额计提减值准备并计入减值 损失。可收回金额为资产的公允价值减去处置费用后的净额与资产预计未来现金流量的现值两者 之间的较高者。资产的公允价值根据公平交易中销售协议价格确定；不存在销售协议但存在资产 活跃市场的，公允价值按照该资产的买方出价确定；不存在销售协议和资产活跃市场的，则以可 获取的最佳信息为基础估计资产的公允价值。处置费用包括与资产处置有关的法律费用、相关税 费、搬运费以及为使资产达到可销售状态所发生的直接费用。资产预计未来现金流量的现值，按 照资产在持续使用过程中和最终处置时所产生的预计未来现金流量，选择恰当的折现率对其进行 折现后的金额加以确定。资产减值准备按单项资产为基础计算并确认，如果难以对单项资产的可 收回金额进行估计的，以该资产所属的资产组确定资产组的可收回金额。资产组是能够独立产生 现金流入的最小资产组合。</w:t>
      </w:r>
    </w:p>
    <w:p>
      <w:pPr>
        <w:pStyle w:val="Style44"/>
        <w:keepNext w:val="0"/>
        <w:keepLines w:val="0"/>
        <w:widowControl w:val="0"/>
        <w:shd w:val="clear" w:color="auto" w:fill="auto"/>
        <w:bidi w:val="0"/>
        <w:spacing w:before="0" w:after="40" w:line="469" w:lineRule="exact"/>
        <w:ind w:left="0" w:right="0" w:firstLine="520"/>
        <w:jc w:val="both"/>
      </w:pPr>
      <w:r>
        <w:rPr>
          <w:color w:val="000000"/>
          <w:spacing w:val="0"/>
          <w:w w:val="100"/>
          <w:position w:val="0"/>
        </w:rPr>
        <w:t>在财务报表中单独列示的商誉，在进行减值测试时，将商誉的账面价值分摊至预期从企业合 并的协同效应中受益的资产组或资产组组合。测试结果表明包含分摊的商誉的资产组或资产组组 合的可收回金额低于其账面价值的，确认相应的减值损失。减值损失金额先抵减分摊至该资产组 或资产组组合的商誉的账面价值，再根据资产组或资产组组合中除商誉以外的其他各项资产的账 面价值所占比重，按比例抵减其他各项资产的账面价值。</w:t>
      </w:r>
    </w:p>
    <w:p>
      <w:pPr>
        <w:pStyle w:val="Style44"/>
        <w:keepNext w:val="0"/>
        <w:keepLines w:val="0"/>
        <w:widowControl w:val="0"/>
        <w:shd w:val="clear" w:color="auto" w:fill="auto"/>
        <w:bidi w:val="0"/>
        <w:spacing w:before="0" w:after="200" w:line="469" w:lineRule="exact"/>
        <w:ind w:left="0" w:right="0" w:firstLine="520"/>
        <w:jc w:val="left"/>
      </w:pPr>
      <w:r>
        <w:rPr>
          <w:color w:val="000000"/>
          <w:spacing w:val="0"/>
          <w:w w:val="100"/>
          <w:position w:val="0"/>
        </w:rPr>
        <w:t>上述资产减值损失一经确认，以后期间不予转回价值得以恢复的部分。</w:t>
      </w:r>
    </w:p>
    <w:p>
      <w:pPr>
        <w:pStyle w:val="Style52"/>
        <w:keepNext/>
        <w:keepLines/>
        <w:widowControl w:val="0"/>
        <w:shd w:val="clear" w:color="auto" w:fill="auto"/>
        <w:tabs>
          <w:tab w:pos="493" w:val="left"/>
        </w:tabs>
        <w:bidi w:val="0"/>
        <w:spacing w:before="0" w:after="200" w:line="469" w:lineRule="exact"/>
        <w:ind w:left="0" w:right="0" w:firstLine="0"/>
        <w:jc w:val="left"/>
        <w:rPr>
          <w:sz w:val="24"/>
          <w:szCs w:val="24"/>
        </w:rPr>
      </w:pPr>
      <w:bookmarkStart w:id="877" w:name="bookmark877"/>
      <w:bookmarkStart w:id="878" w:name="bookmark878"/>
      <w:bookmarkStart w:id="879" w:name="bookmark879"/>
      <w:bookmarkStart w:id="880" w:name="bookmark880"/>
      <w:r>
        <w:rPr>
          <w:rFonts w:ascii="Times New Roman" w:eastAsia="Times New Roman" w:hAnsi="Times New Roman" w:cs="Times New Roman"/>
          <w:b w:val="0"/>
          <w:bCs w:val="0"/>
          <w:color w:val="000000"/>
          <w:spacing w:val="0"/>
          <w:w w:val="100"/>
          <w:position w:val="0"/>
          <w:sz w:val="24"/>
          <w:szCs w:val="24"/>
        </w:rPr>
        <w:t>2</w:t>
      </w:r>
      <w:bookmarkEnd w:id="879"/>
      <w:r>
        <w:rPr>
          <w:rFonts w:ascii="Times New Roman" w:eastAsia="Times New Roman" w:hAnsi="Times New Roman" w:cs="Times New Roman"/>
          <w:b w:val="0"/>
          <w:bCs w:val="0"/>
          <w:color w:val="000000"/>
          <w:spacing w:val="0"/>
          <w:w w:val="100"/>
          <w:position w:val="0"/>
          <w:sz w:val="24"/>
          <w:szCs w:val="24"/>
        </w:rPr>
        <w:t>2</w:t>
      </w:r>
      <w:r>
        <w:rPr>
          <w:b w:val="0"/>
          <w:bCs w:val="0"/>
          <w:color w:val="000000"/>
          <w:spacing w:val="0"/>
          <w:w w:val="100"/>
          <w:position w:val="0"/>
          <w:sz w:val="24"/>
          <w:szCs w:val="24"/>
        </w:rPr>
        <w:t>、</w:t>
        <w:tab/>
        <w:t>职工薪酬</w:t>
      </w:r>
      <w:bookmarkEnd w:id="877"/>
      <w:bookmarkEnd w:id="878"/>
      <w:bookmarkEnd w:id="880"/>
    </w:p>
    <w:p>
      <w:pPr>
        <w:pStyle w:val="Style44"/>
        <w:keepNext w:val="0"/>
        <w:keepLines w:val="0"/>
        <w:widowControl w:val="0"/>
        <w:shd w:val="clear" w:color="auto" w:fill="auto"/>
        <w:bidi w:val="0"/>
        <w:spacing w:before="0" w:after="40" w:line="475" w:lineRule="exact"/>
        <w:ind w:left="0" w:right="0" w:firstLine="520"/>
        <w:jc w:val="both"/>
      </w:pPr>
      <w:r>
        <w:rPr>
          <w:color w:val="000000"/>
          <w:spacing w:val="0"/>
          <w:w w:val="100"/>
          <w:position w:val="0"/>
        </w:rPr>
        <w:t>本公司职工薪酬主要包括短期职工薪酬、离职后福利、辞退福利以及其他长期职工福利。其 中：</w:t>
      </w:r>
    </w:p>
    <w:p>
      <w:pPr>
        <w:pStyle w:val="Style44"/>
        <w:keepNext w:val="0"/>
        <w:keepLines w:val="0"/>
        <w:widowControl w:val="0"/>
        <w:shd w:val="clear" w:color="auto" w:fill="auto"/>
        <w:bidi w:val="0"/>
        <w:spacing w:before="0" w:after="40" w:line="469" w:lineRule="exact"/>
        <w:ind w:left="0" w:right="0" w:firstLine="520"/>
        <w:jc w:val="both"/>
      </w:pPr>
      <w:r>
        <w:rPr>
          <w:color w:val="000000"/>
          <w:spacing w:val="0"/>
          <w:w w:val="100"/>
          <w:position w:val="0"/>
        </w:rPr>
        <w:t>短期薪酬主要包括工资、奖金、津贴和补贴、职工福利费、医疗保险费、生育保险费、工伤 保险费、住房公积金、工会经费和职工教育经费、非货币性福利等。本公司在职工为本公司提供 服务的会计期间将实际发生的短期职工薪酬确认为负债，并计入当期损益或相关资产成本。其中 非货币性福利按公允价值计量。</w:t>
      </w:r>
    </w:p>
    <w:p>
      <w:pPr>
        <w:pStyle w:val="Style44"/>
        <w:keepNext w:val="0"/>
        <w:keepLines w:val="0"/>
        <w:widowControl w:val="0"/>
        <w:shd w:val="clear" w:color="auto" w:fill="auto"/>
        <w:bidi w:val="0"/>
        <w:spacing w:before="0" w:after="40" w:line="461" w:lineRule="exact"/>
        <w:ind w:left="0" w:right="0" w:firstLine="520"/>
        <w:jc w:val="both"/>
      </w:pPr>
      <w:r>
        <w:rPr>
          <w:color w:val="000000"/>
          <w:spacing w:val="0"/>
          <w:w w:val="100"/>
          <w:position w:val="0"/>
        </w:rPr>
        <w:t>离职后福利主要包括设定提存计划。其中设定提存计划主要包括基本养老保险、失业保险等， 相应的应缴存金额于发生时计入相关资产成本或当期损益。</w:t>
      </w:r>
    </w:p>
    <w:p>
      <w:pPr>
        <w:pStyle w:val="Style44"/>
        <w:keepNext w:val="0"/>
        <w:keepLines w:val="0"/>
        <w:widowControl w:val="0"/>
        <w:shd w:val="clear" w:color="auto" w:fill="auto"/>
        <w:bidi w:val="0"/>
        <w:spacing w:before="0" w:after="40" w:line="467" w:lineRule="exact"/>
        <w:ind w:left="0" w:right="0" w:firstLine="520"/>
        <w:jc w:val="both"/>
      </w:pPr>
      <w:r>
        <w:rPr>
          <w:color w:val="000000"/>
          <w:spacing w:val="0"/>
          <w:w w:val="100"/>
          <w:position w:val="0"/>
        </w:rPr>
        <w:t>在职工劳动合同到期之前解除与职工的劳动关系，或为鼓励职工自愿接受裁减而提出给予补 偿的建议，在本公司不能单方面撤回因解除劳动关系计划或裁减建议所提供的辞退福利时，和本 公司确认与涉及支付辞退福利的重组相关的成本两者孰早日，确认辞退福利产生的职工薪酬负债, 并计入当期损益。但辞退福利预期在年度报告期结束后十二个月不能完全支付的，按照其他长期 职工薪酬处理。</w:t>
      </w:r>
    </w:p>
    <w:p>
      <w:pPr>
        <w:pStyle w:val="Style44"/>
        <w:keepNext w:val="0"/>
        <w:keepLines w:val="0"/>
        <w:widowControl w:val="0"/>
        <w:shd w:val="clear" w:color="auto" w:fill="auto"/>
        <w:bidi w:val="0"/>
        <w:spacing w:before="0" w:after="40" w:line="470" w:lineRule="exact"/>
        <w:ind w:left="0" w:right="0" w:firstLine="520"/>
        <w:jc w:val="both"/>
      </w:pPr>
      <w:r>
        <w:rPr>
          <w:color w:val="000000"/>
          <w:spacing w:val="0"/>
          <w:w w:val="100"/>
          <w:position w:val="0"/>
        </w:rPr>
        <w:t>职工内部退休计划采用上述辞退福利相同的原则处理。本公司将自职工停止提供服务日至正 常退休日的期间拟支付的内退人员工资和缴纳的社会保险费等，在符合预计负债确认条件时，计 入当期损益（辞退福利）。</w:t>
      </w:r>
    </w:p>
    <w:p>
      <w:pPr>
        <w:pStyle w:val="Style44"/>
        <w:keepNext w:val="0"/>
        <w:keepLines w:val="0"/>
        <w:widowControl w:val="0"/>
        <w:shd w:val="clear" w:color="auto" w:fill="auto"/>
        <w:bidi w:val="0"/>
        <w:spacing w:before="0" w:after="200" w:line="470" w:lineRule="exact"/>
        <w:ind w:left="0" w:right="0" w:firstLine="520"/>
        <w:jc w:val="both"/>
      </w:pPr>
      <w:r>
        <w:rPr>
          <w:color w:val="000000"/>
          <w:spacing w:val="0"/>
          <w:w w:val="100"/>
          <w:position w:val="0"/>
        </w:rPr>
        <w:t>本公司向职工提供的其他长期职工福利，符合设定提存计划的，按照设定提存计划进行会计 处理，除此之外按照设定受益计划进行会计处理。</w:t>
      </w:r>
    </w:p>
    <w:p>
      <w:pPr>
        <w:pStyle w:val="Style52"/>
        <w:keepNext/>
        <w:keepLines/>
        <w:widowControl w:val="0"/>
        <w:shd w:val="clear" w:color="auto" w:fill="auto"/>
        <w:tabs>
          <w:tab w:pos="493" w:val="left"/>
        </w:tabs>
        <w:bidi w:val="0"/>
        <w:spacing w:before="0" w:after="200" w:line="469" w:lineRule="exact"/>
        <w:ind w:left="0" w:right="0" w:firstLine="0"/>
        <w:jc w:val="left"/>
        <w:rPr>
          <w:sz w:val="24"/>
          <w:szCs w:val="24"/>
        </w:rPr>
      </w:pPr>
      <w:bookmarkStart w:id="881" w:name="bookmark881"/>
      <w:bookmarkStart w:id="882" w:name="bookmark882"/>
      <w:bookmarkStart w:id="883" w:name="bookmark883"/>
      <w:bookmarkStart w:id="884" w:name="bookmark884"/>
      <w:r>
        <w:rPr>
          <w:rFonts w:ascii="Times New Roman" w:eastAsia="Times New Roman" w:hAnsi="Times New Roman" w:cs="Times New Roman"/>
          <w:b w:val="0"/>
          <w:bCs w:val="0"/>
          <w:color w:val="000000"/>
          <w:spacing w:val="0"/>
          <w:w w:val="100"/>
          <w:position w:val="0"/>
          <w:sz w:val="24"/>
          <w:szCs w:val="24"/>
        </w:rPr>
        <w:t>2</w:t>
      </w:r>
      <w:bookmarkEnd w:id="883"/>
      <w:r>
        <w:rPr>
          <w:rFonts w:ascii="Times New Roman" w:eastAsia="Times New Roman" w:hAnsi="Times New Roman" w:cs="Times New Roman"/>
          <w:b w:val="0"/>
          <w:bCs w:val="0"/>
          <w:color w:val="000000"/>
          <w:spacing w:val="0"/>
          <w:w w:val="100"/>
          <w:position w:val="0"/>
          <w:sz w:val="24"/>
          <w:szCs w:val="24"/>
        </w:rPr>
        <w:t>3</w:t>
      </w:r>
      <w:r>
        <w:rPr>
          <w:b w:val="0"/>
          <w:bCs w:val="0"/>
          <w:color w:val="000000"/>
          <w:spacing w:val="0"/>
          <w:w w:val="100"/>
          <w:position w:val="0"/>
          <w:sz w:val="24"/>
          <w:szCs w:val="24"/>
        </w:rPr>
        <w:t>、</w:t>
        <w:tab/>
        <w:t>收入确认</w:t>
      </w:r>
      <w:bookmarkEnd w:id="881"/>
      <w:bookmarkEnd w:id="882"/>
      <w:bookmarkEnd w:id="884"/>
    </w:p>
    <w:p>
      <w:pPr>
        <w:pStyle w:val="Style44"/>
        <w:keepNext w:val="0"/>
        <w:keepLines w:val="0"/>
        <w:widowControl w:val="0"/>
        <w:shd w:val="clear" w:color="auto" w:fill="auto"/>
        <w:bidi w:val="0"/>
        <w:spacing w:before="0" w:after="40" w:line="469" w:lineRule="exact"/>
        <w:ind w:left="0" w:right="0" w:firstLine="520"/>
        <w:jc w:val="both"/>
      </w:pPr>
      <w:r>
        <w:rPr>
          <w:color w:val="000000"/>
          <w:spacing w:val="0"/>
          <w:w w:val="100"/>
          <w:position w:val="0"/>
        </w:rPr>
        <w:t xml:space="preserve">收入是本公司在日常活动中形成的、会导致股东权益增加且与股东投入资本无关的经济利益 </w:t>
      </w:r>
      <w:r>
        <w:rPr>
          <w:color w:val="000000"/>
          <w:spacing w:val="0"/>
          <w:w w:val="100"/>
          <w:position w:val="0"/>
        </w:rPr>
        <w:t>的总流入。本公司在履行了合同中的履约义务，即在客户取得相关商品或服务（简称商品）的控 制权时确认收入。</w:t>
      </w:r>
    </w:p>
    <w:p>
      <w:pPr>
        <w:pStyle w:val="Style44"/>
        <w:keepNext w:val="0"/>
        <w:keepLines w:val="0"/>
        <w:widowControl w:val="0"/>
        <w:shd w:val="clear" w:color="auto" w:fill="auto"/>
        <w:bidi w:val="0"/>
        <w:spacing w:before="0" w:after="40" w:line="468" w:lineRule="exact"/>
        <w:ind w:left="0" w:right="0" w:firstLine="520"/>
        <w:jc w:val="both"/>
      </w:pPr>
      <w:r>
        <w:rPr>
          <w:color w:val="000000"/>
          <w:spacing w:val="0"/>
          <w:w w:val="100"/>
          <w:position w:val="0"/>
        </w:rPr>
        <w:t>合同中包含两项或多项履约义务的，本公司在合同开始日，按照各单项履约义务所承诺商品 的单独售价的相对比例，将交易价格分摊至各单项履约义务，按照分摊至各单项履约义务的交易 价格计量收入。</w:t>
      </w:r>
    </w:p>
    <w:p>
      <w:pPr>
        <w:pStyle w:val="Style44"/>
        <w:keepNext w:val="0"/>
        <w:keepLines w:val="0"/>
        <w:widowControl w:val="0"/>
        <w:shd w:val="clear" w:color="auto" w:fill="auto"/>
        <w:bidi w:val="0"/>
        <w:spacing w:before="0" w:after="40" w:line="467" w:lineRule="exact"/>
        <w:ind w:left="0" w:right="0" w:firstLine="520"/>
        <w:jc w:val="both"/>
      </w:pPr>
      <w:r>
        <w:rPr>
          <w:color w:val="000000"/>
          <w:spacing w:val="0"/>
          <w:w w:val="100"/>
          <w:position w:val="0"/>
        </w:rPr>
        <w:t>交易价格是本公司因向客户转让商品而预期有权收取的对价金额，不包括代第三方收取的款 项。本公司确认的交易价格不超过在相关不确定性消除时累计已确认收入极可能不会发生重大转 回的金额。合同中存在重大融资成分的，本公司按照假定客户在取得商品控制权时即以现金支付 的应付金额确定交易价格，该交易价格与合同承诺的对价之间的差额，在合同期间内采用实际利 率法摊销。</w:t>
      </w:r>
    </w:p>
    <w:p>
      <w:pPr>
        <w:pStyle w:val="Style44"/>
        <w:keepNext w:val="0"/>
        <w:keepLines w:val="0"/>
        <w:widowControl w:val="0"/>
        <w:shd w:val="clear" w:color="auto" w:fill="auto"/>
        <w:bidi w:val="0"/>
        <w:spacing w:before="0" w:after="40" w:line="470" w:lineRule="exact"/>
        <w:ind w:left="0" w:right="0" w:firstLine="520"/>
        <w:jc w:val="both"/>
      </w:pPr>
      <w:r>
        <w:rPr>
          <w:color w:val="000000"/>
          <w:spacing w:val="0"/>
          <w:w w:val="100"/>
          <w:position w:val="0"/>
        </w:rPr>
        <w:t>满足下列条件之一时，属于在某一时段内履行履约义务，否则，属于在某一时点履行履约义 务：①客户在本公司履约的同时即取得并消耗本公司履约所带来的经济利益；②客户能够控制本 公司履约过程中在建的商品；③本公司履约过程中所产出的商品具有不可替代用途，且本公司在 整个合同期间内有权就累计至今已完成的履约部分收取款项。</w:t>
      </w:r>
    </w:p>
    <w:p>
      <w:pPr>
        <w:pStyle w:val="Style44"/>
        <w:keepNext w:val="0"/>
        <w:keepLines w:val="0"/>
        <w:widowControl w:val="0"/>
        <w:shd w:val="clear" w:color="auto" w:fill="auto"/>
        <w:bidi w:val="0"/>
        <w:spacing w:before="0" w:after="40" w:line="466" w:lineRule="exact"/>
        <w:ind w:left="0" w:right="0" w:firstLine="520"/>
        <w:jc w:val="both"/>
      </w:pPr>
      <w:r>
        <w:rPr>
          <w:color w:val="000000"/>
          <w:spacing w:val="0"/>
          <w:w w:val="100"/>
          <w:position w:val="0"/>
        </w:rPr>
        <w:t>对于在某一时段内履行的履约义务，本公司在该时段内按照履约进度确认收入。履约进度不 能合理确定时，本公司已经发生的成本预计能够得到补偿的，按照已经发生的成本金额确认收入， 直至履约进度能够合理确定。对于在某一时点履行的履约义务，本公司在客户取得相关商品控制 权时点确认收入。</w:t>
      </w:r>
    </w:p>
    <w:p>
      <w:pPr>
        <w:pStyle w:val="Style44"/>
        <w:keepNext w:val="0"/>
        <w:keepLines w:val="0"/>
        <w:widowControl w:val="0"/>
        <w:shd w:val="clear" w:color="auto" w:fill="auto"/>
        <w:bidi w:val="0"/>
        <w:spacing w:before="0" w:after="40" w:line="467" w:lineRule="exact"/>
        <w:ind w:left="0" w:right="0" w:firstLine="520"/>
        <w:jc w:val="both"/>
      </w:pPr>
      <w:bookmarkStart w:id="885" w:name="bookmark885"/>
      <w:r>
        <w:rPr>
          <w:color w:val="000000"/>
          <w:spacing w:val="0"/>
          <w:w w:val="100"/>
          <w:position w:val="0"/>
        </w:rPr>
        <w:t>（</w:t>
      </w:r>
      <w:bookmarkEnd w:id="885"/>
      <w:r>
        <w:rPr>
          <w:rFonts w:ascii="Times New Roman" w:eastAsia="Times New Roman" w:hAnsi="Times New Roman" w:cs="Times New Roman"/>
          <w:color w:val="000000"/>
          <w:spacing w:val="0"/>
          <w:w w:val="100"/>
          <w:position w:val="0"/>
        </w:rPr>
        <w:t>1</w:t>
      </w:r>
      <w:r>
        <w:rPr>
          <w:color w:val="000000"/>
          <w:spacing w:val="0"/>
          <w:w w:val="100"/>
          <w:position w:val="0"/>
        </w:rPr>
        <w:t>）商品销售收入</w:t>
      </w:r>
    </w:p>
    <w:p>
      <w:pPr>
        <w:pStyle w:val="Style44"/>
        <w:keepNext w:val="0"/>
        <w:keepLines w:val="0"/>
        <w:widowControl w:val="0"/>
        <w:shd w:val="clear" w:color="auto" w:fill="auto"/>
        <w:bidi w:val="0"/>
        <w:spacing w:before="0" w:after="40" w:line="456" w:lineRule="exact"/>
        <w:ind w:left="0" w:right="0" w:firstLine="520"/>
        <w:jc w:val="both"/>
      </w:pPr>
      <w:r>
        <w:rPr>
          <w:color w:val="000000"/>
          <w:spacing w:val="0"/>
          <w:w w:val="100"/>
          <w:position w:val="0"/>
        </w:rPr>
        <w:t>本公司在履行了合同中的履约义务，即在客户取得相关商品控制权时确认收入。在判断客 户是否已取得商品控制权时，公司考虑下列迹象：</w:t>
      </w:r>
    </w:p>
    <w:p>
      <w:pPr>
        <w:pStyle w:val="Style44"/>
        <w:keepNext w:val="0"/>
        <w:keepLines w:val="0"/>
        <w:widowControl w:val="0"/>
        <w:numPr>
          <w:ilvl w:val="0"/>
          <w:numId w:val="37"/>
        </w:numPr>
        <w:shd w:val="clear" w:color="auto" w:fill="auto"/>
        <w:tabs>
          <w:tab w:pos="927" w:val="left"/>
        </w:tabs>
        <w:bidi w:val="0"/>
        <w:spacing w:before="0" w:after="40" w:line="467" w:lineRule="exact"/>
        <w:ind w:left="0" w:right="0" w:firstLine="520"/>
        <w:jc w:val="both"/>
      </w:pPr>
      <w:bookmarkStart w:id="886" w:name="bookmark886"/>
      <w:bookmarkEnd w:id="886"/>
      <w:r>
        <w:rPr>
          <w:color w:val="000000"/>
          <w:spacing w:val="0"/>
          <w:w w:val="100"/>
          <w:position w:val="0"/>
        </w:rPr>
        <w:t>公司就该商品享有现时收款权利，即客户就该商品负有现时付款义务。</w:t>
      </w:r>
    </w:p>
    <w:p>
      <w:pPr>
        <w:pStyle w:val="Style44"/>
        <w:keepNext w:val="0"/>
        <w:keepLines w:val="0"/>
        <w:widowControl w:val="0"/>
        <w:numPr>
          <w:ilvl w:val="0"/>
          <w:numId w:val="37"/>
        </w:numPr>
        <w:shd w:val="clear" w:color="auto" w:fill="auto"/>
        <w:tabs>
          <w:tab w:pos="927" w:val="left"/>
        </w:tabs>
        <w:bidi w:val="0"/>
        <w:spacing w:before="0" w:after="0" w:line="467" w:lineRule="exact"/>
        <w:ind w:left="0" w:right="0" w:firstLine="520"/>
        <w:jc w:val="both"/>
      </w:pPr>
      <w:bookmarkStart w:id="887" w:name="bookmark887"/>
      <w:bookmarkEnd w:id="887"/>
      <w:r>
        <w:rPr>
          <w:color w:val="000000"/>
          <w:spacing w:val="0"/>
          <w:w w:val="100"/>
          <w:position w:val="0"/>
        </w:rPr>
        <w:t>公司已将该商品的法定所有权转移给客户，即客户已拥有该商品的法定所有权。</w:t>
      </w:r>
    </w:p>
    <w:p>
      <w:pPr>
        <w:pStyle w:val="Style44"/>
        <w:keepNext w:val="0"/>
        <w:keepLines w:val="0"/>
        <w:widowControl w:val="0"/>
        <w:numPr>
          <w:ilvl w:val="0"/>
          <w:numId w:val="37"/>
        </w:numPr>
        <w:shd w:val="clear" w:color="auto" w:fill="auto"/>
        <w:tabs>
          <w:tab w:pos="927" w:val="left"/>
        </w:tabs>
        <w:bidi w:val="0"/>
        <w:spacing w:before="0" w:after="40" w:line="467" w:lineRule="exact"/>
        <w:ind w:left="0" w:right="0" w:firstLine="520"/>
        <w:jc w:val="both"/>
      </w:pPr>
      <w:bookmarkStart w:id="888" w:name="bookmark888"/>
      <w:bookmarkEnd w:id="888"/>
      <w:r>
        <w:rPr>
          <w:color w:val="000000"/>
          <w:spacing w:val="0"/>
          <w:w w:val="100"/>
          <w:position w:val="0"/>
        </w:rPr>
        <w:t>公司已将该商品实物转移给客户，即客户已实物占有该商品。</w:t>
      </w:r>
    </w:p>
    <w:p>
      <w:pPr>
        <w:pStyle w:val="Style44"/>
        <w:keepNext w:val="0"/>
        <w:keepLines w:val="0"/>
        <w:widowControl w:val="0"/>
        <w:numPr>
          <w:ilvl w:val="0"/>
          <w:numId w:val="37"/>
        </w:numPr>
        <w:shd w:val="clear" w:color="auto" w:fill="auto"/>
        <w:tabs>
          <w:tab w:pos="863" w:val="left"/>
        </w:tabs>
        <w:bidi w:val="0"/>
        <w:spacing w:before="0" w:after="40" w:line="475" w:lineRule="exact"/>
        <w:ind w:left="0" w:right="0" w:firstLine="520"/>
        <w:jc w:val="both"/>
      </w:pPr>
      <w:bookmarkStart w:id="889" w:name="bookmark889"/>
      <w:bookmarkEnd w:id="889"/>
      <w:r>
        <w:rPr>
          <w:color w:val="000000"/>
          <w:spacing w:val="0"/>
          <w:w w:val="100"/>
          <w:position w:val="0"/>
        </w:rPr>
        <w:t>公司已将该商品所有权上的主要风险和报酬转移给客户，即客户已取得该商品所有权上的 主要风险和报酬。</w:t>
      </w:r>
    </w:p>
    <w:p>
      <w:pPr>
        <w:pStyle w:val="Style44"/>
        <w:keepNext w:val="0"/>
        <w:keepLines w:val="0"/>
        <w:widowControl w:val="0"/>
        <w:numPr>
          <w:ilvl w:val="0"/>
          <w:numId w:val="37"/>
        </w:numPr>
        <w:shd w:val="clear" w:color="auto" w:fill="auto"/>
        <w:tabs>
          <w:tab w:pos="927" w:val="left"/>
        </w:tabs>
        <w:bidi w:val="0"/>
        <w:spacing w:before="0" w:after="40" w:line="467" w:lineRule="exact"/>
        <w:ind w:left="0" w:right="0" w:firstLine="520"/>
        <w:jc w:val="both"/>
      </w:pPr>
      <w:bookmarkStart w:id="890" w:name="bookmark890"/>
      <w:bookmarkEnd w:id="890"/>
      <w:r>
        <w:rPr>
          <w:color w:val="000000"/>
          <w:spacing w:val="0"/>
          <w:w w:val="100"/>
          <w:position w:val="0"/>
        </w:rPr>
        <w:t>客户已接受该商品。</w:t>
      </w:r>
    </w:p>
    <w:p>
      <w:pPr>
        <w:pStyle w:val="Style44"/>
        <w:keepNext w:val="0"/>
        <w:keepLines w:val="0"/>
        <w:widowControl w:val="0"/>
        <w:numPr>
          <w:ilvl w:val="0"/>
          <w:numId w:val="37"/>
        </w:numPr>
        <w:shd w:val="clear" w:color="auto" w:fill="auto"/>
        <w:tabs>
          <w:tab w:pos="927" w:val="left"/>
        </w:tabs>
        <w:bidi w:val="0"/>
        <w:spacing w:before="0" w:after="40" w:line="467" w:lineRule="exact"/>
        <w:ind w:left="0" w:right="0" w:firstLine="520"/>
        <w:jc w:val="both"/>
      </w:pPr>
      <w:bookmarkStart w:id="891" w:name="bookmark891"/>
      <w:bookmarkEnd w:id="891"/>
      <w:r>
        <w:rPr>
          <w:color w:val="000000"/>
          <w:spacing w:val="0"/>
          <w:w w:val="100"/>
          <w:position w:val="0"/>
        </w:rPr>
        <w:t>其他表明客户已取得商品控制权的迹象。</w:t>
      </w:r>
    </w:p>
    <w:p>
      <w:pPr>
        <w:pStyle w:val="Style44"/>
        <w:keepNext w:val="0"/>
        <w:keepLines w:val="0"/>
        <w:widowControl w:val="0"/>
        <w:shd w:val="clear" w:color="auto" w:fill="auto"/>
        <w:bidi w:val="0"/>
        <w:spacing w:before="0" w:after="0" w:line="473" w:lineRule="exact"/>
        <w:ind w:left="0" w:right="0" w:firstLine="520"/>
        <w:jc w:val="both"/>
      </w:pPr>
      <w:r>
        <w:rPr>
          <w:color w:val="000000"/>
          <w:spacing w:val="0"/>
          <w:w w:val="100"/>
          <w:position w:val="0"/>
        </w:rPr>
        <w:t>公司芯片类产品、负极材料形成的产品收入均属于销售商品收入，对于不包含安装的销售商 品收入，本公司收入确认时点，以公司将商品控制权转移给购买方（即客户签收时点）确认商品 销售收入实现。</w:t>
      </w:r>
    </w:p>
    <w:p>
      <w:pPr>
        <w:pStyle w:val="Style44"/>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对于包含安装的销售商品收入，销售商品部分和提供劳务部分不能够区分，或虽能区分但不 能够单独计量的，将销售商品部分和提供劳务部分全部作为销售商品处理。将购买方验收时点作 为控制权转移时点，确认收入。</w:t>
      </w:r>
    </w:p>
    <w:p>
      <w:pPr>
        <w:pStyle w:val="Style44"/>
        <w:keepNext w:val="0"/>
        <w:keepLines w:val="0"/>
        <w:widowControl w:val="0"/>
        <w:shd w:val="clear" w:color="auto" w:fill="auto"/>
        <w:bidi w:val="0"/>
        <w:spacing w:before="0" w:after="0" w:line="468" w:lineRule="exact"/>
        <w:ind w:left="0" w:right="0" w:firstLine="520"/>
        <w:jc w:val="both"/>
      </w:pPr>
      <w:r>
        <w:rPr>
          <w:color w:val="000000"/>
          <w:spacing w:val="0"/>
          <w:w w:val="100"/>
          <w:position w:val="0"/>
        </w:rPr>
        <w:t>对于贸易类业务，公司收入分为总额法和净额法。</w:t>
      </w:r>
    </w:p>
    <w:p>
      <w:pPr>
        <w:pStyle w:val="Style44"/>
        <w:keepNext w:val="0"/>
        <w:keepLines w:val="0"/>
        <w:widowControl w:val="0"/>
        <w:shd w:val="clear" w:color="auto" w:fill="auto"/>
        <w:bidi w:val="0"/>
        <w:spacing w:before="0" w:after="0" w:line="469" w:lineRule="exact"/>
        <w:ind w:left="0" w:right="0" w:firstLine="520"/>
        <w:jc w:val="both"/>
      </w:pPr>
      <w:r>
        <w:rPr>
          <w:color w:val="000000"/>
          <w:spacing w:val="0"/>
          <w:w w:val="100"/>
          <w:position w:val="0"/>
        </w:rPr>
        <w:t>总额法和净额法的判断标准：公司在向客户转让商品或服务前能够控制该商品或服务的，本 公司为主要合同履行方。如果履约义务是安排另一方提供指定商品或服务，则本公司为代理人。 在这种情况下，本公司在该商品或服务转移给客户之前不会控制另一方提供的指定商品或服务。 当本公司作为代理人身份时，本公司已收或应收对价总额扣除应支付给其他相关方的价款后的净 额确认收入。其他贸易业务，由公司人员负责运营，采用总额法确认收入。</w:t>
      </w:r>
    </w:p>
    <w:p>
      <w:pPr>
        <w:pStyle w:val="Style44"/>
        <w:keepNext w:val="0"/>
        <w:keepLines w:val="0"/>
        <w:widowControl w:val="0"/>
        <w:shd w:val="clear" w:color="auto" w:fill="auto"/>
        <w:bidi w:val="0"/>
        <w:spacing w:before="0" w:after="0" w:line="468" w:lineRule="exact"/>
        <w:ind w:left="0" w:right="0" w:firstLine="520"/>
        <w:jc w:val="both"/>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rPr>
        <w:t>2</w:t>
      </w:r>
      <w:r>
        <w:rPr>
          <w:color w:val="000000"/>
          <w:spacing w:val="0"/>
          <w:w w:val="100"/>
          <w:position w:val="0"/>
        </w:rPr>
        <w:t>）提供劳务</w:t>
      </w:r>
    </w:p>
    <w:p>
      <w:pPr>
        <w:pStyle w:val="Style44"/>
        <w:keepNext w:val="0"/>
        <w:keepLines w:val="0"/>
        <w:widowControl w:val="0"/>
        <w:shd w:val="clear" w:color="auto" w:fill="auto"/>
        <w:bidi w:val="0"/>
        <w:spacing w:before="0" w:after="220" w:line="468" w:lineRule="exact"/>
        <w:ind w:left="0" w:right="0" w:firstLine="520"/>
        <w:jc w:val="both"/>
      </w:pPr>
      <w:r>
        <w:rPr>
          <w:color w:val="000000"/>
          <w:spacing w:val="0"/>
          <w:w w:val="100"/>
          <w:position w:val="0"/>
        </w:rPr>
        <w:t>本公司为客户提供软件设计、项目整体解决方案设计服务和石墨化加工服务属于提供劳务收 入，根据客户验收情况确认收入。本公司给予客户的信用期，根据客户的信用风险特征确定，不 存在重大融资成分。</w:t>
      </w:r>
    </w:p>
    <w:p>
      <w:pPr>
        <w:pStyle w:val="Style52"/>
        <w:keepNext/>
        <w:keepLines/>
        <w:widowControl w:val="0"/>
        <w:shd w:val="clear" w:color="auto" w:fill="auto"/>
        <w:bidi w:val="0"/>
        <w:spacing w:before="0" w:after="220" w:line="468" w:lineRule="exact"/>
        <w:ind w:left="0" w:right="0" w:firstLine="0"/>
        <w:jc w:val="left"/>
        <w:rPr>
          <w:sz w:val="24"/>
          <w:szCs w:val="24"/>
        </w:rPr>
      </w:pPr>
      <w:bookmarkStart w:id="893" w:name="bookmark893"/>
      <w:bookmarkStart w:id="894" w:name="bookmark894"/>
      <w:bookmarkStart w:id="895" w:name="bookmark895"/>
      <w:bookmarkStart w:id="896" w:name="bookmark896"/>
      <w:r>
        <w:rPr>
          <w:rFonts w:ascii="Times New Roman" w:eastAsia="Times New Roman" w:hAnsi="Times New Roman" w:cs="Times New Roman"/>
          <w:b w:val="0"/>
          <w:bCs w:val="0"/>
          <w:color w:val="000000"/>
          <w:spacing w:val="0"/>
          <w:w w:val="100"/>
          <w:position w:val="0"/>
          <w:sz w:val="24"/>
          <w:szCs w:val="24"/>
        </w:rPr>
        <w:t>2</w:t>
      </w:r>
      <w:bookmarkEnd w:id="895"/>
      <w:r>
        <w:rPr>
          <w:rFonts w:ascii="Times New Roman" w:eastAsia="Times New Roman" w:hAnsi="Times New Roman" w:cs="Times New Roman"/>
          <w:b w:val="0"/>
          <w:bCs w:val="0"/>
          <w:color w:val="000000"/>
          <w:spacing w:val="0"/>
          <w:w w:val="100"/>
          <w:position w:val="0"/>
          <w:sz w:val="24"/>
          <w:szCs w:val="24"/>
        </w:rPr>
        <w:t>4</w:t>
      </w:r>
      <w:r>
        <w:rPr>
          <w:b w:val="0"/>
          <w:bCs w:val="0"/>
          <w:color w:val="000000"/>
          <w:spacing w:val="0"/>
          <w:w w:val="100"/>
          <w:position w:val="0"/>
          <w:sz w:val="24"/>
          <w:szCs w:val="24"/>
        </w:rPr>
        <w:t>、政府补助</w:t>
      </w:r>
      <w:bookmarkEnd w:id="893"/>
      <w:bookmarkEnd w:id="894"/>
      <w:bookmarkEnd w:id="896"/>
    </w:p>
    <w:p>
      <w:pPr>
        <w:pStyle w:val="Style44"/>
        <w:keepNext w:val="0"/>
        <w:keepLines w:val="0"/>
        <w:widowControl w:val="0"/>
        <w:shd w:val="clear" w:color="auto" w:fill="auto"/>
        <w:bidi w:val="0"/>
        <w:spacing w:before="0" w:after="0" w:line="467" w:lineRule="exact"/>
        <w:ind w:left="0" w:right="0" w:firstLine="520"/>
        <w:jc w:val="both"/>
      </w:pPr>
      <w:r>
        <w:rPr>
          <w:color w:val="000000"/>
          <w:spacing w:val="0"/>
          <w:w w:val="100"/>
          <w:position w:val="0"/>
        </w:rPr>
        <w:t>政府补助是指本公司从政府无偿取得货币性资产或非货币性资产，不包括政府以投资者身份 并享有相应所有者权益而投入的资本。政府补助为货币性资产的，按照收到或应收的金额计量。 政府补助为非货币性资产的，应当按照公允价值计量；公允价值不能可靠取得的，按照名义金额 计量。按照名义金额计量的政府补助，直接计入当期损益。</w:t>
      </w:r>
    </w:p>
    <w:p>
      <w:pPr>
        <w:pStyle w:val="Style44"/>
        <w:keepNext w:val="0"/>
        <w:keepLines w:val="0"/>
        <w:widowControl w:val="0"/>
        <w:shd w:val="clear" w:color="auto" w:fill="auto"/>
        <w:bidi w:val="0"/>
        <w:spacing w:before="0" w:after="0" w:line="468" w:lineRule="exact"/>
        <w:ind w:left="0" w:right="0" w:firstLine="520"/>
        <w:jc w:val="both"/>
      </w:pPr>
      <w:r>
        <w:rPr>
          <w:color w:val="000000"/>
          <w:spacing w:val="0"/>
          <w:w w:val="100"/>
          <w:position w:val="0"/>
        </w:rPr>
        <w:t>当本公司能够满足政府补助所附条件，且能够收到政府补助时，才能确认政府补助。</w:t>
      </w:r>
    </w:p>
    <w:p>
      <w:pPr>
        <w:pStyle w:val="Style44"/>
        <w:keepNext w:val="0"/>
        <w:keepLines w:val="0"/>
        <w:widowControl w:val="0"/>
        <w:shd w:val="clear" w:color="auto" w:fill="auto"/>
        <w:bidi w:val="0"/>
        <w:spacing w:before="0" w:after="0" w:line="468" w:lineRule="exact"/>
        <w:ind w:left="0" w:right="0" w:firstLine="520"/>
        <w:jc w:val="both"/>
      </w:pPr>
      <w:r>
        <w:rPr>
          <w:color w:val="000000"/>
          <w:spacing w:val="0"/>
          <w:w w:val="100"/>
          <w:position w:val="0"/>
        </w:rPr>
        <w:t>政府补助分为与资产相关的政府补助和与收益相关的政府补助。与资产相关的政府补助，是 指公司取得的、用于购建或以其他方式形成长期资产的政府补助。与收益相关的政府补助，是指 除与资产相关的政府补助之外的政府补助。</w:t>
      </w:r>
    </w:p>
    <w:p>
      <w:pPr>
        <w:pStyle w:val="Style44"/>
        <w:keepNext w:val="0"/>
        <w:keepLines w:val="0"/>
        <w:widowControl w:val="0"/>
        <w:shd w:val="clear" w:color="auto" w:fill="auto"/>
        <w:bidi w:val="0"/>
        <w:spacing w:before="0" w:after="0" w:line="468" w:lineRule="exact"/>
        <w:ind w:left="0" w:right="0" w:firstLine="520"/>
        <w:jc w:val="both"/>
      </w:pPr>
      <w:r>
        <w:rPr>
          <w:color w:val="000000"/>
          <w:spacing w:val="0"/>
          <w:w w:val="100"/>
          <w:position w:val="0"/>
        </w:rPr>
        <w:t xml:space="preserve">与资产相关的政府补助，采用总额法，确认为递延收益，在相关资产使用寿命内按照合理、 系统的方法分期计入损益，相关资产在使用寿命结束前被出售、转让、报废或发生毁损的，将尚 未分配的相关递延收益余额转入资产处置当期的损益，已确认的政府补助需要退回的，冲减相关 </w:t>
      </w:r>
      <w:r>
        <w:rPr>
          <w:color w:val="000000"/>
          <w:spacing w:val="0"/>
          <w:w w:val="100"/>
          <w:position w:val="0"/>
        </w:rPr>
        <w:t>递延收益账面余额，超出部分计入当期损益</w:t>
      </w:r>
    </w:p>
    <w:p>
      <w:pPr>
        <w:pStyle w:val="Style44"/>
        <w:keepNext w:val="0"/>
        <w:keepLines w:val="0"/>
        <w:widowControl w:val="0"/>
        <w:shd w:val="clear" w:color="auto" w:fill="auto"/>
        <w:bidi w:val="0"/>
        <w:spacing w:before="0" w:after="0" w:line="468" w:lineRule="exact"/>
        <w:ind w:left="0" w:right="0" w:firstLine="520"/>
        <w:jc w:val="both"/>
      </w:pPr>
      <w:r>
        <w:rPr>
          <w:color w:val="000000"/>
          <w:spacing w:val="0"/>
          <w:w w:val="100"/>
          <w:position w:val="0"/>
        </w:rPr>
        <w:t>与收益相关的政府补助，采用总额法，用于补偿公司已发生的相关成本费用或损失时，直接 计入当期损益；用于补偿以后期间的相关成本费用或损失时，确认为递延收益，并在确认相关成 本费用或损失的期间，计入当期损益。</w:t>
      </w:r>
    </w:p>
    <w:p>
      <w:pPr>
        <w:pStyle w:val="Style44"/>
        <w:keepNext w:val="0"/>
        <w:keepLines w:val="0"/>
        <w:widowControl w:val="0"/>
        <w:shd w:val="clear" w:color="auto" w:fill="auto"/>
        <w:bidi w:val="0"/>
        <w:spacing w:before="0" w:after="0" w:line="461" w:lineRule="exact"/>
        <w:ind w:left="0" w:right="0" w:firstLine="520"/>
        <w:jc w:val="both"/>
      </w:pPr>
      <w:r>
        <w:rPr>
          <w:color w:val="000000"/>
          <w:spacing w:val="0"/>
          <w:w w:val="100"/>
          <w:position w:val="0"/>
        </w:rPr>
        <w:t>对于同时包含与资产相关部分和与收益相关部分的政府补助，区分不同部分分别进行会计处 理；难以区分的，整体归类为与收益相关的政府补助。</w:t>
      </w:r>
    </w:p>
    <w:p>
      <w:pPr>
        <w:pStyle w:val="Style44"/>
        <w:keepNext w:val="0"/>
        <w:keepLines w:val="0"/>
        <w:widowControl w:val="0"/>
        <w:shd w:val="clear" w:color="auto" w:fill="auto"/>
        <w:bidi w:val="0"/>
        <w:spacing w:before="0" w:after="220" w:line="470" w:lineRule="exact"/>
        <w:ind w:left="0" w:right="0" w:firstLine="520"/>
        <w:jc w:val="both"/>
      </w:pPr>
      <w:r>
        <w:rPr>
          <w:color w:val="000000"/>
          <w:spacing w:val="0"/>
          <w:w w:val="100"/>
          <w:position w:val="0"/>
        </w:rPr>
        <w:t>与公司日常活动相关的政府补助，按照经济业务实质，计入其他收益或冲减相关成本费用。 与公司日常活动无关的政府补助，计入营业外收支。</w:t>
      </w:r>
    </w:p>
    <w:p>
      <w:pPr>
        <w:pStyle w:val="Style52"/>
        <w:keepNext/>
        <w:keepLines/>
        <w:widowControl w:val="0"/>
        <w:shd w:val="clear" w:color="auto" w:fill="auto"/>
        <w:bidi w:val="0"/>
        <w:spacing w:before="0" w:after="220" w:line="468" w:lineRule="exact"/>
        <w:ind w:left="0" w:right="0" w:firstLine="0"/>
        <w:jc w:val="left"/>
        <w:rPr>
          <w:sz w:val="24"/>
          <w:szCs w:val="24"/>
        </w:rPr>
      </w:pPr>
      <w:bookmarkStart w:id="897" w:name="bookmark897"/>
      <w:bookmarkStart w:id="898" w:name="bookmark898"/>
      <w:bookmarkStart w:id="899" w:name="bookmark899"/>
      <w:bookmarkStart w:id="900" w:name="bookmark900"/>
      <w:r>
        <w:rPr>
          <w:rFonts w:ascii="Times New Roman" w:eastAsia="Times New Roman" w:hAnsi="Times New Roman" w:cs="Times New Roman"/>
          <w:b w:val="0"/>
          <w:bCs w:val="0"/>
          <w:color w:val="000000"/>
          <w:spacing w:val="0"/>
          <w:w w:val="100"/>
          <w:position w:val="0"/>
          <w:sz w:val="24"/>
          <w:szCs w:val="24"/>
        </w:rPr>
        <w:t>2</w:t>
      </w:r>
      <w:bookmarkEnd w:id="899"/>
      <w:r>
        <w:rPr>
          <w:rFonts w:ascii="Times New Roman" w:eastAsia="Times New Roman" w:hAnsi="Times New Roman" w:cs="Times New Roman"/>
          <w:b w:val="0"/>
          <w:bCs w:val="0"/>
          <w:color w:val="000000"/>
          <w:spacing w:val="0"/>
          <w:w w:val="100"/>
          <w:position w:val="0"/>
          <w:sz w:val="24"/>
          <w:szCs w:val="24"/>
        </w:rPr>
        <w:t>5</w:t>
      </w:r>
      <w:r>
        <w:rPr>
          <w:b w:val="0"/>
          <w:bCs w:val="0"/>
          <w:color w:val="000000"/>
          <w:spacing w:val="0"/>
          <w:w w:val="100"/>
          <w:position w:val="0"/>
          <w:sz w:val="24"/>
          <w:szCs w:val="24"/>
        </w:rPr>
        <w:t>、递延所得税资产和递延所得税负债</w:t>
      </w:r>
      <w:bookmarkEnd w:id="897"/>
      <w:bookmarkEnd w:id="898"/>
      <w:bookmarkEnd w:id="900"/>
    </w:p>
    <w:p>
      <w:pPr>
        <w:pStyle w:val="Style44"/>
        <w:keepNext w:val="0"/>
        <w:keepLines w:val="0"/>
        <w:widowControl w:val="0"/>
        <w:shd w:val="clear" w:color="auto" w:fill="auto"/>
        <w:bidi w:val="0"/>
        <w:spacing w:before="0" w:after="0" w:line="470" w:lineRule="exact"/>
        <w:ind w:left="0" w:right="0" w:firstLine="520"/>
        <w:jc w:val="left"/>
      </w:pPr>
      <w:r>
        <w:rPr>
          <w:color w:val="000000"/>
          <w:spacing w:val="0"/>
          <w:w w:val="100"/>
          <w:position w:val="0"/>
        </w:rPr>
        <w:t>某些资产、负债项目的账面价值与其计税基础之间的差额，以及未作为资产和负债确认但按 照税法规定可以确定其计税基础的项目的账面价值与计税基础之间的差额产生的暂时性差异，采 用资产负债表债务法确认递延所得税资产及递延所得税负债。</w:t>
      </w:r>
    </w:p>
    <w:p>
      <w:pPr>
        <w:pStyle w:val="Style44"/>
        <w:keepNext w:val="0"/>
        <w:keepLines w:val="0"/>
        <w:widowControl w:val="0"/>
        <w:shd w:val="clear" w:color="auto" w:fill="auto"/>
        <w:bidi w:val="0"/>
        <w:spacing w:before="0" w:after="0" w:line="468" w:lineRule="exact"/>
        <w:ind w:left="0" w:right="0" w:firstLine="520"/>
        <w:jc w:val="left"/>
      </w:pPr>
      <w:r>
        <w:rPr>
          <w:color w:val="000000"/>
          <w:spacing w:val="0"/>
          <w:w w:val="100"/>
          <w:position w:val="0"/>
        </w:rPr>
        <w:t>与商誉的初始确认有关，以及与既不是企业合并、发生时也不影响会计利润和应纳税所得额 （或可抵扣亏损）的交易中产生的资产或负债的初始确认有关的应纳税暂时性差异，不予确认有 关的递延所得税负债。此外，对与子公司、联营企业及合营企业投资相关的应纳税暂时性差异， 如果本公司能够控制暂时性差异转回的时间，而且该暂时性差异在可预见的未来很可能不会转回, 也不予确认有关的递延所得税负债。除上述例外情况，本公司确认其他所有应纳税暂时性差异产 生的递延所得税负债。</w:t>
      </w:r>
    </w:p>
    <w:p>
      <w:pPr>
        <w:pStyle w:val="Style44"/>
        <w:keepNext w:val="0"/>
        <w:keepLines w:val="0"/>
        <w:widowControl w:val="0"/>
        <w:shd w:val="clear" w:color="auto" w:fill="auto"/>
        <w:bidi w:val="0"/>
        <w:spacing w:before="0" w:after="0" w:line="467" w:lineRule="exact"/>
        <w:ind w:left="0" w:right="0" w:firstLine="520"/>
        <w:jc w:val="left"/>
      </w:pPr>
      <w:r>
        <w:rPr>
          <w:color w:val="000000"/>
          <w:spacing w:val="0"/>
          <w:w w:val="100"/>
          <w:position w:val="0"/>
        </w:rPr>
        <w:t>与既不是企业合并、发生时也不影响会计利润和应纳税所得额（或可抵扣亏损）的交易中产 生的资产或负债的初始确认有关的可抵扣暂时性差异，不予确认有关的递延所得税资产。此外， 对与子公司、联营企业及合营企业投资相关的可抵扣暂时性差异，如果暂时性差异在可预见的未 来不是很可能转回，或者未来不是很可能获得用来抵扣可抵扣暂时性差异的应纳税所得额，不予 确认有关的递延所得税资产。除上述例外情况，本公司以很可能取得用来抵扣可抵扣暂时性差异 的应纳税所得额为限，确认其他可抵扣暂时性差异产生的递延所得税资产。</w:t>
      </w:r>
    </w:p>
    <w:p>
      <w:pPr>
        <w:pStyle w:val="Style44"/>
        <w:keepNext w:val="0"/>
        <w:keepLines w:val="0"/>
        <w:widowControl w:val="0"/>
        <w:shd w:val="clear" w:color="auto" w:fill="auto"/>
        <w:bidi w:val="0"/>
        <w:spacing w:before="0" w:after="0" w:line="470" w:lineRule="exact"/>
        <w:ind w:left="0" w:right="0" w:firstLine="520"/>
        <w:jc w:val="left"/>
      </w:pPr>
      <w:r>
        <w:rPr>
          <w:color w:val="000000"/>
          <w:spacing w:val="0"/>
          <w:w w:val="100"/>
          <w:position w:val="0"/>
        </w:rPr>
        <w:t>对于能够结转以后年度的可抵扣亏损和税款抵减，以很可能获得用来抵扣可抵扣亏损和税款 抵减的未来应纳税所得额为限，确认相应的递延所得税资产。</w:t>
      </w:r>
    </w:p>
    <w:p>
      <w:pPr>
        <w:pStyle w:val="Style44"/>
        <w:keepNext w:val="0"/>
        <w:keepLines w:val="0"/>
        <w:widowControl w:val="0"/>
        <w:shd w:val="clear" w:color="auto" w:fill="auto"/>
        <w:bidi w:val="0"/>
        <w:spacing w:before="0" w:after="0" w:line="475" w:lineRule="exact"/>
        <w:ind w:left="0" w:right="0" w:firstLine="520"/>
        <w:jc w:val="left"/>
      </w:pPr>
      <w:r>
        <w:rPr>
          <w:color w:val="000000"/>
          <w:spacing w:val="0"/>
          <w:w w:val="100"/>
          <w:position w:val="0"/>
        </w:rPr>
        <w:t>资产负债表日，对于递延所得税资产和递延所得税负债，根据税法规定，按照预期收回相关 资产或清偿相关负债期间的适用税率计量。</w:t>
      </w:r>
    </w:p>
    <w:p>
      <w:pPr>
        <w:pStyle w:val="Style44"/>
        <w:keepNext w:val="0"/>
        <w:keepLines w:val="0"/>
        <w:widowControl w:val="0"/>
        <w:shd w:val="clear" w:color="auto" w:fill="auto"/>
        <w:bidi w:val="0"/>
        <w:spacing w:before="0" w:after="220" w:line="466" w:lineRule="exact"/>
        <w:ind w:left="0" w:right="0" w:firstLine="520"/>
        <w:jc w:val="both"/>
      </w:pPr>
      <w:r>
        <w:rPr>
          <w:color w:val="000000"/>
          <w:spacing w:val="0"/>
          <w:w w:val="100"/>
          <w:position w:val="0"/>
        </w:rPr>
        <w:t>于资产负债表日，对递延所得税资产的账面价值进行复核，如果未来很可能无法获得足够的 应纳税所得额用以抵扣递延所得税资产的利益，则减记递延所得税资产的账面价值。在很可能获 得足够的应纳税所得额时，减记的金额予以转回。</w:t>
      </w:r>
    </w:p>
    <w:p>
      <w:pPr>
        <w:pStyle w:val="Style52"/>
        <w:keepNext/>
        <w:keepLines/>
        <w:widowControl w:val="0"/>
        <w:shd w:val="clear" w:color="auto" w:fill="auto"/>
        <w:bidi w:val="0"/>
        <w:spacing w:before="0" w:after="220" w:line="468" w:lineRule="exact"/>
        <w:ind w:left="0" w:right="0" w:firstLine="0"/>
        <w:jc w:val="left"/>
        <w:rPr>
          <w:sz w:val="24"/>
          <w:szCs w:val="24"/>
        </w:rPr>
      </w:pPr>
      <w:bookmarkStart w:id="901" w:name="bookmark901"/>
      <w:bookmarkStart w:id="902" w:name="bookmark902"/>
      <w:bookmarkStart w:id="903" w:name="bookmark903"/>
      <w:bookmarkStart w:id="904" w:name="bookmark904"/>
      <w:r>
        <w:rPr>
          <w:rFonts w:ascii="Times New Roman" w:eastAsia="Times New Roman" w:hAnsi="Times New Roman" w:cs="Times New Roman"/>
          <w:b w:val="0"/>
          <w:bCs w:val="0"/>
          <w:color w:val="000000"/>
          <w:spacing w:val="0"/>
          <w:w w:val="100"/>
          <w:position w:val="0"/>
          <w:sz w:val="24"/>
          <w:szCs w:val="24"/>
        </w:rPr>
        <w:t>2</w:t>
      </w:r>
      <w:bookmarkEnd w:id="903"/>
      <w:r>
        <w:rPr>
          <w:rFonts w:ascii="Times New Roman" w:eastAsia="Times New Roman" w:hAnsi="Times New Roman" w:cs="Times New Roman"/>
          <w:b w:val="0"/>
          <w:bCs w:val="0"/>
          <w:color w:val="000000"/>
          <w:spacing w:val="0"/>
          <w:w w:val="100"/>
          <w:position w:val="0"/>
          <w:sz w:val="24"/>
          <w:szCs w:val="24"/>
        </w:rPr>
        <w:t>6</w:t>
      </w:r>
      <w:r>
        <w:rPr>
          <w:b w:val="0"/>
          <w:bCs w:val="0"/>
          <w:color w:val="000000"/>
          <w:spacing w:val="0"/>
          <w:w w:val="100"/>
          <w:position w:val="0"/>
          <w:sz w:val="24"/>
          <w:szCs w:val="24"/>
        </w:rPr>
        <w:t>、所得税</w:t>
      </w:r>
      <w:bookmarkEnd w:id="901"/>
      <w:bookmarkEnd w:id="902"/>
      <w:bookmarkEnd w:id="904"/>
    </w:p>
    <w:p>
      <w:pPr>
        <w:pStyle w:val="Style44"/>
        <w:keepNext w:val="0"/>
        <w:keepLines w:val="0"/>
        <w:widowControl w:val="0"/>
        <w:shd w:val="clear" w:color="auto" w:fill="auto"/>
        <w:bidi w:val="0"/>
        <w:spacing w:before="0" w:after="0" w:line="470" w:lineRule="exact"/>
        <w:ind w:left="0" w:right="0" w:firstLine="520"/>
        <w:jc w:val="both"/>
      </w:pPr>
      <w:r>
        <w:rPr>
          <w:color w:val="000000"/>
          <w:spacing w:val="0"/>
          <w:w w:val="100"/>
          <w:position w:val="0"/>
        </w:rPr>
        <w:t>所得税包括当期所得税和递延所得税。除由于企业合并产生的调整商誉，或与直接计入所有 者权益的交易或者事项相关的递延所得税计入所有者权益外，均作为所得税费用计入当期损益。</w:t>
      </w:r>
    </w:p>
    <w:p>
      <w:pPr>
        <w:pStyle w:val="Style44"/>
        <w:keepNext w:val="0"/>
        <w:keepLines w:val="0"/>
        <w:widowControl w:val="0"/>
        <w:shd w:val="clear" w:color="auto" w:fill="auto"/>
        <w:bidi w:val="0"/>
        <w:spacing w:before="0" w:after="0" w:line="466" w:lineRule="exact"/>
        <w:ind w:left="0" w:right="0" w:firstLine="520"/>
        <w:jc w:val="both"/>
      </w:pPr>
      <w:r>
        <w:rPr>
          <w:color w:val="000000"/>
          <w:spacing w:val="0"/>
          <w:w w:val="100"/>
          <w:position w:val="0"/>
        </w:rPr>
        <w:t>当期所得税是按照当期应纳税所得额计算的当期应交所得税金额。应纳税所得额系根据有关 税法规定对本年度税前会计利润作相应调整后得出。</w:t>
      </w:r>
    </w:p>
    <w:p>
      <w:pPr>
        <w:pStyle w:val="Style44"/>
        <w:keepNext w:val="0"/>
        <w:keepLines w:val="0"/>
        <w:widowControl w:val="0"/>
        <w:shd w:val="clear" w:color="auto" w:fill="auto"/>
        <w:bidi w:val="0"/>
        <w:spacing w:before="0" w:after="0" w:line="475" w:lineRule="exact"/>
        <w:ind w:left="0" w:right="0" w:firstLine="520"/>
        <w:jc w:val="both"/>
      </w:pPr>
      <w:r>
        <w:rPr>
          <w:color w:val="000000"/>
          <w:spacing w:val="0"/>
          <w:w w:val="100"/>
          <w:position w:val="0"/>
        </w:rPr>
        <w:t>本公司根据资产、负债于资产负债表日的账面价值与计税基础之间的暂时性差异，采用资产 负债表债务法确认递延所得税。</w:t>
      </w:r>
    </w:p>
    <w:p>
      <w:pPr>
        <w:pStyle w:val="Style44"/>
        <w:keepNext w:val="0"/>
        <w:keepLines w:val="0"/>
        <w:widowControl w:val="0"/>
        <w:shd w:val="clear" w:color="auto" w:fill="auto"/>
        <w:bidi w:val="0"/>
        <w:spacing w:before="0" w:after="0" w:line="469" w:lineRule="exact"/>
        <w:ind w:left="0" w:right="0" w:firstLine="520"/>
        <w:jc w:val="both"/>
      </w:pPr>
      <w:r>
        <w:rPr>
          <w:color w:val="000000"/>
          <w:spacing w:val="0"/>
          <w:w w:val="100"/>
          <w:position w:val="0"/>
        </w:rPr>
        <w:t>各项应纳税暂时性差异均确认相关的递延所得税负债，除非该应纳税暂时性差异是在以下交 易中产生的：（</w:t>
      </w:r>
      <w:r>
        <w:rPr>
          <w:rFonts w:ascii="Times New Roman" w:eastAsia="Times New Roman" w:hAnsi="Times New Roman" w:cs="Times New Roman"/>
          <w:color w:val="000000"/>
          <w:spacing w:val="0"/>
          <w:w w:val="100"/>
          <w:position w:val="0"/>
        </w:rPr>
        <w:t>1</w:t>
      </w:r>
      <w:r>
        <w:rPr>
          <w:color w:val="000000"/>
          <w:spacing w:val="0"/>
          <w:w w:val="100"/>
          <w:position w:val="0"/>
        </w:rPr>
        <w:t>）商誉的初始确认，或者具有以下特征的交易中产生的资产或负债的初始确认： 该交易不是企业合并，并且交易发生时既不影响会计利润也不影响应纳税所得额；（</w:t>
      </w:r>
      <w:r>
        <w:rPr>
          <w:rFonts w:ascii="Times New Roman" w:eastAsia="Times New Roman" w:hAnsi="Times New Roman" w:cs="Times New Roman"/>
          <w:color w:val="000000"/>
          <w:spacing w:val="0"/>
          <w:w w:val="100"/>
          <w:position w:val="0"/>
        </w:rPr>
        <w:t>2</w:t>
      </w:r>
      <w:r>
        <w:rPr>
          <w:color w:val="000000"/>
          <w:spacing w:val="0"/>
          <w:w w:val="100"/>
          <w:position w:val="0"/>
        </w:rPr>
        <w:t>）对于与子 公司、合营企业及联营企业投资相关的应纳税暂时性差异，该暂时性差异转回的时间能够控制并 且该暂时性差异在可预见的未来很可能不会转回。</w:t>
      </w:r>
    </w:p>
    <w:p>
      <w:pPr>
        <w:pStyle w:val="Style44"/>
        <w:keepNext w:val="0"/>
        <w:keepLines w:val="0"/>
        <w:widowControl w:val="0"/>
        <w:shd w:val="clear" w:color="auto" w:fill="auto"/>
        <w:bidi w:val="0"/>
        <w:spacing w:before="0" w:after="0" w:line="467" w:lineRule="exact"/>
        <w:ind w:left="0" w:right="0" w:firstLine="520"/>
        <w:jc w:val="both"/>
      </w:pPr>
      <w:r>
        <w:rPr>
          <w:color w:val="000000"/>
          <w:spacing w:val="0"/>
          <w:w w:val="100"/>
          <w:position w:val="0"/>
        </w:rPr>
        <w:t>对于可抵扣暂时性差异、能够结转以后年度的可抵扣亏损和税款抵减，本公司以很可能取得 用来抵扣可抵扣暂时性差异、可抵扣亏损和税款抵减的未来应纳税所得额为限，确认由此产生的 递延所得税资产，除非该可抵扣暂时性差异是在以下交易中产生的：（</w:t>
      </w:r>
      <w:r>
        <w:rPr>
          <w:rFonts w:ascii="Times New Roman" w:eastAsia="Times New Roman" w:hAnsi="Times New Roman" w:cs="Times New Roman"/>
          <w:color w:val="000000"/>
          <w:spacing w:val="0"/>
          <w:w w:val="100"/>
          <w:position w:val="0"/>
        </w:rPr>
        <w:t>1</w:t>
      </w:r>
      <w:r>
        <w:rPr>
          <w:color w:val="000000"/>
          <w:spacing w:val="0"/>
          <w:w w:val="100"/>
          <w:position w:val="0"/>
        </w:rPr>
        <w:t>）该交易不是企业合并， 并且交易发生时既不影响会计利润也不影响应纳税所得额；（</w:t>
      </w:r>
      <w:r>
        <w:rPr>
          <w:rFonts w:ascii="Times New Roman" w:eastAsia="Times New Roman" w:hAnsi="Times New Roman" w:cs="Times New Roman"/>
          <w:color w:val="000000"/>
          <w:spacing w:val="0"/>
          <w:w w:val="100"/>
          <w:position w:val="0"/>
        </w:rPr>
        <w:t>2</w:t>
      </w:r>
      <w:r>
        <w:rPr>
          <w:color w:val="000000"/>
          <w:spacing w:val="0"/>
          <w:w w:val="100"/>
          <w:position w:val="0"/>
        </w:rPr>
        <w:t>）对于与子公司、合营企业及联营 企业投资相关的可抵扣暂时性差异，同时满足下列条件的，确认相应的递延所得税资产：暂时性 差异在可预见的未来很可能转回，且未来很可能获得用来抵扣可抵扣暂时性差异的应纳税所得额。</w:t>
      </w:r>
    </w:p>
    <w:p>
      <w:pPr>
        <w:pStyle w:val="Style44"/>
        <w:keepNext w:val="0"/>
        <w:keepLines w:val="0"/>
        <w:widowControl w:val="0"/>
        <w:shd w:val="clear" w:color="auto" w:fill="auto"/>
        <w:bidi w:val="0"/>
        <w:spacing w:before="0" w:after="0" w:line="470" w:lineRule="exact"/>
        <w:ind w:left="0" w:right="0" w:firstLine="520"/>
        <w:jc w:val="both"/>
      </w:pPr>
      <w:r>
        <w:rPr>
          <w:color w:val="000000"/>
          <w:spacing w:val="0"/>
          <w:w w:val="100"/>
          <w:position w:val="0"/>
        </w:rPr>
        <w:t>于资产负债表日，本公司对递延所得税资产和递延所得税负债，按照预期收回该资产或清偿 该负债期间的适用税率计量，并反映资产负债表日预期收回资产或清偿负债方式的所得税影响。</w:t>
      </w:r>
    </w:p>
    <w:p>
      <w:pPr>
        <w:pStyle w:val="Style44"/>
        <w:keepNext w:val="0"/>
        <w:keepLines w:val="0"/>
        <w:widowControl w:val="0"/>
        <w:shd w:val="clear" w:color="auto" w:fill="auto"/>
        <w:bidi w:val="0"/>
        <w:spacing w:before="0" w:after="0" w:line="468" w:lineRule="exact"/>
        <w:ind w:left="0" w:right="0" w:firstLine="520"/>
        <w:jc w:val="both"/>
      </w:pPr>
      <w:r>
        <w:rPr>
          <w:color w:val="000000"/>
          <w:spacing w:val="0"/>
          <w:w w:val="100"/>
          <w:position w:val="0"/>
        </w:rPr>
        <w:t>于资产负债表日，本公司对递延所得税资产的账面价值进行复核。如果未来期间很可能无法 获得足够的应纳税所得额用以抵扣递延所得税资产的利益，减记递延所得税资产的账面价值。在 很可能获得足够的应纳税所得额时，减记的金额予以转回。</w:t>
      </w:r>
    </w:p>
    <w:p>
      <w:pPr>
        <w:pStyle w:val="Style52"/>
        <w:keepNext/>
        <w:keepLines/>
        <w:widowControl w:val="0"/>
        <w:shd w:val="clear" w:color="auto" w:fill="auto"/>
        <w:tabs>
          <w:tab w:pos="522" w:val="left"/>
        </w:tabs>
        <w:bidi w:val="0"/>
        <w:spacing w:before="0" w:after="200" w:line="470" w:lineRule="exact"/>
        <w:ind w:left="0" w:right="0" w:firstLine="0"/>
        <w:jc w:val="both"/>
        <w:rPr>
          <w:sz w:val="24"/>
          <w:szCs w:val="24"/>
        </w:rPr>
      </w:pPr>
      <w:bookmarkStart w:id="905" w:name="bookmark905"/>
      <w:bookmarkStart w:id="906" w:name="bookmark906"/>
      <w:bookmarkStart w:id="907" w:name="bookmark907"/>
      <w:bookmarkStart w:id="908" w:name="bookmark908"/>
      <w:r>
        <w:rPr>
          <w:rFonts w:ascii="Times New Roman" w:eastAsia="Times New Roman" w:hAnsi="Times New Roman" w:cs="Times New Roman"/>
          <w:b w:val="0"/>
          <w:bCs w:val="0"/>
          <w:color w:val="000000"/>
          <w:spacing w:val="0"/>
          <w:w w:val="100"/>
          <w:position w:val="0"/>
          <w:sz w:val="24"/>
          <w:szCs w:val="24"/>
        </w:rPr>
        <w:t>2</w:t>
      </w:r>
      <w:bookmarkEnd w:id="907"/>
      <w:r>
        <w:rPr>
          <w:rFonts w:ascii="Times New Roman" w:eastAsia="Times New Roman" w:hAnsi="Times New Roman" w:cs="Times New Roman"/>
          <w:b w:val="0"/>
          <w:bCs w:val="0"/>
          <w:color w:val="000000"/>
          <w:spacing w:val="0"/>
          <w:w w:val="100"/>
          <w:position w:val="0"/>
          <w:sz w:val="24"/>
          <w:szCs w:val="24"/>
        </w:rPr>
        <w:t>7</w:t>
      </w:r>
      <w:r>
        <w:rPr>
          <w:b w:val="0"/>
          <w:bCs w:val="0"/>
          <w:color w:val="000000"/>
          <w:spacing w:val="0"/>
          <w:w w:val="100"/>
          <w:position w:val="0"/>
          <w:sz w:val="24"/>
          <w:szCs w:val="24"/>
        </w:rPr>
        <w:t>、</w:t>
        <w:tab/>
        <w:t>租赁</w:t>
      </w:r>
      <w:bookmarkEnd w:id="905"/>
      <w:bookmarkEnd w:id="906"/>
      <w:bookmarkEnd w:id="908"/>
    </w:p>
    <w:p>
      <w:pPr>
        <w:pStyle w:val="Style44"/>
        <w:keepNext w:val="0"/>
        <w:keepLines w:val="0"/>
        <w:widowControl w:val="0"/>
        <w:shd w:val="clear" w:color="auto" w:fill="auto"/>
        <w:bidi w:val="0"/>
        <w:spacing w:before="0" w:after="0" w:line="475" w:lineRule="exact"/>
        <w:ind w:left="0" w:right="0" w:firstLine="520"/>
        <w:jc w:val="both"/>
      </w:pPr>
      <w:r>
        <w:rPr>
          <w:color w:val="000000"/>
          <w:spacing w:val="0"/>
          <w:w w:val="100"/>
          <w:position w:val="0"/>
        </w:rPr>
        <w:t>本公司将实质上转移了与资产所有权有关的全部风险和报酬的租赁确认为融资租赁，除融资 租赁之外的其他租赁确认为经营租赁。</w:t>
      </w:r>
    </w:p>
    <w:p>
      <w:pPr>
        <w:pStyle w:val="Style44"/>
        <w:keepNext w:val="0"/>
        <w:keepLines w:val="0"/>
        <w:widowControl w:val="0"/>
        <w:shd w:val="clear" w:color="auto" w:fill="auto"/>
        <w:tabs>
          <w:tab w:pos="1032" w:val="left"/>
        </w:tabs>
        <w:bidi w:val="0"/>
        <w:spacing w:before="0" w:after="0" w:line="475" w:lineRule="exact"/>
        <w:ind w:left="0" w:right="0" w:firstLine="520"/>
        <w:jc w:val="both"/>
      </w:pPr>
      <w:bookmarkStart w:id="909" w:name="bookmark909"/>
      <w:r>
        <w:rPr>
          <w:color w:val="000000"/>
          <w:spacing w:val="0"/>
          <w:w w:val="100"/>
          <w:position w:val="0"/>
        </w:rPr>
        <w:t>（</w:t>
      </w:r>
      <w:bookmarkEnd w:id="909"/>
      <w:r>
        <w:rPr>
          <w:rFonts w:ascii="Times New Roman" w:eastAsia="Times New Roman" w:hAnsi="Times New Roman" w:cs="Times New Roman"/>
          <w:color w:val="000000"/>
          <w:spacing w:val="0"/>
          <w:w w:val="100"/>
          <w:position w:val="0"/>
        </w:rPr>
        <w:t>1</w:t>
      </w:r>
      <w:r>
        <w:rPr>
          <w:color w:val="000000"/>
          <w:spacing w:val="0"/>
          <w:w w:val="100"/>
          <w:position w:val="0"/>
        </w:rPr>
        <w:t>）</w:t>
        <w:tab/>
        <w:t>经营租入资产</w:t>
      </w:r>
    </w:p>
    <w:p>
      <w:pPr>
        <w:pStyle w:val="Style44"/>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公司租入资产所支付的租赁费，在不扣除免租期的整个租赁期内，按直线法进行分摊，计入 当期费用。公司支付的与租赁交易相关的初始直接费用，计入当期费用。</w:t>
      </w:r>
    </w:p>
    <w:p>
      <w:pPr>
        <w:pStyle w:val="Style44"/>
        <w:keepNext w:val="0"/>
        <w:keepLines w:val="0"/>
        <w:widowControl w:val="0"/>
        <w:shd w:val="clear" w:color="auto" w:fill="auto"/>
        <w:bidi w:val="0"/>
        <w:spacing w:before="0" w:after="0" w:line="470" w:lineRule="exact"/>
        <w:ind w:left="0" w:right="0" w:firstLine="520"/>
        <w:jc w:val="both"/>
      </w:pPr>
      <w:r>
        <w:rPr>
          <w:color w:val="000000"/>
          <w:spacing w:val="0"/>
          <w:w w:val="100"/>
          <w:position w:val="0"/>
        </w:rPr>
        <w:t>资产出租方承担了应由公司承担的与租赁相关的费用时，公司将该部分费用从租金总额中扣 除，按扣除后的租金费用在租赁期内分摊，计入当期费用。</w:t>
      </w:r>
    </w:p>
    <w:p>
      <w:pPr>
        <w:pStyle w:val="Style44"/>
        <w:keepNext w:val="0"/>
        <w:keepLines w:val="0"/>
        <w:widowControl w:val="0"/>
        <w:shd w:val="clear" w:color="auto" w:fill="auto"/>
        <w:tabs>
          <w:tab w:pos="1032" w:val="left"/>
        </w:tabs>
        <w:bidi w:val="0"/>
        <w:spacing w:before="0" w:after="60" w:line="470" w:lineRule="exact"/>
        <w:ind w:left="0" w:right="0" w:firstLine="520"/>
        <w:jc w:val="both"/>
      </w:pPr>
      <w:bookmarkStart w:id="910" w:name="bookmark910"/>
      <w:r>
        <w:rPr>
          <w:color w:val="000000"/>
          <w:spacing w:val="0"/>
          <w:w w:val="100"/>
          <w:position w:val="0"/>
        </w:rPr>
        <w:t>（</w:t>
      </w:r>
      <w:bookmarkEnd w:id="910"/>
      <w:r>
        <w:rPr>
          <w:rFonts w:ascii="Times New Roman" w:eastAsia="Times New Roman" w:hAnsi="Times New Roman" w:cs="Times New Roman"/>
          <w:color w:val="000000"/>
          <w:spacing w:val="0"/>
          <w:w w:val="100"/>
          <w:position w:val="0"/>
        </w:rPr>
        <w:t>2</w:t>
      </w:r>
      <w:r>
        <w:rPr>
          <w:color w:val="000000"/>
          <w:spacing w:val="0"/>
          <w:w w:val="100"/>
          <w:position w:val="0"/>
        </w:rPr>
        <w:t>）</w:t>
        <w:tab/>
        <w:t>经营租出资产</w:t>
      </w:r>
    </w:p>
    <w:p>
      <w:pPr>
        <w:pStyle w:val="Style44"/>
        <w:keepNext w:val="0"/>
        <w:keepLines w:val="0"/>
        <w:widowControl w:val="0"/>
        <w:shd w:val="clear" w:color="auto" w:fill="auto"/>
        <w:bidi w:val="0"/>
        <w:spacing w:before="0" w:after="0" w:line="449" w:lineRule="exact"/>
        <w:ind w:left="0" w:right="0" w:firstLine="520"/>
        <w:jc w:val="both"/>
      </w:pPr>
      <w:r>
        <w:rPr>
          <w:color w:val="000000"/>
          <w:spacing w:val="0"/>
          <w:w w:val="100"/>
          <w:position w:val="0"/>
        </w:rPr>
        <w:t>公司出租资产所收取的租赁费，在不扣除免租期的整个租赁期内，按直线法进行分摊，确认 为租赁收入。公司支付的与租赁交易相关的初始直接费用，计入当期费用；如金额较大的，则予 以资本化，在整个租赁期间内按照与租赁收入确认相同的基础分期计入当期收益。</w:t>
      </w:r>
    </w:p>
    <w:p>
      <w:pPr>
        <w:pStyle w:val="Style44"/>
        <w:keepNext w:val="0"/>
        <w:keepLines w:val="0"/>
        <w:widowControl w:val="0"/>
        <w:shd w:val="clear" w:color="auto" w:fill="auto"/>
        <w:bidi w:val="0"/>
        <w:spacing w:before="0" w:after="200" w:line="480" w:lineRule="exact"/>
        <w:ind w:left="0" w:right="0" w:firstLine="520"/>
        <w:jc w:val="both"/>
      </w:pPr>
      <w:r>
        <w:rPr>
          <w:color w:val="000000"/>
          <w:spacing w:val="0"/>
          <w:w w:val="100"/>
          <w:position w:val="0"/>
        </w:rPr>
        <w:t>公司承担了应由承租方承担的与租赁相关的费用时，公司将该部分费用从租金收入总额中扣 除，按扣除后的租金费用在租赁期内分配。</w:t>
      </w:r>
    </w:p>
    <w:p>
      <w:pPr>
        <w:pStyle w:val="Style52"/>
        <w:keepNext/>
        <w:keepLines/>
        <w:widowControl w:val="0"/>
        <w:shd w:val="clear" w:color="auto" w:fill="auto"/>
        <w:tabs>
          <w:tab w:pos="522" w:val="left"/>
        </w:tabs>
        <w:bidi w:val="0"/>
        <w:spacing w:before="0" w:after="200" w:line="470" w:lineRule="exact"/>
        <w:ind w:left="0" w:right="0" w:firstLine="0"/>
        <w:jc w:val="left"/>
        <w:rPr>
          <w:sz w:val="24"/>
          <w:szCs w:val="24"/>
        </w:rPr>
      </w:pPr>
      <w:bookmarkStart w:id="911" w:name="bookmark911"/>
      <w:bookmarkStart w:id="912" w:name="bookmark912"/>
      <w:bookmarkStart w:id="913" w:name="bookmark913"/>
      <w:bookmarkStart w:id="914" w:name="bookmark914"/>
      <w:r>
        <w:rPr>
          <w:rFonts w:ascii="Times New Roman" w:eastAsia="Times New Roman" w:hAnsi="Times New Roman" w:cs="Times New Roman"/>
          <w:b w:val="0"/>
          <w:bCs w:val="0"/>
          <w:color w:val="000000"/>
          <w:spacing w:val="0"/>
          <w:w w:val="100"/>
          <w:position w:val="0"/>
          <w:sz w:val="24"/>
          <w:szCs w:val="24"/>
        </w:rPr>
        <w:t>2</w:t>
      </w:r>
      <w:bookmarkEnd w:id="913"/>
      <w:r>
        <w:rPr>
          <w:rFonts w:ascii="Times New Roman" w:eastAsia="Times New Roman" w:hAnsi="Times New Roman" w:cs="Times New Roman"/>
          <w:b w:val="0"/>
          <w:bCs w:val="0"/>
          <w:color w:val="000000"/>
          <w:spacing w:val="0"/>
          <w:w w:val="100"/>
          <w:position w:val="0"/>
          <w:sz w:val="24"/>
          <w:szCs w:val="24"/>
        </w:rPr>
        <w:t>8</w:t>
      </w:r>
      <w:r>
        <w:rPr>
          <w:b w:val="0"/>
          <w:bCs w:val="0"/>
          <w:color w:val="000000"/>
          <w:spacing w:val="0"/>
          <w:w w:val="100"/>
          <w:position w:val="0"/>
          <w:sz w:val="24"/>
          <w:szCs w:val="24"/>
        </w:rPr>
        <w:t>、</w:t>
        <w:tab/>
        <w:t>重要会计政策和会计估计变更</w:t>
      </w:r>
      <w:bookmarkEnd w:id="911"/>
      <w:bookmarkEnd w:id="912"/>
      <w:bookmarkEnd w:id="914"/>
    </w:p>
    <w:p>
      <w:pPr>
        <w:pStyle w:val="Style44"/>
        <w:keepNext w:val="0"/>
        <w:keepLines w:val="0"/>
        <w:widowControl w:val="0"/>
        <w:shd w:val="clear" w:color="auto" w:fill="auto"/>
        <w:bidi w:val="0"/>
        <w:spacing w:before="0" w:after="0" w:line="470" w:lineRule="exact"/>
        <w:ind w:left="0" w:right="0" w:firstLine="520"/>
        <w:jc w:val="both"/>
      </w:pPr>
      <w:bookmarkStart w:id="915" w:name="bookmark915"/>
      <w:r>
        <w:rPr>
          <w:color w:val="000000"/>
          <w:spacing w:val="0"/>
          <w:w w:val="100"/>
          <w:position w:val="0"/>
        </w:rPr>
        <w:t>（</w:t>
      </w:r>
      <w:bookmarkEnd w:id="915"/>
      <w:r>
        <w:rPr>
          <w:rFonts w:ascii="Times New Roman" w:eastAsia="Times New Roman" w:hAnsi="Times New Roman" w:cs="Times New Roman"/>
          <w:color w:val="000000"/>
          <w:spacing w:val="0"/>
          <w:w w:val="100"/>
          <w:position w:val="0"/>
        </w:rPr>
        <w:t>1</w:t>
      </w:r>
      <w:r>
        <w:rPr>
          <w:color w:val="000000"/>
          <w:spacing w:val="0"/>
          <w:w w:val="100"/>
          <w:position w:val="0"/>
        </w:rPr>
        <w:t>）会计政策变更</w:t>
      </w:r>
    </w:p>
    <w:p>
      <w:pPr>
        <w:pStyle w:val="Style44"/>
        <w:keepNext w:val="0"/>
        <w:keepLines w:val="0"/>
        <w:widowControl w:val="0"/>
        <w:numPr>
          <w:ilvl w:val="0"/>
          <w:numId w:val="39"/>
        </w:numPr>
        <w:shd w:val="clear" w:color="auto" w:fill="auto"/>
        <w:bidi w:val="0"/>
        <w:spacing w:before="0" w:after="0" w:line="470" w:lineRule="exact"/>
        <w:ind w:left="0" w:right="0" w:firstLine="520"/>
        <w:jc w:val="both"/>
      </w:pPr>
      <w:bookmarkStart w:id="916" w:name="bookmark916"/>
      <w:bookmarkEnd w:id="916"/>
      <w:r>
        <w:rPr>
          <w:color w:val="000000"/>
          <w:spacing w:val="0"/>
          <w:w w:val="100"/>
          <w:position w:val="0"/>
        </w:rPr>
        <w:t>执行新收入准则</w:t>
      </w:r>
    </w:p>
    <w:p>
      <w:pPr>
        <w:pStyle w:val="Style44"/>
        <w:keepNext w:val="0"/>
        <w:keepLines w:val="0"/>
        <w:widowControl w:val="0"/>
        <w:shd w:val="clear" w:color="auto" w:fill="auto"/>
        <w:bidi w:val="0"/>
        <w:spacing w:before="0" w:after="140" w:line="470" w:lineRule="exact"/>
        <w:ind w:left="0" w:right="0" w:firstLine="520"/>
        <w:jc w:val="both"/>
      </w:pPr>
      <w:r>
        <w:rPr>
          <w:color w:val="000000"/>
          <w:spacing w:val="0"/>
          <w:w w:val="100"/>
          <w:position w:val="0"/>
        </w:rPr>
        <w:t>财政部</w:t>
      </w:r>
      <w:r>
        <w:rPr>
          <w:rFonts w:ascii="Times New Roman" w:eastAsia="Times New Roman" w:hAnsi="Times New Roman" w:cs="Times New Roman"/>
          <w:color w:val="000000"/>
          <w:spacing w:val="0"/>
          <w:w w:val="100"/>
          <w:position w:val="0"/>
        </w:rPr>
        <w:t>2017</w:t>
      </w:r>
      <w:r>
        <w:rPr>
          <w:color w:val="000000"/>
          <w:spacing w:val="0"/>
          <w:w w:val="100"/>
          <w:position w:val="0"/>
        </w:rPr>
        <w:t>年颁布了修订后的《企业会计准则</w:t>
      </w:r>
      <w:r>
        <w:rPr>
          <w:rFonts w:ascii="Times New Roman" w:eastAsia="Times New Roman" w:hAnsi="Times New Roman" w:cs="Times New Roman"/>
          <w:color w:val="000000"/>
          <w:spacing w:val="0"/>
          <w:w w:val="100"/>
          <w:position w:val="0"/>
        </w:rPr>
        <w:t>14</w:t>
      </w:r>
      <w:r>
        <w:rPr>
          <w:color w:val="000000"/>
          <w:spacing w:val="0"/>
          <w:w w:val="100"/>
          <w:position w:val="0"/>
        </w:rPr>
        <w:t>号一收入》（以下简称“新收入准则），本 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年度财务报表按照新收入准则编制。根据新收入准则的相关规定，本公司对于首次执 行该准则的累积影响数调整</w:t>
      </w:r>
      <w:r>
        <w:rPr>
          <w:rFonts w:ascii="Times New Roman" w:eastAsia="Times New Roman" w:hAnsi="Times New Roman" w:cs="Times New Roman"/>
          <w:color w:val="000000"/>
          <w:spacing w:val="0"/>
          <w:w w:val="100"/>
          <w:position w:val="0"/>
        </w:rPr>
        <w:t>2020</w:t>
      </w:r>
      <w:r>
        <w:rPr>
          <w:color w:val="000000"/>
          <w:spacing w:val="0"/>
          <w:w w:val="100"/>
          <w:position w:val="0"/>
        </w:rPr>
        <w:t>年年初留存收益以及财务报表其他相关项目金额，不对比较财 务报表数据进行调整。执行新收入准则对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年期初报表项目影响如下：</w:t>
      </w:r>
    </w:p>
    <w:tbl>
      <w:tblPr>
        <w:tblOverlap w:val="never"/>
        <w:jc w:val="center"/>
        <w:tblLayout w:type="fixed"/>
      </w:tblPr>
      <w:tblGrid>
        <w:gridCol w:w="2731"/>
        <w:gridCol w:w="3773"/>
        <w:gridCol w:w="2357"/>
      </w:tblGrid>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报表项目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 w:right="0" w:firstLine="0"/>
              <w:jc w:val="center"/>
              <w:rPr>
                <w:sz w:val="20"/>
                <w:szCs w:val="20"/>
              </w:rPr>
            </w:pP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31</w:t>
            </w:r>
            <w:r>
              <w:rPr>
                <w:b/>
                <w:bCs/>
                <w:color w:val="000000"/>
                <w:spacing w:val="0"/>
                <w:w w:val="100"/>
                <w:position w:val="0"/>
                <w:sz w:val="20"/>
                <w:szCs w:val="20"/>
              </w:rPr>
              <w:t>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0"/>
                <w:szCs w:val="20"/>
              </w:rPr>
              <w:t>日</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合同负债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8,003,687.76</w:t>
            </w:r>
          </w:p>
        </w:tc>
      </w:tr>
      <w:tr>
        <w:trPr>
          <w:trHeight w:val="36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预收款项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8,752,844.32</w:t>
            </w:r>
          </w:p>
        </w:tc>
        <w:tc>
          <w:tcPr>
            <w:tcBorders>
              <w:top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其他流动负债</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749,156.56</w:t>
            </w:r>
          </w:p>
        </w:tc>
      </w:tr>
    </w:tbl>
    <w:p>
      <w:pPr>
        <w:widowControl w:val="0"/>
        <w:spacing w:after="279" w:line="1" w:lineRule="exact"/>
      </w:pPr>
    </w:p>
    <w:p>
      <w:pPr>
        <w:pStyle w:val="Style44"/>
        <w:keepNext w:val="0"/>
        <w:keepLines w:val="0"/>
        <w:widowControl w:val="0"/>
        <w:shd w:val="clear" w:color="auto" w:fill="auto"/>
        <w:bidi w:val="0"/>
        <w:spacing w:before="0" w:after="40" w:line="322" w:lineRule="exact"/>
        <w:ind w:left="520" w:right="0" w:firstLine="0"/>
        <w:jc w:val="both"/>
      </w:pPr>
      <w:r>
        <w:rPr>
          <w:color w:val="000000"/>
          <w:spacing w:val="0"/>
          <w:w w:val="100"/>
          <w:position w:val="0"/>
        </w:rPr>
        <w:t>与原收入准则相比，执行新收入准则对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年度财务报表相关项目的影响如下: 对合并资产负债表的影响：</w:t>
      </w:r>
      <w:r>
        <w:br w:type="page"/>
      </w:r>
    </w:p>
    <w:tbl>
      <w:tblPr>
        <w:tblOverlap w:val="never"/>
        <w:jc w:val="center"/>
        <w:tblLayout w:type="fixed"/>
      </w:tblPr>
      <w:tblGrid>
        <w:gridCol w:w="3494"/>
        <w:gridCol w:w="3254"/>
        <w:gridCol w:w="2261"/>
      </w:tblGrid>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b/>
                <w:bCs/>
                <w:color w:val="000000"/>
                <w:spacing w:val="0"/>
                <w:w w:val="100"/>
                <w:position w:val="0"/>
                <w:sz w:val="20"/>
                <w:szCs w:val="20"/>
              </w:rPr>
              <w:t>报表项目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20"/>
                <w:szCs w:val="20"/>
              </w:rPr>
            </w:pPr>
            <w:r>
              <w:rPr>
                <w:b/>
                <w:bCs/>
                <w:color w:val="000000"/>
                <w:spacing w:val="0"/>
                <w:w w:val="100"/>
                <w:position w:val="0"/>
                <w:sz w:val="20"/>
                <w:szCs w:val="20"/>
              </w:rPr>
              <w:t>新准则下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原准则下</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w:t>
            </w:r>
          </w:p>
        </w:tc>
        <w:tc>
          <w:tcPr>
            <w:gridSpan w:val="2"/>
            <w:tcBorders>
              <w:top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合同负债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8,092,035.13</w:t>
            </w:r>
          </w:p>
        </w:tc>
        <w:tc>
          <w:tcPr>
            <w:tcBorders>
              <w:top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预收款项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8,700,746.32</w:t>
            </w:r>
          </w:p>
        </w:tc>
      </w:tr>
      <w:tr>
        <w:trPr>
          <w:trHeight w:val="36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其他流动负债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608,711.19</w:t>
            </w:r>
          </w:p>
        </w:tc>
        <w:tc>
          <w:tcPr>
            <w:tcBorders>
              <w:top w:val="single" w:sz="4"/>
            </w:tcBorders>
            <w:shd w:val="clear" w:color="auto" w:fill="FFFFFF"/>
            <w:vAlign w:val="top"/>
          </w:tcPr>
          <w:p>
            <w:pPr>
              <w:widowControl w:val="0"/>
              <w:rPr>
                <w:sz w:val="10"/>
                <w:szCs w:val="10"/>
              </w:rPr>
            </w:pPr>
          </w:p>
        </w:tc>
      </w:tr>
      <w:tr>
        <w:trPr>
          <w:trHeight w:val="91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对合并利润表的影响：</w:t>
            </w:r>
          </w:p>
        </w:tc>
        <w:tc>
          <w:tcPr>
            <w:gridSpan w:val="2"/>
            <w:tcBorders>
              <w:top w:val="single" w:sz="4"/>
            </w:tcBorders>
            <w:shd w:val="clear" w:color="auto" w:fill="FFFFFF"/>
            <w:vAlign w:val="top"/>
          </w:tcPr>
          <w:p>
            <w:pPr>
              <w:widowControl w:val="0"/>
              <w:rPr>
                <w:sz w:val="10"/>
                <w:szCs w:val="10"/>
              </w:rPr>
            </w:pPr>
          </w:p>
        </w:tc>
      </w:tr>
      <w:tr>
        <w:trPr>
          <w:trHeight w:val="32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b/>
                <w:bCs/>
                <w:color w:val="000000"/>
                <w:spacing w:val="0"/>
                <w:w w:val="100"/>
                <w:position w:val="0"/>
                <w:sz w:val="20"/>
                <w:szCs w:val="20"/>
              </w:rPr>
              <w:t>报表项目</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20"/>
                <w:szCs w:val="20"/>
              </w:rPr>
            </w:pPr>
            <w:r>
              <w:rPr>
                <w:b/>
                <w:bCs/>
                <w:color w:val="000000"/>
                <w:spacing w:val="0"/>
                <w:w w:val="100"/>
                <w:position w:val="0"/>
                <w:sz w:val="20"/>
                <w:szCs w:val="20"/>
              </w:rPr>
              <w:t>新准则下</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原准则下</w:t>
            </w:r>
          </w:p>
        </w:tc>
      </w:tr>
      <w:tr>
        <w:trPr>
          <w:trHeight w:val="360" w:hRule="exact"/>
        </w:trPr>
        <w:tc>
          <w:tcPr>
            <w:vMerge/>
            <w:tcBorders/>
            <w:shd w:val="clear" w:color="auto" w:fill="FFFFFF"/>
            <w:vAlign w:val="center"/>
          </w:tcPr>
          <w:p>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本期发生额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本期发生额</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营业成本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220,379,284.65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214,997,413.76</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销售费用</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31,352,619.82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36,734,490.71</w:t>
            </w:r>
          </w:p>
        </w:tc>
      </w:tr>
    </w:tbl>
    <w:p>
      <w:pPr>
        <w:widowControl w:val="0"/>
        <w:spacing w:after="639" w:line="1" w:lineRule="exact"/>
      </w:pPr>
    </w:p>
    <w:p>
      <w:pPr>
        <w:pStyle w:val="Style42"/>
        <w:keepNext/>
        <w:keepLines/>
        <w:widowControl w:val="0"/>
        <w:shd w:val="clear" w:color="auto" w:fill="auto"/>
        <w:bidi w:val="0"/>
        <w:spacing w:before="0" w:after="340" w:line="240" w:lineRule="auto"/>
        <w:ind w:left="0" w:right="0" w:firstLine="0"/>
        <w:jc w:val="left"/>
      </w:pPr>
      <w:bookmarkStart w:id="917" w:name="bookmark917"/>
      <w:bookmarkStart w:id="918" w:name="bookmark918"/>
      <w:bookmarkStart w:id="919" w:name="bookmark919"/>
      <w:bookmarkStart w:id="920" w:name="bookmark920"/>
      <w:r>
        <w:rPr>
          <w:color w:val="000000"/>
          <w:spacing w:val="0"/>
          <w:w w:val="100"/>
          <w:position w:val="0"/>
        </w:rPr>
        <w:t>四</w:t>
      </w:r>
      <w:bookmarkEnd w:id="919"/>
      <w:r>
        <w:rPr>
          <w:color w:val="000000"/>
          <w:spacing w:val="0"/>
          <w:w w:val="100"/>
          <w:position w:val="0"/>
        </w:rPr>
        <w:t>、税项</w:t>
      </w:r>
      <w:bookmarkEnd w:id="917"/>
      <w:bookmarkEnd w:id="918"/>
      <w:bookmarkEnd w:id="920"/>
    </w:p>
    <w:p>
      <w:pPr>
        <w:pStyle w:val="Style52"/>
        <w:keepNext/>
        <w:keepLines/>
        <w:widowControl w:val="0"/>
        <w:shd w:val="clear" w:color="auto" w:fill="auto"/>
        <w:bidi w:val="0"/>
        <w:spacing w:before="0" w:after="280" w:line="240" w:lineRule="auto"/>
        <w:ind w:left="0" w:right="0" w:firstLine="0"/>
        <w:jc w:val="left"/>
        <w:rPr>
          <w:sz w:val="24"/>
          <w:szCs w:val="24"/>
        </w:rPr>
      </w:pPr>
      <w:bookmarkStart w:id="921" w:name="bookmark921"/>
      <w:bookmarkStart w:id="922" w:name="bookmark922"/>
      <w:bookmarkStart w:id="923" w:name="bookmark923"/>
      <w:r>
        <w:rPr>
          <w:rFonts w:ascii="Times New Roman" w:eastAsia="Times New Roman" w:hAnsi="Times New Roman" w:cs="Times New Roman"/>
          <w:b w:val="0"/>
          <w:bCs w:val="0"/>
          <w:color w:val="000000"/>
          <w:spacing w:val="0"/>
          <w:w w:val="100"/>
          <w:position w:val="0"/>
          <w:sz w:val="24"/>
          <w:szCs w:val="24"/>
        </w:rPr>
        <w:t>1</w:t>
      </w:r>
      <w:r>
        <w:rPr>
          <w:b w:val="0"/>
          <w:bCs w:val="0"/>
          <w:color w:val="000000"/>
          <w:spacing w:val="0"/>
          <w:w w:val="100"/>
          <w:position w:val="0"/>
          <w:sz w:val="24"/>
          <w:szCs w:val="24"/>
        </w:rPr>
        <w:t>、主要税种及税率</w:t>
      </w:r>
      <w:bookmarkEnd w:id="921"/>
      <w:bookmarkEnd w:id="922"/>
      <w:bookmarkEnd w:id="923"/>
    </w:p>
    <w:tbl>
      <w:tblPr>
        <w:tblOverlap w:val="never"/>
        <w:jc w:val="left"/>
        <w:tblLayout w:type="fixed"/>
      </w:tblPr>
      <w:tblGrid>
        <w:gridCol w:w="3754"/>
        <w:gridCol w:w="2530"/>
        <w:gridCol w:w="2832"/>
      </w:tblGrid>
      <w:tr>
        <w:trPr>
          <w:trHeight w:val="442" w:hRule="exact"/>
        </w:trPr>
        <w:tc>
          <w:tcPr>
            <w:tcBorders>
              <w:top w:val="single" w:sz="4"/>
            </w:tcBorders>
            <w:shd w:val="clear" w:color="auto" w:fill="FFFFFF"/>
            <w:vAlign w:val="center"/>
          </w:tcPr>
          <w:p>
            <w:pPr>
              <w:pStyle w:val="Style2"/>
              <w:keepNext w:val="0"/>
              <w:keepLines w:val="0"/>
              <w:framePr w:w="9115" w:h="7334" w:vSpace="274" w:wrap="notBeside" w:vAnchor="text" w:hAnchor="text" w:x="550" w:y="1"/>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税种</w:t>
            </w:r>
          </w:p>
        </w:tc>
        <w:tc>
          <w:tcPr>
            <w:tcBorders>
              <w:top w:val="single" w:sz="4"/>
            </w:tcBorders>
            <w:shd w:val="clear" w:color="auto" w:fill="FFFFFF"/>
            <w:vAlign w:val="center"/>
          </w:tcPr>
          <w:p>
            <w:pPr>
              <w:pStyle w:val="Style2"/>
              <w:keepNext w:val="0"/>
              <w:keepLines w:val="0"/>
              <w:framePr w:w="9115" w:h="7334" w:vSpace="274" w:wrap="notBeside" w:vAnchor="text" w:hAnchor="text" w:x="550" w:y="1"/>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计税依据</w:t>
            </w:r>
          </w:p>
        </w:tc>
        <w:tc>
          <w:tcPr>
            <w:tcBorders>
              <w:top w:val="single" w:sz="4"/>
            </w:tcBorders>
            <w:shd w:val="clear" w:color="auto" w:fill="FFFFFF"/>
            <w:vAlign w:val="center"/>
          </w:tcPr>
          <w:p>
            <w:pPr>
              <w:pStyle w:val="Style2"/>
              <w:keepNext w:val="0"/>
              <w:keepLines w:val="0"/>
              <w:framePr w:w="9115" w:h="7334" w:vSpace="274" w:wrap="notBeside" w:vAnchor="text" w:hAnchor="text" w:x="550" w:y="1"/>
              <w:widowControl w:val="0"/>
              <w:shd w:val="clear" w:color="auto" w:fill="auto"/>
              <w:bidi w:val="0"/>
              <w:spacing w:before="0" w:after="0" w:line="240" w:lineRule="auto"/>
              <w:ind w:left="1140" w:right="0" w:firstLine="0"/>
              <w:jc w:val="both"/>
            </w:pPr>
            <w:r>
              <w:rPr>
                <w:b/>
                <w:bCs/>
                <w:color w:val="000000"/>
                <w:spacing w:val="0"/>
                <w:w w:val="100"/>
                <w:position w:val="0"/>
                <w:sz w:val="20"/>
                <w:szCs w:val="20"/>
              </w:rPr>
              <w:t>税率</w:t>
            </w:r>
            <w:r>
              <w:rPr>
                <w:b/>
                <w:bCs/>
                <w:color w:val="000000"/>
                <w:spacing w:val="0"/>
                <w:w w:val="100"/>
                <w:position w:val="0"/>
              </w:rPr>
              <w:t>％</w:t>
            </w:r>
          </w:p>
        </w:tc>
      </w:tr>
      <w:tr>
        <w:trPr>
          <w:trHeight w:val="422" w:hRule="exact"/>
        </w:trPr>
        <w:tc>
          <w:tcPr>
            <w:tcBorders>
              <w:top w:val="single" w:sz="4"/>
            </w:tcBorders>
            <w:shd w:val="clear" w:color="auto" w:fill="FFFFFF"/>
            <w:vAlign w:val="center"/>
          </w:tcPr>
          <w:p>
            <w:pPr>
              <w:pStyle w:val="Style2"/>
              <w:keepNext w:val="0"/>
              <w:keepLines w:val="0"/>
              <w:framePr w:w="9115" w:h="7334" w:vSpace="274" w:wrap="notBeside" w:vAnchor="text" w:hAnchor="text" w:x="550" w:y="1"/>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增值税</w:t>
            </w:r>
          </w:p>
        </w:tc>
        <w:tc>
          <w:tcPr>
            <w:tcBorders>
              <w:top w:val="single" w:sz="4"/>
            </w:tcBorders>
            <w:shd w:val="clear" w:color="auto" w:fill="FFFFFF"/>
            <w:vAlign w:val="center"/>
          </w:tcPr>
          <w:p>
            <w:pPr>
              <w:pStyle w:val="Style2"/>
              <w:keepNext w:val="0"/>
              <w:keepLines w:val="0"/>
              <w:framePr w:w="9115" w:h="7334" w:vSpace="274" w:wrap="notBeside" w:vAnchor="text" w:hAnchor="text" w:x="550" w:y="1"/>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应税收入</w:t>
            </w:r>
          </w:p>
        </w:tc>
        <w:tc>
          <w:tcPr>
            <w:tcBorders>
              <w:top w:val="single" w:sz="4"/>
            </w:tcBorders>
            <w:shd w:val="clear" w:color="auto" w:fill="FFFFFF"/>
            <w:vAlign w:val="center"/>
          </w:tcPr>
          <w:p>
            <w:pPr>
              <w:pStyle w:val="Style2"/>
              <w:keepNext w:val="0"/>
              <w:keepLines w:val="0"/>
              <w:framePr w:w="9115" w:h="7334" w:vSpace="274" w:wrap="notBeside" w:vAnchor="text" w:hAnchor="text" w:x="550"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rPr>
              <w:t>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rPr>
              <w:t>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rPr>
              <w:t>5</w:t>
            </w:r>
          </w:p>
        </w:tc>
      </w:tr>
      <w:tr>
        <w:trPr>
          <w:trHeight w:val="427" w:hRule="exact"/>
        </w:trPr>
        <w:tc>
          <w:tcPr>
            <w:tcBorders>
              <w:top w:val="single" w:sz="4"/>
            </w:tcBorders>
            <w:shd w:val="clear" w:color="auto" w:fill="FFFFFF"/>
            <w:vAlign w:val="center"/>
          </w:tcPr>
          <w:p>
            <w:pPr>
              <w:pStyle w:val="Style2"/>
              <w:keepNext w:val="0"/>
              <w:keepLines w:val="0"/>
              <w:framePr w:w="9115" w:h="7334" w:vSpace="274" w:wrap="notBeside" w:vAnchor="text" w:hAnchor="text" w:x="550" w:y="1"/>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城市维护建设税</w:t>
            </w:r>
          </w:p>
        </w:tc>
        <w:tc>
          <w:tcPr>
            <w:tcBorders>
              <w:top w:val="single" w:sz="4"/>
            </w:tcBorders>
            <w:shd w:val="clear" w:color="auto" w:fill="FFFFFF"/>
            <w:vAlign w:val="center"/>
          </w:tcPr>
          <w:p>
            <w:pPr>
              <w:pStyle w:val="Style2"/>
              <w:keepNext w:val="0"/>
              <w:keepLines w:val="0"/>
              <w:framePr w:w="9115" w:h="7334" w:vSpace="274" w:wrap="notBeside" w:vAnchor="text" w:hAnchor="text" w:x="550" w:y="1"/>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应纳流转税额</w:t>
            </w:r>
          </w:p>
        </w:tc>
        <w:tc>
          <w:tcPr>
            <w:tcBorders>
              <w:top w:val="single" w:sz="4"/>
            </w:tcBorders>
            <w:shd w:val="clear" w:color="auto" w:fill="FFFFFF"/>
            <w:vAlign w:val="center"/>
          </w:tcPr>
          <w:p>
            <w:pPr>
              <w:pStyle w:val="Style2"/>
              <w:keepNext w:val="0"/>
              <w:keepLines w:val="0"/>
              <w:framePr w:w="9115" w:h="7334" w:vSpace="274" w:wrap="notBeside" w:vAnchor="text" w:hAnchor="text" w:x="550" w:y="1"/>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rPr>
              <w:t>5</w:t>
            </w:r>
          </w:p>
        </w:tc>
      </w:tr>
      <w:tr>
        <w:trPr>
          <w:trHeight w:val="427" w:hRule="exact"/>
        </w:trPr>
        <w:tc>
          <w:tcPr>
            <w:tcBorders>
              <w:top w:val="single" w:sz="4"/>
            </w:tcBorders>
            <w:shd w:val="clear" w:color="auto" w:fill="FFFFFF"/>
            <w:vAlign w:val="center"/>
          </w:tcPr>
          <w:p>
            <w:pPr>
              <w:pStyle w:val="Style2"/>
              <w:keepNext w:val="0"/>
              <w:keepLines w:val="0"/>
              <w:framePr w:w="9115" w:h="7334" w:vSpace="274" w:wrap="notBeside" w:vAnchor="text" w:hAnchor="text" w:x="550" w:y="1"/>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教育费附加</w:t>
            </w:r>
          </w:p>
        </w:tc>
        <w:tc>
          <w:tcPr>
            <w:tcBorders>
              <w:top w:val="single" w:sz="4"/>
            </w:tcBorders>
            <w:shd w:val="clear" w:color="auto" w:fill="FFFFFF"/>
            <w:vAlign w:val="center"/>
          </w:tcPr>
          <w:p>
            <w:pPr>
              <w:pStyle w:val="Style2"/>
              <w:keepNext w:val="0"/>
              <w:keepLines w:val="0"/>
              <w:framePr w:w="9115" w:h="7334" w:vSpace="274" w:wrap="notBeside" w:vAnchor="text" w:hAnchor="text" w:x="550" w:y="1"/>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应纳流转税额</w:t>
            </w:r>
          </w:p>
        </w:tc>
        <w:tc>
          <w:tcPr>
            <w:tcBorders>
              <w:top w:val="single" w:sz="4"/>
            </w:tcBorders>
            <w:shd w:val="clear" w:color="auto" w:fill="FFFFFF"/>
            <w:vAlign w:val="center"/>
          </w:tcPr>
          <w:p>
            <w:pPr>
              <w:pStyle w:val="Style2"/>
              <w:keepNext w:val="0"/>
              <w:keepLines w:val="0"/>
              <w:framePr w:w="9115" w:h="7334" w:vSpace="274" w:wrap="notBeside" w:vAnchor="text" w:hAnchor="text" w:x="550" w:y="1"/>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w:t>
            </w:r>
          </w:p>
        </w:tc>
      </w:tr>
      <w:tr>
        <w:trPr>
          <w:trHeight w:val="422" w:hRule="exact"/>
        </w:trPr>
        <w:tc>
          <w:tcPr>
            <w:tcBorders>
              <w:top w:val="single" w:sz="4"/>
            </w:tcBorders>
            <w:shd w:val="clear" w:color="auto" w:fill="FFFFFF"/>
            <w:vAlign w:val="center"/>
          </w:tcPr>
          <w:p>
            <w:pPr>
              <w:pStyle w:val="Style2"/>
              <w:keepNext w:val="0"/>
              <w:keepLines w:val="0"/>
              <w:framePr w:w="9115" w:h="7334" w:vSpace="274" w:wrap="notBeside" w:vAnchor="text" w:hAnchor="text" w:x="550" w:y="1"/>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地方教育附加</w:t>
            </w:r>
          </w:p>
        </w:tc>
        <w:tc>
          <w:tcPr>
            <w:tcBorders>
              <w:top w:val="single" w:sz="4"/>
            </w:tcBorders>
            <w:shd w:val="clear" w:color="auto" w:fill="FFFFFF"/>
            <w:vAlign w:val="center"/>
          </w:tcPr>
          <w:p>
            <w:pPr>
              <w:pStyle w:val="Style2"/>
              <w:keepNext w:val="0"/>
              <w:keepLines w:val="0"/>
              <w:framePr w:w="9115" w:h="7334" w:vSpace="274" w:wrap="notBeside" w:vAnchor="text" w:hAnchor="text" w:x="550" w:y="1"/>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应纳流转税额</w:t>
            </w:r>
          </w:p>
        </w:tc>
        <w:tc>
          <w:tcPr>
            <w:tcBorders>
              <w:top w:val="single" w:sz="4"/>
            </w:tcBorders>
            <w:shd w:val="clear" w:color="auto" w:fill="FFFFFF"/>
            <w:vAlign w:val="center"/>
          </w:tcPr>
          <w:p>
            <w:pPr>
              <w:pStyle w:val="Style2"/>
              <w:keepNext w:val="0"/>
              <w:keepLines w:val="0"/>
              <w:framePr w:w="9115" w:h="7334" w:vSpace="274" w:wrap="notBeside" w:vAnchor="text" w:hAnchor="text" w:x="550" w:y="1"/>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w:t>
            </w:r>
          </w:p>
        </w:tc>
      </w:tr>
      <w:tr>
        <w:trPr>
          <w:trHeight w:val="427" w:hRule="exact"/>
        </w:trPr>
        <w:tc>
          <w:tcPr>
            <w:tcBorders>
              <w:top w:val="single" w:sz="4"/>
            </w:tcBorders>
            <w:shd w:val="clear" w:color="auto" w:fill="FFFFFF"/>
            <w:vAlign w:val="center"/>
          </w:tcPr>
          <w:p>
            <w:pPr>
              <w:pStyle w:val="Style2"/>
              <w:keepNext w:val="0"/>
              <w:keepLines w:val="0"/>
              <w:framePr w:w="9115" w:h="7334" w:vSpace="274" w:wrap="notBeside" w:vAnchor="text" w:hAnchor="text" w:x="550" w:y="1"/>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企业所得税</w:t>
            </w:r>
          </w:p>
        </w:tc>
        <w:tc>
          <w:tcPr>
            <w:tcBorders>
              <w:top w:val="single" w:sz="4"/>
            </w:tcBorders>
            <w:shd w:val="clear" w:color="auto" w:fill="FFFFFF"/>
            <w:vAlign w:val="center"/>
          </w:tcPr>
          <w:p>
            <w:pPr>
              <w:pStyle w:val="Style2"/>
              <w:keepNext w:val="0"/>
              <w:keepLines w:val="0"/>
              <w:framePr w:w="9115" w:h="7334" w:vSpace="274" w:wrap="notBeside" w:vAnchor="text" w:hAnchor="text" w:x="550" w:y="1"/>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应纳税所得额</w:t>
            </w:r>
          </w:p>
        </w:tc>
        <w:tc>
          <w:tcPr>
            <w:tcBorders>
              <w:top w:val="single" w:sz="4"/>
            </w:tcBorders>
            <w:shd w:val="clear" w:color="auto" w:fill="FFFFFF"/>
            <w:vAlign w:val="center"/>
          </w:tcPr>
          <w:p>
            <w:pPr>
              <w:pStyle w:val="Style2"/>
              <w:keepNext w:val="0"/>
              <w:keepLines w:val="0"/>
              <w:framePr w:w="9115" w:h="7334" w:vSpace="274" w:wrap="notBeside" w:vAnchor="text" w:hAnchor="text" w:x="550" w:y="1"/>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w:t>
            </w:r>
            <w:r>
              <w:rPr>
                <w:color w:val="000000"/>
                <w:spacing w:val="0"/>
                <w:w w:val="100"/>
                <w:position w:val="0"/>
                <w:sz w:val="20"/>
                <w:szCs w:val="20"/>
              </w:rPr>
              <w:t>、</w:t>
            </w:r>
            <w:r>
              <w:rPr>
                <w:rFonts w:ascii="Times New Roman" w:eastAsia="Times New Roman" w:hAnsi="Times New Roman" w:cs="Times New Roman"/>
                <w:color w:val="000000"/>
                <w:spacing w:val="0"/>
                <w:w w:val="100"/>
                <w:position w:val="0"/>
              </w:rPr>
              <w:t>20</w:t>
            </w:r>
            <w:r>
              <w:rPr>
                <w:color w:val="000000"/>
                <w:spacing w:val="0"/>
                <w:w w:val="100"/>
                <w:position w:val="0"/>
                <w:sz w:val="20"/>
                <w:szCs w:val="20"/>
              </w:rPr>
              <w:t>、</w:t>
            </w:r>
            <w:r>
              <w:rPr>
                <w:rFonts w:ascii="Times New Roman" w:eastAsia="Times New Roman" w:hAnsi="Times New Roman" w:cs="Times New Roman"/>
                <w:color w:val="000000"/>
                <w:spacing w:val="0"/>
                <w:w w:val="100"/>
                <w:position w:val="0"/>
              </w:rPr>
              <w:t>17</w:t>
            </w:r>
            <w:r>
              <w:rPr>
                <w:color w:val="000000"/>
                <w:spacing w:val="0"/>
                <w:w w:val="100"/>
                <w:position w:val="0"/>
                <w:sz w:val="20"/>
                <w:szCs w:val="20"/>
              </w:rPr>
              <w:t>、</w:t>
            </w:r>
            <w:r>
              <w:rPr>
                <w:rFonts w:ascii="Times New Roman" w:eastAsia="Times New Roman" w:hAnsi="Times New Roman" w:cs="Times New Roman"/>
                <w:color w:val="000000"/>
                <w:spacing w:val="0"/>
                <w:w w:val="100"/>
                <w:position w:val="0"/>
              </w:rPr>
              <w:t>16.5</w:t>
            </w:r>
            <w:r>
              <w:rPr>
                <w:color w:val="000000"/>
                <w:spacing w:val="0"/>
                <w:w w:val="100"/>
                <w:position w:val="0"/>
                <w:sz w:val="20"/>
                <w:szCs w:val="20"/>
              </w:rPr>
              <w:t>、</w:t>
            </w:r>
            <w:r>
              <w:rPr>
                <w:rFonts w:ascii="Times New Roman" w:eastAsia="Times New Roman" w:hAnsi="Times New Roman" w:cs="Times New Roman"/>
                <w:color w:val="000000"/>
                <w:spacing w:val="0"/>
                <w:w w:val="100"/>
                <w:position w:val="0"/>
              </w:rPr>
              <w:t>15</w:t>
            </w:r>
          </w:p>
        </w:tc>
      </w:tr>
      <w:tr>
        <w:trPr>
          <w:trHeight w:val="715" w:hRule="exact"/>
        </w:trPr>
        <w:tc>
          <w:tcPr>
            <w:gridSpan w:val="2"/>
            <w:tcBorders>
              <w:top w:val="single" w:sz="4"/>
            </w:tcBorders>
            <w:shd w:val="clear" w:color="auto" w:fill="FFFFFF"/>
            <w:vAlign w:val="center"/>
          </w:tcPr>
          <w:p>
            <w:pPr>
              <w:pStyle w:val="Style2"/>
              <w:keepNext w:val="0"/>
              <w:keepLines w:val="0"/>
              <w:framePr w:w="9115" w:h="7334" w:vSpace="274" w:wrap="notBeside" w:vAnchor="text" w:hAnchor="text" w:x="550" w:y="1"/>
              <w:widowControl w:val="0"/>
              <w:shd w:val="clear" w:color="auto" w:fill="auto"/>
              <w:tabs>
                <w:tab w:pos="3164" w:val="left"/>
              </w:tabs>
              <w:bidi w:val="0"/>
              <w:spacing w:before="0" w:after="0" w:line="240" w:lineRule="auto"/>
              <w:ind w:left="0" w:right="0" w:firstLine="500"/>
              <w:jc w:val="left"/>
              <w:rPr>
                <w:sz w:val="20"/>
                <w:szCs w:val="20"/>
              </w:rPr>
            </w:pPr>
            <w:r>
              <w:rPr>
                <w:color w:val="000000"/>
                <w:spacing w:val="0"/>
                <w:w w:val="100"/>
                <w:position w:val="0"/>
                <w:sz w:val="20"/>
                <w:szCs w:val="20"/>
              </w:rPr>
              <w:t>户产税</w:t>
              <w:tab/>
              <w:t>按照房产原值的</w:t>
            </w:r>
            <w:r>
              <w:rPr>
                <w:rFonts w:ascii="Times New Roman" w:eastAsia="Times New Roman" w:hAnsi="Times New Roman" w:cs="Times New Roman"/>
                <w:color w:val="000000"/>
                <w:spacing w:val="0"/>
                <w:w w:val="100"/>
                <w:position w:val="0"/>
                <w:sz w:val="22"/>
                <w:szCs w:val="22"/>
              </w:rPr>
              <w:t xml:space="preserve">70% </w:t>
            </w:r>
            <w:r>
              <w:rPr>
                <w:color w:val="000000"/>
                <w:spacing w:val="0"/>
                <w:w w:val="100"/>
                <w:position w:val="0"/>
                <w:sz w:val="20"/>
                <w:szCs w:val="20"/>
              </w:rPr>
              <w:t>（或租金</w:t>
            </w:r>
          </w:p>
          <w:p>
            <w:pPr>
              <w:pStyle w:val="Style2"/>
              <w:keepNext w:val="0"/>
              <w:keepLines w:val="0"/>
              <w:framePr w:w="9115" w:h="7334" w:vSpace="274" w:wrap="notBeside" w:vAnchor="text" w:hAnchor="text" w:x="550" w:y="1"/>
              <w:widowControl w:val="0"/>
              <w:shd w:val="clear" w:color="auto" w:fill="auto"/>
              <w:tabs>
                <w:tab w:pos="3778" w:val="left"/>
              </w:tabs>
              <w:bidi w:val="0"/>
              <w:spacing w:before="0" w:after="0" w:line="240" w:lineRule="auto"/>
              <w:ind w:left="0" w:right="0" w:firstLine="500"/>
              <w:jc w:val="left"/>
              <w:rPr>
                <w:sz w:val="20"/>
                <w:szCs w:val="20"/>
              </w:rPr>
            </w:pPr>
            <w:r>
              <w:rPr>
                <w:color w:val="000000"/>
                <w:spacing w:val="0"/>
                <w:w w:val="100"/>
                <w:position w:val="0"/>
                <w:sz w:val="20"/>
                <w:szCs w:val="20"/>
              </w:rPr>
              <w:t>房产税</w:t>
              <w:tab/>
              <w:t>收入）为纳税基准</w:t>
            </w:r>
          </w:p>
        </w:tc>
        <w:tc>
          <w:tcPr>
            <w:tcBorders>
              <w:top w:val="single" w:sz="4"/>
            </w:tcBorders>
            <w:shd w:val="clear" w:color="auto" w:fill="FFFFFF"/>
            <w:vAlign w:val="center"/>
          </w:tcPr>
          <w:p>
            <w:pPr>
              <w:pStyle w:val="Style2"/>
              <w:keepNext w:val="0"/>
              <w:keepLines w:val="0"/>
              <w:framePr w:w="9115" w:h="7334" w:vSpace="274" w:wrap="notBeside" w:vAnchor="text" w:hAnchor="text" w:x="550"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sz w:val="20"/>
                <w:szCs w:val="20"/>
              </w:rPr>
              <w:t>、</w:t>
            </w:r>
            <w:r>
              <w:rPr>
                <w:rFonts w:ascii="Times New Roman" w:eastAsia="Times New Roman" w:hAnsi="Times New Roman" w:cs="Times New Roman"/>
                <w:color w:val="000000"/>
                <w:spacing w:val="0"/>
                <w:w w:val="100"/>
                <w:position w:val="0"/>
              </w:rPr>
              <w:t>12</w:t>
            </w:r>
          </w:p>
        </w:tc>
      </w:tr>
      <w:tr>
        <w:trPr>
          <w:trHeight w:val="566" w:hRule="exact"/>
        </w:trPr>
        <w:tc>
          <w:tcPr>
            <w:gridSpan w:val="3"/>
            <w:tcBorders>
              <w:top w:val="single" w:sz="4"/>
            </w:tcBorders>
            <w:shd w:val="clear" w:color="auto" w:fill="FFFFFF"/>
            <w:vAlign w:val="center"/>
          </w:tcPr>
          <w:p>
            <w:pPr>
              <w:pStyle w:val="Style2"/>
              <w:keepNext w:val="0"/>
              <w:keepLines w:val="0"/>
              <w:framePr w:w="9115" w:h="7334" w:vSpace="274" w:wrap="notBeside" w:vAnchor="text" w:hAnchor="text" w:x="550" w:y="1"/>
              <w:widowControl w:val="0"/>
              <w:shd w:val="clear" w:color="auto" w:fill="auto"/>
              <w:bidi w:val="0"/>
              <w:spacing w:before="0" w:after="0" w:line="240" w:lineRule="auto"/>
              <w:ind w:left="0" w:right="0" w:firstLine="500"/>
              <w:jc w:val="left"/>
            </w:pPr>
            <w:r>
              <w:rPr>
                <w:color w:val="000000"/>
                <w:spacing w:val="0"/>
                <w:w w:val="100"/>
                <w:position w:val="0"/>
              </w:rPr>
              <w:t>不同纳税主体所得税税率说明：</w:t>
            </w:r>
          </w:p>
        </w:tc>
      </w:tr>
      <w:tr>
        <w:trPr>
          <w:trHeight w:val="432" w:hRule="exact"/>
        </w:trPr>
        <w:tc>
          <w:tcPr>
            <w:tcBorders>
              <w:top w:val="single" w:sz="4"/>
            </w:tcBorders>
            <w:shd w:val="clear" w:color="auto" w:fill="FFFFFF"/>
            <w:vAlign w:val="center"/>
          </w:tcPr>
          <w:p>
            <w:pPr>
              <w:pStyle w:val="Style2"/>
              <w:keepNext w:val="0"/>
              <w:keepLines w:val="0"/>
              <w:framePr w:w="9115" w:h="7334" w:vSpace="274" w:wrap="notBeside" w:vAnchor="text" w:hAnchor="text" w:x="550" w:y="1"/>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纳税主体名称</w:t>
            </w:r>
          </w:p>
        </w:tc>
        <w:tc>
          <w:tcPr>
            <w:tcBorders>
              <w:top w:val="single" w:sz="4"/>
            </w:tcBorders>
            <w:shd w:val="clear" w:color="auto" w:fill="FFFFFF"/>
            <w:vAlign w:val="top"/>
          </w:tcPr>
          <w:p>
            <w:pPr>
              <w:framePr w:w="9115" w:h="7334" w:vSpace="274" w:wrap="notBeside" w:vAnchor="text" w:hAnchor="text" w:x="550" w:y="1"/>
              <w:widowControl w:val="0"/>
              <w:rPr>
                <w:sz w:val="10"/>
                <w:szCs w:val="10"/>
              </w:rPr>
            </w:pPr>
          </w:p>
        </w:tc>
        <w:tc>
          <w:tcPr>
            <w:tcBorders>
              <w:top w:val="single" w:sz="4"/>
            </w:tcBorders>
            <w:shd w:val="clear" w:color="auto" w:fill="FFFFFF"/>
            <w:vAlign w:val="center"/>
          </w:tcPr>
          <w:p>
            <w:pPr>
              <w:pStyle w:val="Style2"/>
              <w:keepNext w:val="0"/>
              <w:keepLines w:val="0"/>
              <w:framePr w:w="9115" w:h="7334" w:vSpace="274" w:wrap="notBeside" w:vAnchor="text" w:hAnchor="text" w:x="550" w:y="1"/>
              <w:widowControl w:val="0"/>
              <w:shd w:val="clear" w:color="auto" w:fill="auto"/>
              <w:bidi w:val="0"/>
              <w:spacing w:before="0" w:after="0" w:line="240" w:lineRule="auto"/>
              <w:ind w:left="0" w:right="0" w:firstLine="0"/>
              <w:jc w:val="left"/>
            </w:pPr>
            <w:r>
              <w:rPr>
                <w:b/>
                <w:bCs/>
                <w:color w:val="000000"/>
                <w:spacing w:val="0"/>
                <w:w w:val="100"/>
                <w:position w:val="0"/>
                <w:sz w:val="20"/>
                <w:szCs w:val="20"/>
              </w:rPr>
              <w:t>所得税税率</w:t>
            </w:r>
            <w:r>
              <w:rPr>
                <w:b/>
                <w:bCs/>
                <w:color w:val="000000"/>
                <w:spacing w:val="0"/>
                <w:w w:val="100"/>
                <w:position w:val="0"/>
              </w:rPr>
              <w:t>％</w:t>
            </w:r>
          </w:p>
        </w:tc>
      </w:tr>
      <w:tr>
        <w:trPr>
          <w:trHeight w:val="427" w:hRule="exact"/>
        </w:trPr>
        <w:tc>
          <w:tcPr>
            <w:tcBorders>
              <w:top w:val="single" w:sz="4"/>
            </w:tcBorders>
            <w:shd w:val="clear" w:color="auto" w:fill="FFFFFF"/>
            <w:vAlign w:val="center"/>
          </w:tcPr>
          <w:p>
            <w:pPr>
              <w:pStyle w:val="Style2"/>
              <w:keepNext w:val="0"/>
              <w:keepLines w:val="0"/>
              <w:framePr w:w="9115" w:h="7334" w:vSpace="274" w:wrap="notBeside" w:vAnchor="text" w:hAnchor="text" w:x="550" w:y="1"/>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国民技术股份有限公司（母公司）</w:t>
            </w:r>
          </w:p>
        </w:tc>
        <w:tc>
          <w:tcPr>
            <w:tcBorders>
              <w:top w:val="single" w:sz="4"/>
            </w:tcBorders>
            <w:shd w:val="clear" w:color="auto" w:fill="FFFFFF"/>
            <w:vAlign w:val="top"/>
          </w:tcPr>
          <w:p>
            <w:pPr>
              <w:framePr w:w="9115" w:h="7334" w:vSpace="274" w:wrap="notBeside" w:vAnchor="text" w:hAnchor="text" w:x="550" w:y="1"/>
              <w:widowControl w:val="0"/>
              <w:rPr>
                <w:sz w:val="10"/>
                <w:szCs w:val="10"/>
              </w:rPr>
            </w:pPr>
          </w:p>
        </w:tc>
        <w:tc>
          <w:tcPr>
            <w:tcBorders>
              <w:top w:val="single" w:sz="4"/>
            </w:tcBorders>
            <w:shd w:val="clear" w:color="auto" w:fill="FFFFFF"/>
            <w:vAlign w:val="center"/>
          </w:tcPr>
          <w:p>
            <w:pPr>
              <w:pStyle w:val="Style2"/>
              <w:keepNext w:val="0"/>
              <w:keepLines w:val="0"/>
              <w:framePr w:w="9115" w:h="7334" w:vSpace="274" w:wrap="notBeside" w:vAnchor="text" w:hAnchor="text" w:x="550" w:y="1"/>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w:t>
            </w:r>
          </w:p>
        </w:tc>
      </w:tr>
      <w:tr>
        <w:trPr>
          <w:trHeight w:val="422" w:hRule="exact"/>
        </w:trPr>
        <w:tc>
          <w:tcPr>
            <w:tcBorders>
              <w:top w:val="single" w:sz="4"/>
            </w:tcBorders>
            <w:shd w:val="clear" w:color="auto" w:fill="FFFFFF"/>
            <w:vAlign w:val="center"/>
          </w:tcPr>
          <w:p>
            <w:pPr>
              <w:pStyle w:val="Style2"/>
              <w:keepNext w:val="0"/>
              <w:keepLines w:val="0"/>
              <w:framePr w:w="9115" w:h="7334" w:vSpace="274" w:wrap="notBeside" w:vAnchor="text" w:hAnchor="text" w:x="550" w:y="1"/>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国民科技（深圳）有限公司</w:t>
            </w:r>
          </w:p>
        </w:tc>
        <w:tc>
          <w:tcPr>
            <w:tcBorders>
              <w:top w:val="single" w:sz="4"/>
            </w:tcBorders>
            <w:shd w:val="clear" w:color="auto" w:fill="FFFFFF"/>
            <w:vAlign w:val="top"/>
          </w:tcPr>
          <w:p>
            <w:pPr>
              <w:framePr w:w="9115" w:h="7334" w:vSpace="274" w:wrap="notBeside" w:vAnchor="text" w:hAnchor="text" w:x="550" w:y="1"/>
              <w:widowControl w:val="0"/>
              <w:rPr>
                <w:sz w:val="10"/>
                <w:szCs w:val="10"/>
              </w:rPr>
            </w:pPr>
          </w:p>
        </w:tc>
        <w:tc>
          <w:tcPr>
            <w:tcBorders>
              <w:top w:val="single" w:sz="4"/>
            </w:tcBorders>
            <w:shd w:val="clear" w:color="auto" w:fill="FFFFFF"/>
            <w:vAlign w:val="center"/>
          </w:tcPr>
          <w:p>
            <w:pPr>
              <w:pStyle w:val="Style2"/>
              <w:keepNext w:val="0"/>
              <w:keepLines w:val="0"/>
              <w:framePr w:w="9115" w:h="7334" w:vSpace="274" w:wrap="notBeside" w:vAnchor="text" w:hAnchor="text" w:x="550" w:y="1"/>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w:t>
            </w:r>
          </w:p>
        </w:tc>
      </w:tr>
      <w:tr>
        <w:trPr>
          <w:trHeight w:val="427" w:hRule="exact"/>
        </w:trPr>
        <w:tc>
          <w:tcPr>
            <w:tcBorders>
              <w:top w:val="single" w:sz="4"/>
            </w:tcBorders>
            <w:shd w:val="clear" w:color="auto" w:fill="FFFFFF"/>
            <w:vAlign w:val="center"/>
          </w:tcPr>
          <w:p>
            <w:pPr>
              <w:pStyle w:val="Style2"/>
              <w:keepNext w:val="0"/>
              <w:keepLines w:val="0"/>
              <w:framePr w:w="9115" w:h="7334" w:vSpace="274" w:wrap="notBeside" w:vAnchor="text" w:hAnchor="text" w:x="550" w:y="1"/>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深圳前海国民投资管理有限公司</w:t>
            </w:r>
          </w:p>
        </w:tc>
        <w:tc>
          <w:tcPr>
            <w:tcBorders>
              <w:top w:val="single" w:sz="4"/>
            </w:tcBorders>
            <w:shd w:val="clear" w:color="auto" w:fill="FFFFFF"/>
            <w:vAlign w:val="top"/>
          </w:tcPr>
          <w:p>
            <w:pPr>
              <w:framePr w:w="9115" w:h="7334" w:vSpace="274" w:wrap="notBeside" w:vAnchor="text" w:hAnchor="text" w:x="550" w:y="1"/>
              <w:widowControl w:val="0"/>
              <w:rPr>
                <w:sz w:val="10"/>
                <w:szCs w:val="10"/>
              </w:rPr>
            </w:pPr>
          </w:p>
        </w:tc>
        <w:tc>
          <w:tcPr>
            <w:tcBorders>
              <w:top w:val="single" w:sz="4"/>
            </w:tcBorders>
            <w:shd w:val="clear" w:color="auto" w:fill="FFFFFF"/>
            <w:vAlign w:val="center"/>
          </w:tcPr>
          <w:p>
            <w:pPr>
              <w:pStyle w:val="Style2"/>
              <w:keepNext w:val="0"/>
              <w:keepLines w:val="0"/>
              <w:framePr w:w="9115" w:h="7334" w:vSpace="274" w:wrap="notBeside" w:vAnchor="text" w:hAnchor="text" w:x="550" w:y="1"/>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w:t>
            </w:r>
          </w:p>
        </w:tc>
      </w:tr>
      <w:tr>
        <w:trPr>
          <w:trHeight w:val="422" w:hRule="exact"/>
        </w:trPr>
        <w:tc>
          <w:tcPr>
            <w:tcBorders>
              <w:top w:val="single" w:sz="4"/>
            </w:tcBorders>
            <w:shd w:val="clear" w:color="auto" w:fill="FFFFFF"/>
            <w:vAlign w:val="center"/>
          </w:tcPr>
          <w:p>
            <w:pPr>
              <w:pStyle w:val="Style2"/>
              <w:keepNext w:val="0"/>
              <w:keepLines w:val="0"/>
              <w:framePr w:w="9115" w:h="7334" w:vSpace="274" w:wrap="notBeside" w:vAnchor="text" w:hAnchor="text" w:x="550" w:y="1"/>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国民技术（香港）有限公司</w:t>
            </w:r>
          </w:p>
        </w:tc>
        <w:tc>
          <w:tcPr>
            <w:tcBorders>
              <w:top w:val="single" w:sz="4"/>
            </w:tcBorders>
            <w:shd w:val="clear" w:color="auto" w:fill="FFFFFF"/>
            <w:vAlign w:val="top"/>
          </w:tcPr>
          <w:p>
            <w:pPr>
              <w:framePr w:w="9115" w:h="7334" w:vSpace="274" w:wrap="notBeside" w:vAnchor="text" w:hAnchor="text" w:x="550" w:y="1"/>
              <w:widowControl w:val="0"/>
              <w:rPr>
                <w:sz w:val="10"/>
                <w:szCs w:val="10"/>
              </w:rPr>
            </w:pPr>
          </w:p>
        </w:tc>
        <w:tc>
          <w:tcPr>
            <w:tcBorders>
              <w:top w:val="single" w:sz="4"/>
            </w:tcBorders>
            <w:shd w:val="clear" w:color="auto" w:fill="FFFFFF"/>
            <w:vAlign w:val="center"/>
          </w:tcPr>
          <w:p>
            <w:pPr>
              <w:pStyle w:val="Style2"/>
              <w:keepNext w:val="0"/>
              <w:keepLines w:val="0"/>
              <w:framePr w:w="9115" w:h="7334" w:vSpace="274" w:wrap="notBeside" w:vAnchor="text" w:hAnchor="text" w:x="550" w:y="1"/>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16.5</w:t>
            </w:r>
          </w:p>
        </w:tc>
      </w:tr>
      <w:tr>
        <w:trPr>
          <w:trHeight w:val="427" w:hRule="exact"/>
        </w:trPr>
        <w:tc>
          <w:tcPr>
            <w:tcBorders>
              <w:top w:val="single" w:sz="4"/>
            </w:tcBorders>
            <w:shd w:val="clear" w:color="auto" w:fill="FFFFFF"/>
            <w:vAlign w:val="center"/>
          </w:tcPr>
          <w:p>
            <w:pPr>
              <w:pStyle w:val="Style2"/>
              <w:keepNext w:val="0"/>
              <w:keepLines w:val="0"/>
              <w:framePr w:w="9115" w:h="7334" w:vSpace="274" w:wrap="notBeside" w:vAnchor="text" w:hAnchor="text" w:x="550" w:y="1"/>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福建省星民智联科技有限公司</w:t>
            </w:r>
          </w:p>
        </w:tc>
        <w:tc>
          <w:tcPr>
            <w:tcBorders>
              <w:top w:val="single" w:sz="4"/>
            </w:tcBorders>
            <w:shd w:val="clear" w:color="auto" w:fill="FFFFFF"/>
            <w:vAlign w:val="top"/>
          </w:tcPr>
          <w:p>
            <w:pPr>
              <w:framePr w:w="9115" w:h="7334" w:vSpace="274" w:wrap="notBeside" w:vAnchor="text" w:hAnchor="text" w:x="550" w:y="1"/>
              <w:widowControl w:val="0"/>
              <w:rPr>
                <w:sz w:val="10"/>
                <w:szCs w:val="10"/>
              </w:rPr>
            </w:pPr>
          </w:p>
        </w:tc>
        <w:tc>
          <w:tcPr>
            <w:tcBorders>
              <w:top w:val="single" w:sz="4"/>
            </w:tcBorders>
            <w:shd w:val="clear" w:color="auto" w:fill="FFFFFF"/>
            <w:vAlign w:val="center"/>
          </w:tcPr>
          <w:p>
            <w:pPr>
              <w:pStyle w:val="Style2"/>
              <w:keepNext w:val="0"/>
              <w:keepLines w:val="0"/>
              <w:framePr w:w="9115" w:h="7334" w:vSpace="274" w:wrap="notBeside" w:vAnchor="text" w:hAnchor="text" w:x="550" w:y="1"/>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w:t>
            </w:r>
          </w:p>
        </w:tc>
      </w:tr>
      <w:tr>
        <w:trPr>
          <w:trHeight w:val="427" w:hRule="exact"/>
        </w:trPr>
        <w:tc>
          <w:tcPr>
            <w:tcBorders>
              <w:top w:val="single" w:sz="4"/>
            </w:tcBorders>
            <w:shd w:val="clear" w:color="auto" w:fill="FFFFFF"/>
            <w:vAlign w:val="center"/>
          </w:tcPr>
          <w:p>
            <w:pPr>
              <w:pStyle w:val="Style2"/>
              <w:keepNext w:val="0"/>
              <w:keepLines w:val="0"/>
              <w:framePr w:w="9115" w:h="7334" w:vSpace="274" w:wrap="notBeside" w:vAnchor="text" w:hAnchor="text" w:x="550" w:y="1"/>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Nations Technologies </w:t>
            </w:r>
            <w:r>
              <w:rPr>
                <w:color w:val="000000"/>
                <w:spacing w:val="0"/>
                <w:w w:val="100"/>
                <w:position w:val="0"/>
                <w:sz w:val="20"/>
                <w:szCs w:val="20"/>
              </w:rPr>
              <w:t>（</w:t>
            </w:r>
            <w:r>
              <w:rPr>
                <w:rFonts w:ascii="Times New Roman" w:eastAsia="Times New Roman" w:hAnsi="Times New Roman" w:cs="Times New Roman"/>
                <w:color w:val="000000"/>
                <w:spacing w:val="0"/>
                <w:w w:val="100"/>
                <w:position w:val="0"/>
              </w:rPr>
              <w:t>USA</w:t>
            </w:r>
            <w:r>
              <w:rPr>
                <w:color w:val="000000"/>
                <w:spacing w:val="0"/>
                <w:w w:val="100"/>
                <w:position w:val="0"/>
                <w:sz w:val="20"/>
                <w:szCs w:val="20"/>
              </w:rPr>
              <w:t>）</w:t>
            </w:r>
            <w:r>
              <w:rPr>
                <w:rFonts w:ascii="Times New Roman" w:eastAsia="Times New Roman" w:hAnsi="Times New Roman" w:cs="Times New Roman"/>
                <w:color w:val="000000"/>
                <w:spacing w:val="0"/>
                <w:w w:val="100"/>
                <w:position w:val="0"/>
              </w:rPr>
              <w:t>Inc</w:t>
            </w:r>
          </w:p>
        </w:tc>
        <w:tc>
          <w:tcPr>
            <w:tcBorders>
              <w:top w:val="single" w:sz="4"/>
            </w:tcBorders>
            <w:shd w:val="clear" w:color="auto" w:fill="FFFFFF"/>
            <w:vAlign w:val="top"/>
          </w:tcPr>
          <w:p>
            <w:pPr>
              <w:framePr w:w="9115" w:h="7334" w:vSpace="274" w:wrap="notBeside" w:vAnchor="text" w:hAnchor="text" w:x="550" w:y="1"/>
              <w:widowControl w:val="0"/>
              <w:rPr>
                <w:sz w:val="10"/>
                <w:szCs w:val="10"/>
              </w:rPr>
            </w:pPr>
          </w:p>
        </w:tc>
        <w:tc>
          <w:tcPr>
            <w:tcBorders>
              <w:top w:val="single" w:sz="4"/>
            </w:tcBorders>
            <w:shd w:val="clear" w:color="auto" w:fill="FFFFFF"/>
            <w:vAlign w:val="center"/>
          </w:tcPr>
          <w:p>
            <w:pPr>
              <w:pStyle w:val="Style2"/>
              <w:keepNext w:val="0"/>
              <w:keepLines w:val="0"/>
              <w:framePr w:w="9115" w:h="7334" w:vSpace="274" w:wrap="notBeside" w:vAnchor="text" w:hAnchor="text" w:x="550" w:y="1"/>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w:t>
            </w:r>
          </w:p>
        </w:tc>
      </w:tr>
      <w:tr>
        <w:trPr>
          <w:trHeight w:val="499" w:hRule="exact"/>
        </w:trPr>
        <w:tc>
          <w:tcPr>
            <w:gridSpan w:val="2"/>
            <w:tcBorders>
              <w:top w:val="single" w:sz="4"/>
              <w:bottom w:val="single" w:sz="4"/>
            </w:tcBorders>
            <w:shd w:val="clear" w:color="auto" w:fill="FFFFFF"/>
            <w:vAlign w:val="top"/>
          </w:tcPr>
          <w:p>
            <w:pPr>
              <w:pStyle w:val="Style2"/>
              <w:keepNext w:val="0"/>
              <w:keepLines w:val="0"/>
              <w:framePr w:w="9115" w:h="7334" w:vSpace="274" w:wrap="notBeside" w:vAnchor="text" w:hAnchor="text" w:x="550" w:y="1"/>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Nations Innovation Technologies Pte.Ltd</w:t>
            </w:r>
          </w:p>
        </w:tc>
        <w:tc>
          <w:tcPr>
            <w:tcBorders>
              <w:top w:val="single" w:sz="4"/>
              <w:bottom w:val="single" w:sz="4"/>
            </w:tcBorders>
            <w:shd w:val="clear" w:color="auto" w:fill="FFFFFF"/>
            <w:vAlign w:val="top"/>
          </w:tcPr>
          <w:p>
            <w:pPr>
              <w:pStyle w:val="Style2"/>
              <w:keepNext w:val="0"/>
              <w:keepLines w:val="0"/>
              <w:framePr w:w="9115" w:h="7334" w:vSpace="274" w:wrap="notBeside" w:vAnchor="text" w:hAnchor="text" w:x="550" w:y="1"/>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w:t>
            </w:r>
          </w:p>
        </w:tc>
      </w:tr>
    </w:tbl>
    <w:p>
      <w:pPr>
        <w:pStyle w:val="Style38"/>
        <w:keepNext w:val="0"/>
        <w:keepLines w:val="0"/>
        <w:framePr w:w="2899" w:h="264" w:hSpace="549" w:wrap="notBeside" w:vAnchor="text" w:hAnchor="text" w:x="1049" w:y="7307"/>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深圳市斯诺实业发展有限公司</w:t>
      </w:r>
    </w:p>
    <w:p>
      <w:pPr>
        <w:pStyle w:val="Style38"/>
        <w:keepNext w:val="0"/>
        <w:keepLines w:val="0"/>
        <w:framePr w:w="240" w:h="274" w:hSpace="549" w:wrap="notBeside" w:vAnchor="text" w:hAnchor="text" w:x="7524" w:y="733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p>
      <w:pPr>
        <w:widowControl w:val="0"/>
        <w:spacing w:line="1" w:lineRule="exact"/>
      </w:pPr>
    </w:p>
    <w:tbl>
      <w:tblPr>
        <w:tblOverlap w:val="never"/>
        <w:jc w:val="left"/>
        <w:tblLayout w:type="fixed"/>
      </w:tblPr>
      <w:tblGrid>
        <w:gridCol w:w="4723"/>
        <w:gridCol w:w="4392"/>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江西斯诺新能源有限公司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25</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内蒙古斯诺新材料科技有限公司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15</w:t>
            </w:r>
          </w:p>
        </w:tc>
      </w:tr>
      <w:tr>
        <w:trPr>
          <w:trHeight w:val="81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bookmarkStart w:id="924" w:name="bookmark924"/>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、优惠税负及批文</w:t>
            </w:r>
            <w:bookmarkEnd w:id="924"/>
          </w:p>
        </w:tc>
        <w:tc>
          <w:tcPr>
            <w:tcBorders>
              <w:top w:val="single" w:sz="4"/>
            </w:tcBorders>
            <w:shd w:val="clear" w:color="auto" w:fill="FFFFFF"/>
            <w:vAlign w:val="top"/>
          </w:tcPr>
          <w:p>
            <w:pPr>
              <w:widowControl w:val="0"/>
              <w:rPr>
                <w:sz w:val="10"/>
                <w:szCs w:val="10"/>
              </w:rPr>
            </w:pPr>
          </w:p>
        </w:tc>
      </w:tr>
      <w:tr>
        <w:trPr>
          <w:trHeight w:val="48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）增值税税收优惠</w:t>
            </w:r>
          </w:p>
        </w:tc>
        <w:tc>
          <w:tcPr>
            <w:tcBorders/>
            <w:shd w:val="clear" w:color="auto" w:fill="FFFFFF"/>
            <w:vAlign w:val="top"/>
          </w:tcPr>
          <w:p>
            <w:pPr>
              <w:widowControl w:val="0"/>
              <w:rPr>
                <w:sz w:val="10"/>
                <w:szCs w:val="10"/>
              </w:rPr>
            </w:pPr>
          </w:p>
        </w:tc>
      </w:tr>
    </w:tbl>
    <w:p>
      <w:pPr>
        <w:widowControl w:val="0"/>
        <w:spacing w:after="39" w:line="1" w:lineRule="exact"/>
      </w:pPr>
    </w:p>
    <w:p>
      <w:pPr>
        <w:pStyle w:val="Style44"/>
        <w:keepNext w:val="0"/>
        <w:keepLines w:val="0"/>
        <w:widowControl w:val="0"/>
        <w:shd w:val="clear" w:color="auto" w:fill="auto"/>
        <w:bidi w:val="0"/>
        <w:spacing w:before="0" w:after="40" w:line="470" w:lineRule="exact"/>
        <w:ind w:left="0" w:right="0" w:firstLine="500"/>
        <w:jc w:val="left"/>
      </w:pPr>
      <w:r>
        <w:rPr>
          <w:color w:val="000000"/>
          <w:spacing w:val="0"/>
          <w:w w:val="100"/>
          <w:position w:val="0"/>
        </w:rPr>
        <w:t>根据财政部、国家税务总局《关于软件产品增值税政策的通知》（财税</w:t>
      </w:r>
      <w:r>
        <w:rPr>
          <w:rFonts w:ascii="Times New Roman" w:eastAsia="Times New Roman" w:hAnsi="Times New Roman" w:cs="Times New Roman"/>
          <w:color w:val="000000"/>
          <w:spacing w:val="0"/>
          <w:w w:val="100"/>
          <w:position w:val="0"/>
        </w:rPr>
        <w:t>[2011]100</w:t>
      </w:r>
      <w:r>
        <w:rPr>
          <w:color w:val="000000"/>
          <w:spacing w:val="0"/>
          <w:w w:val="100"/>
          <w:position w:val="0"/>
        </w:rPr>
        <w:t>号）规定， 增值税一般纳税人销售其自行开发生产的软件产品，按</w:t>
      </w:r>
      <w:r>
        <w:rPr>
          <w:rFonts w:ascii="Times New Roman" w:eastAsia="Times New Roman" w:hAnsi="Times New Roman" w:cs="Times New Roman"/>
          <w:color w:val="000000"/>
          <w:spacing w:val="0"/>
          <w:w w:val="100"/>
          <w:position w:val="0"/>
        </w:rPr>
        <w:t>13%</w:t>
      </w:r>
      <w:r>
        <w:rPr>
          <w:color w:val="000000"/>
          <w:spacing w:val="0"/>
          <w:w w:val="100"/>
          <w:position w:val="0"/>
        </w:rPr>
        <w:t>税率征收增值税后，对其增值税实际 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的部分实行即征即退政策。本公司及全资子公司国民科技（深圳）有限公司享受上 述税收优惠。</w:t>
      </w:r>
    </w:p>
    <w:p>
      <w:pPr>
        <w:pStyle w:val="Style44"/>
        <w:keepNext w:val="0"/>
        <w:keepLines w:val="0"/>
        <w:widowControl w:val="0"/>
        <w:shd w:val="clear" w:color="auto" w:fill="auto"/>
        <w:bidi w:val="0"/>
        <w:spacing w:before="0" w:after="40" w:line="468" w:lineRule="exact"/>
        <w:ind w:left="0" w:right="0" w:firstLine="500"/>
        <w:jc w:val="left"/>
      </w:pPr>
      <w:r>
        <w:rPr>
          <w:color w:val="000000"/>
          <w:spacing w:val="0"/>
          <w:w w:val="100"/>
          <w:position w:val="0"/>
        </w:rPr>
        <w:t>根据财政部、国家税务总局《关于出口货物劳务增值税和消费税政策的通知》（财税</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39</w:t>
      </w:r>
      <w:r>
        <w:rPr>
          <w:color w:val="000000"/>
          <w:spacing w:val="0"/>
          <w:w w:val="100"/>
          <w:position w:val="0"/>
        </w:rPr>
        <w:t>号）规定，生产企业出口自产货物和视同自产货物及对外提供加工修理修配劳务，以及列名生 产企业出口非自产货物，免征增值税，相应的进项税额抵减应纳增值税额（不包括适用增值税即 征即退、先征后退政策的应纳增值税额），未抵减完的部分予以退还（以上简称免抵退税办法）。 本公司享受上述税收优惠。</w:t>
      </w:r>
    </w:p>
    <w:p>
      <w:pPr>
        <w:pStyle w:val="Style44"/>
        <w:keepNext w:val="0"/>
        <w:keepLines w:val="0"/>
        <w:widowControl w:val="0"/>
        <w:shd w:val="clear" w:color="auto" w:fill="auto"/>
        <w:bidi w:val="0"/>
        <w:spacing w:before="0" w:after="40" w:line="468" w:lineRule="exact"/>
        <w:ind w:left="0" w:right="0" w:firstLine="500"/>
        <w:jc w:val="left"/>
      </w:pPr>
      <w:bookmarkStart w:id="925" w:name="bookmark925"/>
      <w:r>
        <w:rPr>
          <w:color w:val="000000"/>
          <w:spacing w:val="0"/>
          <w:w w:val="100"/>
          <w:position w:val="0"/>
        </w:rPr>
        <w:t>（</w:t>
      </w:r>
      <w:bookmarkEnd w:id="925"/>
      <w:r>
        <w:rPr>
          <w:rFonts w:ascii="Times New Roman" w:eastAsia="Times New Roman" w:hAnsi="Times New Roman" w:cs="Times New Roman"/>
          <w:color w:val="000000"/>
          <w:spacing w:val="0"/>
          <w:w w:val="100"/>
          <w:position w:val="0"/>
        </w:rPr>
        <w:t>2</w:t>
      </w:r>
      <w:r>
        <w:rPr>
          <w:color w:val="000000"/>
          <w:spacing w:val="0"/>
          <w:w w:val="100"/>
          <w:position w:val="0"/>
        </w:rPr>
        <w:t>）企业所得税税收优惠</w:t>
      </w:r>
    </w:p>
    <w:p>
      <w:pPr>
        <w:pStyle w:val="Style44"/>
        <w:keepNext w:val="0"/>
        <w:keepLines w:val="0"/>
        <w:widowControl w:val="0"/>
        <w:shd w:val="clear" w:color="auto" w:fill="auto"/>
        <w:bidi w:val="0"/>
        <w:spacing w:before="0" w:after="40" w:line="470" w:lineRule="exact"/>
        <w:ind w:left="0" w:right="0" w:firstLine="5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日，本公司取得深圳市科技创新委员会、深圳市财政委员会、国家税务总局 深圳市税务局联合颁发的高新技术企业证书，证书编号</w:t>
      </w:r>
      <w:r>
        <w:rPr>
          <w:rFonts w:ascii="Times New Roman" w:eastAsia="Times New Roman" w:hAnsi="Times New Roman" w:cs="Times New Roman"/>
          <w:color w:val="000000"/>
          <w:spacing w:val="0"/>
          <w:w w:val="100"/>
          <w:position w:val="0"/>
        </w:rPr>
        <w:t>GR202044204159</w:t>
      </w:r>
      <w:r>
        <w:rPr>
          <w:color w:val="000000"/>
          <w:spacing w:val="0"/>
          <w:w w:val="100"/>
          <w:position w:val="0"/>
        </w:rPr>
        <w:t>，有效期</w:t>
      </w:r>
      <w:r>
        <w:rPr>
          <w:rFonts w:ascii="Times New Roman" w:eastAsia="Times New Roman" w:hAnsi="Times New Roman" w:cs="Times New Roman"/>
          <w:color w:val="000000"/>
          <w:spacing w:val="0"/>
          <w:w w:val="100"/>
          <w:position w:val="0"/>
        </w:rPr>
        <w:t>3</w:t>
      </w:r>
      <w:r>
        <w:rPr>
          <w:color w:val="000000"/>
          <w:spacing w:val="0"/>
          <w:w w:val="100"/>
          <w:position w:val="0"/>
        </w:rPr>
        <w:t>年，企业所 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44"/>
        <w:keepNext w:val="0"/>
        <w:keepLines w:val="0"/>
        <w:widowControl w:val="0"/>
        <w:shd w:val="clear" w:color="auto" w:fill="auto"/>
        <w:bidi w:val="0"/>
        <w:spacing w:before="0" w:after="40" w:line="466" w:lineRule="exact"/>
        <w:ind w:left="0" w:right="0" w:firstLine="5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日，子公司国民科技（深圳）有限公司取得深圳市科技创新委员会、深圳市 财政委员会、国家税务总局深圳市税务局联合颁发的高新技术企业证书，证书编号 </w:t>
      </w:r>
      <w:r>
        <w:rPr>
          <w:rFonts w:ascii="Times New Roman" w:eastAsia="Times New Roman" w:hAnsi="Times New Roman" w:cs="Times New Roman"/>
          <w:color w:val="000000"/>
          <w:spacing w:val="0"/>
          <w:w w:val="100"/>
          <w:position w:val="0"/>
        </w:rPr>
        <w:t>GR202044204365</w:t>
      </w:r>
      <w:r>
        <w:rPr>
          <w:color w:val="000000"/>
          <w:spacing w:val="0"/>
          <w:w w:val="100"/>
          <w:position w:val="0"/>
        </w:rPr>
        <w:t>，</w:t>
      </w:r>
      <w:r>
        <w:rPr>
          <w:color w:val="000000"/>
          <w:spacing w:val="0"/>
          <w:w w:val="100"/>
          <w:position w:val="0"/>
        </w:rPr>
        <w:t>有效期</w:t>
      </w:r>
      <w:r>
        <w:rPr>
          <w:rFonts w:ascii="Times New Roman" w:eastAsia="Times New Roman" w:hAnsi="Times New Roman" w:cs="Times New Roman"/>
          <w:color w:val="000000"/>
          <w:spacing w:val="0"/>
          <w:w w:val="100"/>
          <w:position w:val="0"/>
        </w:rPr>
        <w:t>3</w:t>
      </w:r>
      <w:r>
        <w:rPr>
          <w:color w:val="000000"/>
          <w:spacing w:val="0"/>
          <w:w w:val="100"/>
          <w:position w:val="0"/>
        </w:rPr>
        <w:t>年，企业所得税税率为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44"/>
        <w:keepNext w:val="0"/>
        <w:keepLines w:val="0"/>
        <w:widowControl w:val="0"/>
        <w:shd w:val="clear" w:color="auto" w:fill="auto"/>
        <w:bidi w:val="0"/>
        <w:spacing w:before="0" w:after="40" w:line="466" w:lineRule="exact"/>
        <w:ind w:left="0" w:right="0" w:firstLine="50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 xml:space="preserve">日，子公司深圳市斯诺实业发展有限公司取得深圳市科技创新委员会、深圳 市财政委员会、深圳市国家税务局、深圳市地方税务局联合颁发的高新技术企业证书，证书编号 </w:t>
      </w:r>
      <w:r>
        <w:rPr>
          <w:rFonts w:ascii="Times New Roman" w:eastAsia="Times New Roman" w:hAnsi="Times New Roman" w:cs="Times New Roman"/>
          <w:color w:val="000000"/>
          <w:spacing w:val="0"/>
          <w:w w:val="100"/>
          <w:position w:val="0"/>
        </w:rPr>
        <w:t>GR201944200893</w:t>
      </w:r>
      <w:r>
        <w:rPr>
          <w:color w:val="000000"/>
          <w:spacing w:val="0"/>
          <w:w w:val="100"/>
          <w:position w:val="0"/>
        </w:rPr>
        <w:t>，有效期</w:t>
      </w:r>
      <w:r>
        <w:rPr>
          <w:rFonts w:ascii="Times New Roman" w:eastAsia="Times New Roman" w:hAnsi="Times New Roman" w:cs="Times New Roman"/>
          <w:color w:val="000000"/>
          <w:spacing w:val="0"/>
          <w:w w:val="100"/>
          <w:position w:val="0"/>
        </w:rPr>
        <w:t>3</w:t>
      </w:r>
      <w:r>
        <w:rPr>
          <w:color w:val="000000"/>
          <w:spacing w:val="0"/>
          <w:w w:val="100"/>
          <w:position w:val="0"/>
        </w:rPr>
        <w:t>年，企业所得税税率</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44"/>
        <w:keepNext w:val="0"/>
        <w:keepLines w:val="0"/>
        <w:widowControl w:val="0"/>
        <w:shd w:val="clear" w:color="auto" w:fill="auto"/>
        <w:bidi w:val="0"/>
        <w:spacing w:before="0" w:after="40" w:line="466" w:lineRule="exact"/>
        <w:ind w:left="0" w:right="0" w:firstLine="500"/>
        <w:jc w:val="left"/>
      </w:pPr>
      <w:r>
        <w:rPr>
          <w:color w:val="000000"/>
          <w:spacing w:val="0"/>
          <w:w w:val="100"/>
          <w:position w:val="0"/>
        </w:rPr>
        <w:t>根据《财政部海关总署国家税务总局关于深入实施西部大开发战略有关税收政策问题的通知》 （财税（</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58</w:t>
      </w:r>
      <w:r>
        <w:rPr>
          <w:color w:val="000000"/>
          <w:spacing w:val="0"/>
          <w:w w:val="100"/>
          <w:position w:val="0"/>
        </w:rPr>
        <w:t>号）规定，自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日，对设在西部地区的鼓励 类产业企业减按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的税率征收企业所得税。根据《财政部税务总局国家发展改革委关于延续西 部大开发企业所得税政策的公告》（财政部公告</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23</w:t>
      </w:r>
      <w:r>
        <w:rPr>
          <w:color w:val="000000"/>
          <w:spacing w:val="0"/>
          <w:w w:val="100"/>
          <w:position w:val="0"/>
        </w:rPr>
        <w:t>号）规定，自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2030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日，对设在西部地区的鼓励类产业企业减按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的税率征收企业所得税。子公司内蒙</w:t>
      </w:r>
    </w:p>
    <w:p>
      <w:pPr>
        <w:pStyle w:val="Style44"/>
        <w:keepNext w:val="0"/>
        <w:keepLines w:val="0"/>
        <w:widowControl w:val="0"/>
        <w:shd w:val="clear" w:color="auto" w:fill="auto"/>
        <w:bidi w:val="0"/>
        <w:spacing w:before="0" w:after="0" w:line="473" w:lineRule="exact"/>
        <w:ind w:left="0" w:right="0" w:firstLine="140"/>
        <w:jc w:val="left"/>
      </w:pPr>
      <w:r>
        <w:rPr>
          <w:color w:val="000000"/>
          <w:spacing w:val="0"/>
          <w:w w:val="100"/>
          <w:position w:val="0"/>
        </w:rPr>
        <w:t>古斯诺新材料科技有限公司享受上述优惠。</w:t>
      </w:r>
    </w:p>
    <w:p>
      <w:pPr>
        <w:pStyle w:val="Style44"/>
        <w:keepNext w:val="0"/>
        <w:keepLines w:val="0"/>
        <w:widowControl w:val="0"/>
        <w:shd w:val="clear" w:color="auto" w:fill="auto"/>
        <w:tabs>
          <w:tab w:pos="1112" w:val="left"/>
        </w:tabs>
        <w:bidi w:val="0"/>
        <w:spacing w:before="0" w:after="0" w:line="473" w:lineRule="exact"/>
        <w:ind w:left="0" w:right="0" w:firstLine="600"/>
        <w:jc w:val="both"/>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rPr>
        <w:t>3</w:t>
      </w:r>
      <w:r>
        <w:rPr>
          <w:color w:val="000000"/>
          <w:spacing w:val="0"/>
          <w:w w:val="100"/>
          <w:position w:val="0"/>
        </w:rPr>
        <w:t>）</w:t>
        <w:tab/>
        <w:t>房产税优惠</w:t>
      </w:r>
    </w:p>
    <w:p>
      <w:pPr>
        <w:pStyle w:val="Style44"/>
        <w:keepNext w:val="0"/>
        <w:keepLines w:val="0"/>
        <w:widowControl w:val="0"/>
        <w:shd w:val="clear" w:color="auto" w:fill="auto"/>
        <w:bidi w:val="0"/>
        <w:spacing w:before="0" w:after="0" w:line="466" w:lineRule="exact"/>
        <w:ind w:left="140" w:right="0" w:firstLine="460"/>
        <w:jc w:val="both"/>
      </w:pPr>
      <w:r>
        <w:rPr>
          <w:color w:val="000000"/>
          <w:spacing w:val="0"/>
          <w:w w:val="100"/>
          <w:position w:val="0"/>
        </w:rPr>
        <w:t>根据《深圳经济特区房产税实施办法》纳税单位新建或购置的新建房屋（不包括违章建造的 房屋），自建成或购置之月起免纳房产税三年。本公司于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日期间享受上述税收优惠。</w:t>
      </w:r>
    </w:p>
    <w:p>
      <w:pPr>
        <w:pStyle w:val="Style44"/>
        <w:keepNext w:val="0"/>
        <w:keepLines w:val="0"/>
        <w:widowControl w:val="0"/>
        <w:shd w:val="clear" w:color="auto" w:fill="auto"/>
        <w:tabs>
          <w:tab w:pos="1112" w:val="left"/>
        </w:tabs>
        <w:bidi w:val="0"/>
        <w:spacing w:before="0" w:after="0" w:line="473" w:lineRule="exact"/>
        <w:ind w:left="0" w:right="0" w:firstLine="600"/>
        <w:jc w:val="both"/>
      </w:pPr>
      <w:bookmarkStart w:id="927" w:name="bookmark927"/>
      <w:r>
        <w:rPr>
          <w:color w:val="000000"/>
          <w:spacing w:val="0"/>
          <w:w w:val="100"/>
          <w:position w:val="0"/>
        </w:rPr>
        <w:t>（</w:t>
      </w:r>
      <w:bookmarkEnd w:id="927"/>
      <w:r>
        <w:rPr>
          <w:rFonts w:ascii="Times New Roman" w:eastAsia="Times New Roman" w:hAnsi="Times New Roman" w:cs="Times New Roman"/>
          <w:color w:val="000000"/>
          <w:spacing w:val="0"/>
          <w:w w:val="100"/>
          <w:position w:val="0"/>
        </w:rPr>
        <w:t>4</w:t>
      </w:r>
      <w:r>
        <w:rPr>
          <w:color w:val="000000"/>
          <w:spacing w:val="0"/>
          <w:w w:val="100"/>
          <w:position w:val="0"/>
        </w:rPr>
        <w:t>）</w:t>
        <w:tab/>
        <w:t>城镇土地使用税</w:t>
      </w:r>
    </w:p>
    <w:p>
      <w:pPr>
        <w:pStyle w:val="Style44"/>
        <w:keepNext w:val="0"/>
        <w:keepLines w:val="0"/>
        <w:widowControl w:val="0"/>
        <w:shd w:val="clear" w:color="auto" w:fill="auto"/>
        <w:bidi w:val="0"/>
        <w:spacing w:before="0" w:after="200" w:line="473" w:lineRule="exact"/>
        <w:ind w:left="140" w:right="0" w:firstLine="460"/>
        <w:jc w:val="both"/>
      </w:pPr>
      <w:r>
        <w:rPr>
          <w:color w:val="000000"/>
          <w:spacing w:val="0"/>
          <w:w w:val="100"/>
          <w:position w:val="0"/>
        </w:rPr>
        <w:t>根据《深圳市应对新型冠状病毒感染的肺炎疫情支持企业共渡难关的若干措施》对深圳市生 产经营企业免征</w:t>
      </w:r>
      <w:r>
        <w:rPr>
          <w:rFonts w:ascii="Times New Roman" w:eastAsia="Times New Roman" w:hAnsi="Times New Roman" w:cs="Times New Roman"/>
          <w:color w:val="000000"/>
          <w:spacing w:val="0"/>
          <w:w w:val="100"/>
          <w:position w:val="0"/>
        </w:rPr>
        <w:t>3</w:t>
      </w:r>
      <w:r>
        <w:rPr>
          <w:color w:val="000000"/>
          <w:spacing w:val="0"/>
          <w:w w:val="100"/>
          <w:position w:val="0"/>
        </w:rPr>
        <w:t>个月的房产税、城镇土地使用税。本公司于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日期间享受上述税收优惠。</w:t>
      </w:r>
    </w:p>
    <w:p>
      <w:pPr>
        <w:pStyle w:val="Style42"/>
        <w:keepNext/>
        <w:keepLines/>
        <w:widowControl w:val="0"/>
        <w:shd w:val="clear" w:color="auto" w:fill="auto"/>
        <w:bidi w:val="0"/>
        <w:spacing w:before="0" w:after="200" w:line="473" w:lineRule="exact"/>
        <w:ind w:left="0" w:right="0" w:firstLine="140"/>
        <w:jc w:val="both"/>
      </w:pPr>
      <w:bookmarkStart w:id="928" w:name="bookmark928"/>
      <w:bookmarkStart w:id="929" w:name="bookmark929"/>
      <w:bookmarkStart w:id="930" w:name="bookmark930"/>
      <w:bookmarkStart w:id="931" w:name="bookmark931"/>
      <w:r>
        <w:rPr>
          <w:color w:val="000000"/>
          <w:spacing w:val="0"/>
          <w:w w:val="100"/>
          <w:position w:val="0"/>
        </w:rPr>
        <w:t>五</w:t>
      </w:r>
      <w:bookmarkEnd w:id="930"/>
      <w:r>
        <w:rPr>
          <w:color w:val="000000"/>
          <w:spacing w:val="0"/>
          <w:w w:val="100"/>
          <w:position w:val="0"/>
        </w:rPr>
        <w:t>、合并财务报表项目注释</w:t>
      </w:r>
      <w:bookmarkEnd w:id="928"/>
      <w:bookmarkEnd w:id="929"/>
      <w:bookmarkEnd w:id="931"/>
    </w:p>
    <w:p>
      <w:pPr>
        <w:pStyle w:val="Style44"/>
        <w:keepNext w:val="0"/>
        <w:keepLines w:val="0"/>
        <w:widowControl w:val="0"/>
        <w:shd w:val="clear" w:color="auto" w:fill="auto"/>
        <w:bidi w:val="0"/>
        <w:spacing w:before="0" w:after="200" w:line="480" w:lineRule="exact"/>
        <w:ind w:left="140" w:right="0" w:firstLine="460"/>
        <w:jc w:val="both"/>
      </w:pPr>
      <w:r>
        <w:rPr>
          <w:color w:val="000000"/>
          <w:spacing w:val="0"/>
          <w:w w:val="100"/>
          <w:position w:val="0"/>
        </w:rPr>
        <w:t>以下注释项目除非特别指出，期初指【</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日】，期末指【</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本期指</w:t>
      </w:r>
      <w:r>
        <w:rPr>
          <w:rFonts w:ascii="Times New Roman" w:eastAsia="Times New Roman" w:hAnsi="Times New Roman" w:cs="Times New Roman"/>
          <w:color w:val="000000"/>
          <w:spacing w:val="0"/>
          <w:w w:val="100"/>
          <w:position w:val="0"/>
        </w:rPr>
        <w:t>2020</w:t>
      </w:r>
      <w:r>
        <w:rPr>
          <w:color w:val="000000"/>
          <w:spacing w:val="0"/>
          <w:w w:val="100"/>
          <w:position w:val="0"/>
        </w:rPr>
        <w:t>年度，上期指</w:t>
      </w:r>
      <w:r>
        <w:rPr>
          <w:rFonts w:ascii="Times New Roman" w:eastAsia="Times New Roman" w:hAnsi="Times New Roman" w:cs="Times New Roman"/>
          <w:color w:val="000000"/>
          <w:spacing w:val="0"/>
          <w:w w:val="100"/>
          <w:position w:val="0"/>
        </w:rPr>
        <w:t>2019</w:t>
      </w:r>
      <w:r>
        <w:rPr>
          <w:color w:val="000000"/>
          <w:spacing w:val="0"/>
          <w:w w:val="100"/>
          <w:position w:val="0"/>
        </w:rPr>
        <w:t>年度。</w:t>
      </w:r>
    </w:p>
    <w:p>
      <w:pPr>
        <w:pStyle w:val="Style52"/>
        <w:keepNext/>
        <w:keepLines/>
        <w:widowControl w:val="0"/>
        <w:shd w:val="clear" w:color="auto" w:fill="auto"/>
        <w:bidi w:val="0"/>
        <w:spacing w:before="0" w:after="280" w:line="473" w:lineRule="exact"/>
        <w:ind w:left="0" w:right="0" w:firstLine="140"/>
        <w:jc w:val="both"/>
        <w:rPr>
          <w:sz w:val="24"/>
          <w:szCs w:val="24"/>
        </w:rPr>
      </w:pPr>
      <w:bookmarkStart w:id="932" w:name="bookmark932"/>
      <w:bookmarkStart w:id="933" w:name="bookmark933"/>
      <w:bookmarkStart w:id="934" w:name="bookmark934"/>
      <w:r>
        <w:rPr>
          <w:rFonts w:ascii="Times New Roman" w:eastAsia="Times New Roman" w:hAnsi="Times New Roman" w:cs="Times New Roman"/>
          <w:b w:val="0"/>
          <w:bCs w:val="0"/>
          <w:color w:val="000000"/>
          <w:spacing w:val="0"/>
          <w:w w:val="100"/>
          <w:position w:val="0"/>
          <w:sz w:val="24"/>
          <w:szCs w:val="24"/>
        </w:rPr>
        <w:t>1</w:t>
      </w:r>
      <w:r>
        <w:rPr>
          <w:b w:val="0"/>
          <w:bCs w:val="0"/>
          <w:color w:val="000000"/>
          <w:spacing w:val="0"/>
          <w:w w:val="100"/>
          <w:position w:val="0"/>
          <w:sz w:val="24"/>
          <w:szCs w:val="24"/>
        </w:rPr>
        <w:t>、货币资金</w:t>
      </w:r>
      <w:bookmarkEnd w:id="932"/>
      <w:bookmarkEnd w:id="933"/>
      <w:bookmarkEnd w:id="934"/>
    </w:p>
    <w:tbl>
      <w:tblPr>
        <w:tblOverlap w:val="never"/>
        <w:jc w:val="center"/>
        <w:tblLayout w:type="fixed"/>
      </w:tblPr>
      <w:tblGrid>
        <w:gridCol w:w="4349"/>
        <w:gridCol w:w="2659"/>
        <w:gridCol w:w="2390"/>
      </w:tblGrid>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rPr>
              <w:t>2020.12.31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b/>
                <w:bCs/>
                <w:color w:val="000000"/>
                <w:spacing w:val="0"/>
                <w:w w:val="100"/>
                <w:position w:val="0"/>
              </w:rPr>
              <w:t>2019.12.31</w:t>
            </w:r>
          </w:p>
        </w:tc>
      </w:tr>
      <w:tr>
        <w:trPr>
          <w:trHeight w:val="3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库存现金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227,590.86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237,329.85</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银行存款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278,569,114.20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210,985,567.33</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其他货币资金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16,991,574.42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28,326,865.00</w:t>
            </w:r>
          </w:p>
        </w:tc>
      </w:tr>
      <w:tr>
        <w:trPr>
          <w:trHeight w:val="3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b/>
                <w:bCs/>
                <w:color w:val="000000"/>
                <w:spacing w:val="0"/>
                <w:w w:val="100"/>
                <w:position w:val="0"/>
              </w:rPr>
              <w:t>295,788,279.48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b/>
                <w:bCs/>
                <w:color w:val="000000"/>
                <w:spacing w:val="0"/>
                <w:w w:val="100"/>
                <w:position w:val="0"/>
              </w:rPr>
              <w:t>239,549,762.18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其中：存放在境外的款项总额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9,215,103.95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12,543,010.84</w:t>
            </w:r>
          </w:p>
        </w:tc>
      </w:tr>
      <w:tr>
        <w:trPr>
          <w:trHeight w:val="54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其中受限制的货币资金明细如下：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rPr>
              <w:t>2020.12.31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b/>
                <w:bCs/>
                <w:color w:val="000000"/>
                <w:spacing w:val="0"/>
                <w:w w:val="100"/>
                <w:position w:val="0"/>
              </w:rPr>
              <w:t>2019.12.31</w:t>
            </w:r>
          </w:p>
        </w:tc>
      </w:tr>
      <w:tr>
        <w:trPr>
          <w:trHeight w:val="3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银行承兑汇票保证金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16,981,634.84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28,324,564.79</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法院冻结资金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rPr>
              <w:t>2,612,583.82</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银行借款保证金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20,034,350.80</w:t>
            </w:r>
          </w:p>
        </w:tc>
        <w:tc>
          <w:tcPr>
            <w:tcBorders>
              <w:top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b/>
                <w:bCs/>
                <w:color w:val="000000"/>
                <w:spacing w:val="0"/>
                <w:w w:val="100"/>
                <w:position w:val="0"/>
              </w:rPr>
              <w:t>37,015,985.64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b/>
                <w:bCs/>
                <w:color w:val="000000"/>
                <w:spacing w:val="0"/>
                <w:w w:val="100"/>
                <w:position w:val="0"/>
              </w:rPr>
              <w:t>30,937,148.61</w:t>
            </w:r>
          </w:p>
        </w:tc>
      </w:tr>
    </w:tbl>
    <w:p>
      <w:pPr>
        <w:pStyle w:val="Style38"/>
        <w:keepNext w:val="0"/>
        <w:keepLines w:val="0"/>
        <w:widowControl w:val="0"/>
        <w:shd w:val="clear" w:color="auto" w:fill="auto"/>
        <w:bidi w:val="0"/>
        <w:spacing w:before="0" w:after="0" w:line="240" w:lineRule="auto"/>
        <w:ind w:left="130" w:right="0" w:firstLine="0"/>
        <w:jc w:val="left"/>
        <w:rPr>
          <w:sz w:val="24"/>
          <w:szCs w:val="24"/>
        </w:rPr>
      </w:pPr>
      <w:bookmarkStart w:id="935" w:name="bookmark935"/>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、交易性金融资产</w:t>
      </w:r>
      <w:bookmarkEnd w:id="935"/>
    </w:p>
    <w:p>
      <w:pPr>
        <w:widowControl w:val="0"/>
        <w:spacing w:after="399" w:line="1" w:lineRule="exact"/>
      </w:pPr>
    </w:p>
    <w:p>
      <w:pPr>
        <w:pStyle w:val="Style44"/>
        <w:keepNext w:val="0"/>
        <w:keepLines w:val="0"/>
        <w:widowControl w:val="0"/>
        <w:shd w:val="clear" w:color="auto" w:fill="auto"/>
        <w:bidi w:val="0"/>
        <w:spacing w:before="0" w:after="200" w:line="240" w:lineRule="auto"/>
        <w:ind w:left="0" w:right="0" w:firstLine="740"/>
        <w:jc w:val="both"/>
      </w:pPr>
      <w:bookmarkStart w:id="936" w:name="bookmark936"/>
      <w:r>
        <w:rPr>
          <w:rFonts w:ascii="Times New Roman" w:eastAsia="Times New Roman" w:hAnsi="Times New Roman" w:cs="Times New Roman"/>
          <w:color w:val="000000"/>
          <w:spacing w:val="0"/>
          <w:w w:val="100"/>
          <w:position w:val="0"/>
        </w:rPr>
        <w:t>（</w:t>
      </w:r>
      <w:bookmarkEnd w:id="936"/>
      <w:r>
        <w:rPr>
          <w:rFonts w:ascii="Times New Roman" w:eastAsia="Times New Roman" w:hAnsi="Times New Roman" w:cs="Times New Roman"/>
          <w:color w:val="000000"/>
          <w:spacing w:val="0"/>
          <w:w w:val="100"/>
          <w:position w:val="0"/>
        </w:rPr>
        <w:t>1</w:t>
      </w:r>
      <w:r>
        <w:rPr>
          <w:color w:val="000000"/>
          <w:spacing w:val="0"/>
          <w:w w:val="100"/>
          <w:position w:val="0"/>
        </w:rPr>
        <w:t>）交易性金融资产分类列示:</w:t>
      </w:r>
      <w:r>
        <w:br w:type="page"/>
      </w:r>
    </w:p>
    <w:tbl>
      <w:tblPr>
        <w:tblOverlap w:val="never"/>
        <w:jc w:val="center"/>
        <w:tblLayout w:type="fixed"/>
      </w:tblPr>
      <w:tblGrid>
        <w:gridCol w:w="4550"/>
        <w:gridCol w:w="2410"/>
        <w:gridCol w:w="2299"/>
      </w:tblGrid>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b/>
                <w:bCs/>
                <w:color w:val="000000"/>
                <w:spacing w:val="0"/>
                <w:w w:val="100"/>
                <w:position w:val="0"/>
              </w:rPr>
              <w:t>2020.12.31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b/>
                <w:bCs/>
                <w:color w:val="000000"/>
                <w:spacing w:val="0"/>
                <w:w w:val="100"/>
                <w:position w:val="0"/>
              </w:rPr>
              <w:t>2019.12.31</w:t>
            </w:r>
          </w:p>
        </w:tc>
      </w:tr>
      <w:tr>
        <w:trPr>
          <w:trHeight w:val="701"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78" w:lineRule="exact"/>
              <w:ind w:left="500" w:right="0" w:firstLine="0"/>
              <w:jc w:val="left"/>
              <w:rPr>
                <w:sz w:val="20"/>
                <w:szCs w:val="20"/>
              </w:rPr>
            </w:pPr>
            <w:r>
              <w:rPr>
                <w:color w:val="000000"/>
                <w:spacing w:val="0"/>
                <w:w w:val="100"/>
                <w:position w:val="0"/>
                <w:sz w:val="20"/>
                <w:szCs w:val="20"/>
              </w:rPr>
              <w:t>分类为以公允价值计量且其变动计入当 期损益的金融资产</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其中：权益工具投资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57,732,195.35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38,003,647.47</w:t>
            </w:r>
          </w:p>
        </w:tc>
      </w:tr>
      <w:tr>
        <w:trPr>
          <w:trHeight w:val="46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b/>
                <w:bCs/>
                <w:color w:val="000000"/>
                <w:spacing w:val="0"/>
                <w:w w:val="100"/>
                <w:position w:val="0"/>
              </w:rPr>
              <w:t>57,732,195.35</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b/>
                <w:bCs/>
                <w:color w:val="000000"/>
                <w:spacing w:val="0"/>
                <w:w w:val="100"/>
                <w:position w:val="0"/>
              </w:rPr>
              <w:t>38,003,647.47</w:t>
            </w:r>
          </w:p>
        </w:tc>
      </w:tr>
      <w:tr>
        <w:trPr>
          <w:trHeight w:val="566"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）交易性金融明细列示：</w:t>
            </w:r>
          </w:p>
        </w:tc>
      </w:tr>
      <w:tr>
        <w:trPr>
          <w:trHeight w:val="3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b/>
                <w:bCs/>
                <w:color w:val="000000"/>
                <w:spacing w:val="0"/>
                <w:w w:val="100"/>
                <w:position w:val="0"/>
              </w:rPr>
              <w:t>2020.12.31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b/>
                <w:bCs/>
                <w:color w:val="000000"/>
                <w:spacing w:val="0"/>
                <w:w w:val="100"/>
                <w:position w:val="0"/>
              </w:rPr>
              <w:t>2019.12.31</w:t>
            </w:r>
          </w:p>
        </w:tc>
      </w:tr>
      <w:tr>
        <w:trPr>
          <w:trHeight w:val="61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93" w:lineRule="exact"/>
              <w:ind w:left="140" w:right="0" w:firstLine="0"/>
              <w:jc w:val="left"/>
              <w:rPr>
                <w:sz w:val="20"/>
                <w:szCs w:val="20"/>
              </w:rPr>
            </w:pPr>
            <w:r>
              <w:rPr>
                <w:color w:val="000000"/>
                <w:spacing w:val="0"/>
                <w:w w:val="100"/>
                <w:position w:val="0"/>
                <w:sz w:val="20"/>
                <w:szCs w:val="20"/>
              </w:rPr>
              <w:t>中信资本（深圳）信息技术创业投资基金企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17,075,047.47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17,075,047.47</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Ambiq Micro,Inc.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40,657,147.88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20,928,600.00</w:t>
            </w:r>
          </w:p>
        </w:tc>
      </w:tr>
      <w:tr>
        <w:trPr>
          <w:trHeight w:val="39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b/>
                <w:bCs/>
                <w:color w:val="000000"/>
                <w:spacing w:val="0"/>
                <w:w w:val="100"/>
                <w:position w:val="0"/>
              </w:rPr>
              <w:t>57,732,195.35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b/>
                <w:bCs/>
                <w:color w:val="000000"/>
                <w:spacing w:val="0"/>
                <w:w w:val="100"/>
                <w:position w:val="0"/>
              </w:rPr>
              <w:t>38,003,647.47</w:t>
            </w:r>
          </w:p>
        </w:tc>
      </w:tr>
    </w:tbl>
    <w:p>
      <w:pPr>
        <w:pStyle w:val="Style44"/>
        <w:keepNext w:val="0"/>
        <w:keepLines w:val="0"/>
        <w:widowControl w:val="0"/>
        <w:shd w:val="clear" w:color="auto" w:fill="auto"/>
        <w:bidi w:val="0"/>
        <w:spacing w:before="0" w:after="0" w:line="471" w:lineRule="exact"/>
        <w:ind w:left="14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）中信资本（深圳）信息技术创业投资基金企业（有限合伙）于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日更 名为深圳思齐资本信息技术私募创业投资基金企业（有限合伙）。根据中信资本（深圳）信息技 术创业投资基金企业（有限合伙）可获得的关于被投资方业绩和经营的所有信息，公司判断成本 代表公允价值。</w:t>
      </w:r>
    </w:p>
    <w:p>
      <w:pPr>
        <w:pStyle w:val="Style128"/>
        <w:keepNext w:val="0"/>
        <w:keepLines w:val="0"/>
        <w:widowControl w:val="0"/>
        <w:shd w:val="clear" w:color="auto" w:fill="auto"/>
        <w:bidi w:val="0"/>
        <w:spacing w:before="0" w:after="220" w:line="471" w:lineRule="exact"/>
        <w:ind w:left="140" w:right="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）公司参与的是</w:t>
      </w:r>
      <w:r>
        <w:rPr>
          <w:color w:val="000000"/>
          <w:spacing w:val="0"/>
          <w:w w:val="100"/>
          <w:position w:val="0"/>
        </w:rPr>
        <w:t xml:space="preserve">Ambiq Micro,Inc, </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D</w:t>
      </w:r>
      <w:r>
        <w:rPr>
          <w:rFonts w:ascii="SimSun" w:eastAsia="SimSun" w:hAnsi="SimSun" w:cs="SimSun"/>
          <w:color w:val="000000"/>
          <w:spacing w:val="0"/>
          <w:w w:val="100"/>
          <w:position w:val="0"/>
        </w:rPr>
        <w:t>轮优先股的融资，每股成本为</w:t>
      </w:r>
      <w:r>
        <w:rPr>
          <w:color w:val="000000"/>
          <w:spacing w:val="0"/>
          <w:w w:val="100"/>
          <w:position w:val="0"/>
        </w:rPr>
        <w:t>0.88</w:t>
      </w:r>
      <w:r>
        <w:rPr>
          <w:rFonts w:ascii="SimSun" w:eastAsia="SimSun" w:hAnsi="SimSun" w:cs="SimSun"/>
          <w:color w:val="000000"/>
          <w:spacing w:val="0"/>
          <w:w w:val="100"/>
          <w:position w:val="0"/>
        </w:rPr>
        <w:t>美元。</w:t>
      </w:r>
      <w:r>
        <w:rPr>
          <w:color w:val="000000"/>
          <w:spacing w:val="0"/>
          <w:w w:val="100"/>
          <w:position w:val="0"/>
        </w:rPr>
        <w:t xml:space="preserve">2020 </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r>
        <w:rPr>
          <w:color w:val="000000"/>
          <w:spacing w:val="0"/>
          <w:w w:val="100"/>
          <w:position w:val="0"/>
        </w:rPr>
        <w:t>Ambiq Micro,Inc.</w:t>
      </w:r>
      <w:r>
        <w:rPr>
          <w:rFonts w:ascii="SimSun" w:eastAsia="SimSun" w:hAnsi="SimSun" w:cs="SimSun"/>
          <w:color w:val="000000"/>
          <w:spacing w:val="0"/>
          <w:w w:val="100"/>
          <w:position w:val="0"/>
        </w:rPr>
        <w:t>以每股</w:t>
      </w:r>
      <w:r>
        <w:rPr>
          <w:color w:val="000000"/>
          <w:spacing w:val="0"/>
          <w:w w:val="100"/>
          <w:position w:val="0"/>
        </w:rPr>
        <w:t>1.82799</w:t>
      </w:r>
      <w:r>
        <w:rPr>
          <w:rFonts w:ascii="SimSun" w:eastAsia="SimSun" w:hAnsi="SimSun" w:cs="SimSun"/>
          <w:color w:val="000000"/>
          <w:spacing w:val="0"/>
          <w:w w:val="100"/>
          <w:position w:val="0"/>
        </w:rPr>
        <w:t>美元发行</w:t>
      </w:r>
      <w:r>
        <w:rPr>
          <w:color w:val="000000"/>
          <w:spacing w:val="0"/>
          <w:w w:val="100"/>
          <w:position w:val="0"/>
        </w:rPr>
        <w:t>65,813,840</w:t>
      </w:r>
      <w:r>
        <w:rPr>
          <w:rFonts w:ascii="SimSun" w:eastAsia="SimSun" w:hAnsi="SimSun" w:cs="SimSun"/>
          <w:color w:val="000000"/>
          <w:spacing w:val="0"/>
          <w:w w:val="100"/>
          <w:position w:val="0"/>
        </w:rPr>
        <w:t>股</w:t>
      </w:r>
      <w:r>
        <w:rPr>
          <w:color w:val="000000"/>
          <w:spacing w:val="0"/>
          <w:w w:val="100"/>
          <w:position w:val="0"/>
        </w:rPr>
        <w:t>F</w:t>
      </w:r>
      <w:r>
        <w:rPr>
          <w:rFonts w:ascii="SimSun" w:eastAsia="SimSun" w:hAnsi="SimSun" w:cs="SimSun"/>
          <w:color w:val="000000"/>
          <w:spacing w:val="0"/>
          <w:w w:val="100"/>
          <w:position w:val="0"/>
        </w:rPr>
        <w:t xml:space="preserve">轮优先股。因此每股 </w:t>
      </w:r>
      <w:r>
        <w:rPr>
          <w:color w:val="000000"/>
          <w:spacing w:val="0"/>
          <w:w w:val="100"/>
          <w:position w:val="0"/>
        </w:rPr>
        <w:t>1.82799</w:t>
      </w:r>
      <w:r>
        <w:rPr>
          <w:rFonts w:ascii="SimSun" w:eastAsia="SimSun" w:hAnsi="SimSun" w:cs="SimSun"/>
          <w:color w:val="000000"/>
          <w:spacing w:val="0"/>
          <w:w w:val="100"/>
          <w:position w:val="0"/>
        </w:rPr>
        <w:t>美元可以视为公允价值。</w:t>
      </w:r>
    </w:p>
    <w:p>
      <w:pPr>
        <w:pStyle w:val="Style52"/>
        <w:keepNext/>
        <w:keepLines/>
        <w:widowControl w:val="0"/>
        <w:shd w:val="clear" w:color="auto" w:fill="auto"/>
        <w:bidi w:val="0"/>
        <w:spacing w:before="0" w:after="400" w:line="471" w:lineRule="exact"/>
        <w:ind w:left="0" w:right="0" w:firstLine="140"/>
        <w:jc w:val="left"/>
        <w:rPr>
          <w:sz w:val="24"/>
          <w:szCs w:val="24"/>
        </w:rPr>
      </w:pPr>
      <w:bookmarkStart w:id="937" w:name="bookmark937"/>
      <w:bookmarkStart w:id="938" w:name="bookmark938"/>
      <w:bookmarkStart w:id="939" w:name="bookmark939"/>
      <w:bookmarkStart w:id="940" w:name="bookmark940"/>
      <w:r>
        <w:rPr>
          <w:rFonts w:ascii="Times New Roman" w:eastAsia="Times New Roman" w:hAnsi="Times New Roman" w:cs="Times New Roman"/>
          <w:b w:val="0"/>
          <w:bCs w:val="0"/>
          <w:color w:val="000000"/>
          <w:spacing w:val="0"/>
          <w:w w:val="100"/>
          <w:position w:val="0"/>
          <w:sz w:val="24"/>
          <w:szCs w:val="24"/>
        </w:rPr>
        <w:t>3</w:t>
      </w:r>
      <w:bookmarkEnd w:id="939"/>
      <w:r>
        <w:rPr>
          <w:b w:val="0"/>
          <w:bCs w:val="0"/>
          <w:color w:val="000000"/>
          <w:spacing w:val="0"/>
          <w:w w:val="100"/>
          <w:position w:val="0"/>
          <w:sz w:val="24"/>
          <w:szCs w:val="24"/>
        </w:rPr>
        <w:t>、应收票据</w:t>
      </w:r>
      <w:bookmarkEnd w:id="937"/>
      <w:bookmarkEnd w:id="938"/>
      <w:bookmarkEnd w:id="940"/>
    </w:p>
    <w:p>
      <w:pPr>
        <w:pStyle w:val="Style38"/>
        <w:keepNext w:val="0"/>
        <w:keepLines w:val="0"/>
        <w:widowControl w:val="0"/>
        <w:shd w:val="clear" w:color="auto" w:fill="auto"/>
        <w:bidi w:val="0"/>
        <w:spacing w:before="0" w:after="0" w:line="240" w:lineRule="auto"/>
        <w:ind w:left="643"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p>
    <w:tbl>
      <w:tblPr>
        <w:tblOverlap w:val="never"/>
        <w:jc w:val="center"/>
        <w:tblLayout w:type="fixed"/>
      </w:tblPr>
      <w:tblGrid>
        <w:gridCol w:w="2486"/>
        <w:gridCol w:w="2266"/>
        <w:gridCol w:w="2270"/>
        <w:gridCol w:w="2160"/>
      </w:tblGrid>
      <w:tr>
        <w:trPr>
          <w:trHeight w:val="37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类别</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2020.12.31</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账面价值</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20,959,575.54</w:t>
            </w:r>
          </w:p>
        </w:tc>
        <w:tc>
          <w:tcPr>
            <w:tcBorders>
              <w:top w:val="single" w:sz="4"/>
            </w:tcBorders>
            <w:shd w:val="clear" w:color="auto" w:fill="FFFFFF"/>
            <w:vAlign w:val="top"/>
          </w:tcPr>
          <w:p>
            <w:pPr>
              <w:pStyle w:val="Style2"/>
              <w:keepNext w:val="0"/>
              <w:keepLines w:val="0"/>
              <w:widowControl w:val="0"/>
              <w:shd w:val="clear" w:color="auto" w:fill="auto"/>
              <w:tabs>
                <w:tab w:leader="dot" w:pos="2222" w:val="left"/>
              </w:tabs>
              <w:bidi w:val="0"/>
              <w:spacing w:before="0" w:after="40" w:line="240" w:lineRule="auto"/>
              <w:ind w:left="0" w:right="0" w:firstLine="0"/>
              <w:jc w:val="left"/>
            </w:pPr>
            <w:r>
              <w:rPr>
                <w:rFonts w:ascii="Times New Roman" w:eastAsia="Times New Roman" w:hAnsi="Times New Roman" w:cs="Times New Roman"/>
                <w:b/>
                <w:bCs/>
                <w:color w:val="000000"/>
                <w:spacing w:val="0"/>
                <w:w w:val="100"/>
                <w:position w:val="0"/>
              </w:rPr>
              <w:tab/>
            </w:r>
          </w:p>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209,595.76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20,749,979.78</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b/>
                <w:bCs/>
                <w:color w:val="000000"/>
                <w:spacing w:val="0"/>
                <w:w w:val="100"/>
                <w:position w:val="0"/>
              </w:rPr>
              <w:t>20,959,575.54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b/>
                <w:bCs/>
                <w:color w:val="000000"/>
                <w:spacing w:val="0"/>
                <w:w w:val="100"/>
                <w:position w:val="0"/>
              </w:rPr>
              <w:t>209,595.76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b/>
                <w:bCs/>
                <w:color w:val="000000"/>
                <w:spacing w:val="0"/>
                <w:w w:val="100"/>
                <w:position w:val="0"/>
              </w:rPr>
              <w:t>20,749,979.78</w:t>
            </w:r>
          </w:p>
        </w:tc>
      </w:tr>
    </w:tbl>
    <w:p>
      <w:pPr>
        <w:widowControl w:val="0"/>
        <w:spacing w:after="11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643" w:right="0" w:firstLine="0"/>
        <w:jc w:val="left"/>
      </w:pPr>
      <w:r>
        <w:rPr>
          <w:color w:val="000000"/>
          <w:spacing w:val="0"/>
          <w:w w:val="100"/>
          <w:position w:val="0"/>
        </w:rPr>
        <w:t>（续）</w:t>
      </w:r>
    </w:p>
    <w:tbl>
      <w:tblPr>
        <w:tblOverlap w:val="never"/>
        <w:jc w:val="center"/>
        <w:tblLayout w:type="fixed"/>
      </w:tblPr>
      <w:tblGrid>
        <w:gridCol w:w="2486"/>
        <w:gridCol w:w="2266"/>
        <w:gridCol w:w="2270"/>
        <w:gridCol w:w="2179"/>
      </w:tblGrid>
      <w:tr>
        <w:trPr>
          <w:trHeight w:val="37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类别</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2019.12.31</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账面价值</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18,411,128.90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18,411,128.90</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10,965,580.84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109,655.80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10,855,925.04</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b/>
                <w:bCs/>
                <w:color w:val="000000"/>
                <w:spacing w:val="0"/>
                <w:w w:val="100"/>
                <w:position w:val="0"/>
              </w:rPr>
              <w:t>29,376,709.74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b/>
                <w:bCs/>
                <w:color w:val="000000"/>
                <w:spacing w:val="0"/>
                <w:w w:val="100"/>
                <w:position w:val="0"/>
              </w:rPr>
              <w:t>109,655.80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b/>
                <w:bCs/>
                <w:color w:val="000000"/>
                <w:spacing w:val="0"/>
                <w:w w:val="100"/>
                <w:position w:val="0"/>
              </w:rPr>
              <w:t>29,267,053.94</w:t>
            </w:r>
          </w:p>
        </w:tc>
      </w:tr>
    </w:tbl>
    <w:p>
      <w:pPr>
        <w:sectPr>
          <w:headerReference w:type="default" r:id="rId107"/>
          <w:footerReference w:type="default" r:id="rId108"/>
          <w:headerReference w:type="even" r:id="rId109"/>
          <w:footerReference w:type="even" r:id="rId110"/>
          <w:footnotePr>
            <w:pos w:val="pageBottom"/>
            <w:numFmt w:val="decimal"/>
            <w:numRestart w:val="continuous"/>
          </w:footnotePr>
          <w:pgSz w:w="11900" w:h="16840"/>
          <w:pgMar w:top="1136" w:right="885" w:bottom="1275" w:left="801" w:header="0" w:footer="3" w:gutter="0"/>
          <w:cols w:space="720"/>
          <w:noEndnote/>
          <w:rtlGutter w:val="0"/>
          <w:docGrid w:linePitch="360"/>
        </w:sectPr>
      </w:pPr>
    </w:p>
    <w:p>
      <w:pPr>
        <w:pStyle w:val="Style44"/>
        <w:keepNext w:val="0"/>
        <w:keepLines w:val="0"/>
        <w:widowControl w:val="0"/>
        <w:shd w:val="clear" w:color="auto" w:fill="auto"/>
        <w:bidi w:val="0"/>
        <w:spacing w:before="0" w:after="240" w:line="240" w:lineRule="auto"/>
        <w:ind w:left="0" w:right="0" w:firstLine="600"/>
        <w:jc w:val="left"/>
      </w:pPr>
      <w:bookmarkStart w:id="941" w:name="bookmark941"/>
      <w:r>
        <w:rPr>
          <w:color w:val="000000"/>
          <w:spacing w:val="0"/>
          <w:w w:val="100"/>
          <w:position w:val="0"/>
        </w:rPr>
        <w:t>（</w:t>
      </w:r>
      <w:bookmarkEnd w:id="941"/>
      <w:r>
        <w:rPr>
          <w:rFonts w:ascii="Times New Roman" w:eastAsia="Times New Roman" w:hAnsi="Times New Roman" w:cs="Times New Roman"/>
          <w:color w:val="000000"/>
          <w:spacing w:val="0"/>
          <w:w w:val="100"/>
          <w:position w:val="0"/>
        </w:rPr>
        <w:t>2</w:t>
      </w:r>
      <w:r>
        <w:rPr>
          <w:color w:val="000000"/>
          <w:spacing w:val="0"/>
          <w:w w:val="100"/>
          <w:position w:val="0"/>
        </w:rPr>
        <w:t>）坏账准备</w:t>
      </w:r>
    </w:p>
    <w:p>
      <w:pPr>
        <w:pStyle w:val="Style44"/>
        <w:keepNext w:val="0"/>
        <w:keepLines w:val="0"/>
        <w:widowControl w:val="0"/>
        <w:shd w:val="clear" w:color="auto" w:fill="auto"/>
        <w:bidi w:val="0"/>
        <w:spacing w:before="0" w:after="200" w:line="240" w:lineRule="auto"/>
        <w:ind w:left="0" w:right="0" w:firstLine="600"/>
        <w:jc w:val="left"/>
      </w:pPr>
      <w:r>
        <w:rPr>
          <w:color w:val="000000"/>
          <w:spacing w:val="0"/>
          <w:w w:val="100"/>
          <w:position w:val="0"/>
        </w:rPr>
        <w:t>本公司对应收票据，无论是否存在重大融资成分，均按照整个存续期的预期信用损失计量损</w:t>
      </w:r>
    </w:p>
    <w:p>
      <w:pPr>
        <w:pStyle w:val="Style38"/>
        <w:keepNext w:val="0"/>
        <w:keepLines w:val="0"/>
        <w:widowControl w:val="0"/>
        <w:shd w:val="clear" w:color="auto" w:fill="auto"/>
        <w:bidi w:val="0"/>
        <w:spacing w:before="0" w:after="0" w:line="240" w:lineRule="auto"/>
        <w:ind w:left="139" w:right="0" w:firstLine="0"/>
        <w:jc w:val="left"/>
      </w:pPr>
      <w:r>
        <w:rPr>
          <w:color w:val="000000"/>
          <w:spacing w:val="0"/>
          <w:w w:val="100"/>
          <w:position w:val="0"/>
        </w:rPr>
        <w:t>失准备。</w:t>
      </w:r>
    </w:p>
    <w:tbl>
      <w:tblPr>
        <w:tblOverlap w:val="never"/>
        <w:jc w:val="center"/>
        <w:tblLayout w:type="fixed"/>
      </w:tblPr>
      <w:tblGrid>
        <w:gridCol w:w="1594"/>
        <w:gridCol w:w="1546"/>
        <w:gridCol w:w="1550"/>
        <w:gridCol w:w="1546"/>
        <w:gridCol w:w="1550"/>
        <w:gridCol w:w="1579"/>
      </w:tblGrid>
      <w:tr>
        <w:trPr>
          <w:trHeight w:val="317"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类别</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2020.12.31</w:t>
            </w:r>
          </w:p>
        </w:tc>
      </w:tr>
      <w:tr>
        <w:trPr>
          <w:trHeight w:val="336"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账面价值</w:t>
            </w:r>
          </w:p>
        </w:tc>
      </w:tr>
      <w:tr>
        <w:trPr>
          <w:trHeight w:val="336"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比例（</w:t>
            </w:r>
            <w:r>
              <w:rPr>
                <w:rFonts w:ascii="Times New Roman" w:eastAsia="Times New Roman" w:hAnsi="Times New Roman" w:cs="Times New Roman"/>
                <w:b/>
                <w:bCs/>
                <w:color w:val="000000"/>
                <w:spacing w:val="0"/>
                <w:w w:val="100"/>
                <w:position w:val="0"/>
                <w:sz w:val="22"/>
                <w:szCs w:val="22"/>
              </w:rPr>
              <w:t>%</w:t>
            </w:r>
            <w:r>
              <w:rPr>
                <w:b/>
                <w:bCs/>
                <w:color w:val="000000"/>
                <w:spacing w:val="0"/>
                <w:w w:val="100"/>
                <w:position w:val="0"/>
                <w:sz w:val="20"/>
                <w:szCs w:val="2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比例（</w:t>
            </w:r>
            <w:r>
              <w:rPr>
                <w:rFonts w:ascii="Times New Roman" w:eastAsia="Times New Roman" w:hAnsi="Times New Roman" w:cs="Times New Roman"/>
                <w:b/>
                <w:bCs/>
                <w:color w:val="000000"/>
                <w:spacing w:val="0"/>
                <w:w w:val="100"/>
                <w:position w:val="0"/>
                <w:sz w:val="22"/>
                <w:szCs w:val="22"/>
              </w:rPr>
              <w:t>%</w:t>
            </w:r>
            <w:r>
              <w:rPr>
                <w:b/>
                <w:bCs/>
                <w:color w:val="000000"/>
                <w:spacing w:val="0"/>
                <w:w w:val="100"/>
                <w:position w:val="0"/>
                <w:sz w:val="20"/>
                <w:szCs w:val="20"/>
              </w:rPr>
              <w:t>）</w:t>
            </w:r>
          </w:p>
        </w:tc>
        <w:tc>
          <w:tcPr>
            <w:vMerge/>
            <w:tcBorders>
              <w:left w:val="single" w:sz="4"/>
            </w:tcBorders>
            <w:shd w:val="clear" w:color="auto" w:fill="FFFFFF"/>
            <w:vAlign w:val="center"/>
          </w:tcPr>
          <w:p>
            <w:pPr/>
          </w:p>
        </w:tc>
      </w:tr>
      <w:tr>
        <w:trPr>
          <w:trHeight w:val="90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307" w:lineRule="exact"/>
              <w:ind w:left="140" w:right="0" w:firstLine="0"/>
              <w:jc w:val="left"/>
              <w:rPr>
                <w:sz w:val="20"/>
                <w:szCs w:val="20"/>
              </w:rPr>
            </w:pPr>
            <w:r>
              <w:rPr>
                <w:color w:val="000000"/>
                <w:spacing w:val="0"/>
                <w:w w:val="100"/>
                <w:position w:val="0"/>
                <w:sz w:val="20"/>
                <w:szCs w:val="20"/>
              </w:rPr>
              <w:t>按单项计提坏 账准备的应收 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88" w:lineRule="exact"/>
              <w:ind w:left="140" w:right="0" w:firstLine="0"/>
              <w:jc w:val="left"/>
              <w:rPr>
                <w:sz w:val="20"/>
                <w:szCs w:val="20"/>
              </w:rPr>
            </w:pPr>
            <w:r>
              <w:rPr>
                <w:color w:val="000000"/>
                <w:spacing w:val="0"/>
                <w:w w:val="100"/>
                <w:position w:val="0"/>
                <w:sz w:val="20"/>
                <w:szCs w:val="20"/>
              </w:rPr>
              <w:t>按组合计提坏 账准备的应收 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20,959,575.54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209,595.76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20,749,979.78</w:t>
            </w:r>
          </w:p>
        </w:tc>
      </w:tr>
      <w:tr>
        <w:trPr>
          <w:trHeight w:val="45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20,959,575.54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bCs/>
                <w:color w:val="000000"/>
                <w:spacing w:val="0"/>
                <w:w w:val="100"/>
                <w:position w:val="0"/>
              </w:rPr>
              <w:t>209,595.76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20,749,979.78</w:t>
            </w:r>
          </w:p>
        </w:tc>
      </w:tr>
    </w:tbl>
    <w:p>
      <w:pPr>
        <w:widowControl w:val="0"/>
        <w:spacing w:after="139" w:line="1" w:lineRule="exact"/>
      </w:pPr>
    </w:p>
    <w:p>
      <w:pPr>
        <w:pStyle w:val="Style44"/>
        <w:keepNext w:val="0"/>
        <w:keepLines w:val="0"/>
        <w:widowControl w:val="0"/>
        <w:shd w:val="clear" w:color="auto" w:fill="auto"/>
        <w:bidi w:val="0"/>
        <w:spacing w:before="0" w:after="140" w:line="240" w:lineRule="auto"/>
        <w:ind w:left="0" w:right="0" w:firstLine="740"/>
        <w:jc w:val="left"/>
        <w:rPr>
          <w:sz w:val="20"/>
          <w:szCs w:val="20"/>
        </w:rPr>
      </w:pPr>
      <w:r>
        <w:rPr>
          <w:color w:val="000000"/>
          <w:spacing w:val="0"/>
          <w:w w:val="100"/>
          <w:position w:val="0"/>
          <w:sz w:val="20"/>
          <w:szCs w:val="20"/>
        </w:rPr>
        <w:t>（续）</w:t>
      </w:r>
    </w:p>
    <w:tbl>
      <w:tblPr>
        <w:tblOverlap w:val="never"/>
        <w:jc w:val="center"/>
        <w:tblLayout w:type="fixed"/>
      </w:tblPr>
      <w:tblGrid>
        <w:gridCol w:w="1589"/>
        <w:gridCol w:w="1550"/>
        <w:gridCol w:w="1546"/>
        <w:gridCol w:w="1546"/>
        <w:gridCol w:w="1546"/>
        <w:gridCol w:w="1584"/>
      </w:tblGrid>
      <w:tr>
        <w:trPr>
          <w:trHeight w:val="317"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类别</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2019.12.31</w:t>
            </w:r>
          </w:p>
        </w:tc>
      </w:tr>
      <w:tr>
        <w:trPr>
          <w:trHeight w:val="336"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账面价值</w:t>
            </w:r>
          </w:p>
        </w:tc>
      </w:tr>
      <w:tr>
        <w:trPr>
          <w:trHeight w:val="336"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比例（</w:t>
            </w:r>
            <w:r>
              <w:rPr>
                <w:rFonts w:ascii="Times New Roman" w:eastAsia="Times New Roman" w:hAnsi="Times New Roman" w:cs="Times New Roman"/>
                <w:b/>
                <w:bCs/>
                <w:color w:val="000000"/>
                <w:spacing w:val="0"/>
                <w:w w:val="100"/>
                <w:position w:val="0"/>
                <w:sz w:val="22"/>
                <w:szCs w:val="22"/>
              </w:rPr>
              <w:t>%</w:t>
            </w:r>
            <w:r>
              <w:rPr>
                <w:b/>
                <w:bCs/>
                <w:color w:val="000000"/>
                <w:spacing w:val="0"/>
                <w:w w:val="100"/>
                <w:position w:val="0"/>
                <w:sz w:val="20"/>
                <w:szCs w:val="2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r>
              <w:rPr>
                <w:rFonts w:ascii="Times New Roman" w:eastAsia="Times New Roman" w:hAnsi="Times New Roman" w:cs="Times New Roman"/>
                <w:b/>
                <w:bCs/>
                <w:color w:val="000000"/>
                <w:spacing w:val="0"/>
                <w:w w:val="100"/>
                <w:position w:val="0"/>
                <w:sz w:val="22"/>
                <w:szCs w:val="22"/>
              </w:rPr>
              <w:t>%</w:t>
            </w:r>
            <w:r>
              <w:rPr>
                <w:b/>
                <w:bCs/>
                <w:color w:val="000000"/>
                <w:spacing w:val="0"/>
                <w:w w:val="100"/>
                <w:position w:val="0"/>
                <w:sz w:val="20"/>
                <w:szCs w:val="20"/>
              </w:rPr>
              <w:t>）</w:t>
            </w:r>
          </w:p>
        </w:tc>
        <w:tc>
          <w:tcPr>
            <w:vMerge/>
            <w:tcBorders>
              <w:left w:val="single" w:sz="4"/>
            </w:tcBorders>
            <w:shd w:val="clear" w:color="auto" w:fill="FFFFFF"/>
            <w:vAlign w:val="center"/>
          </w:tcPr>
          <w:p>
            <w:pPr/>
          </w:p>
        </w:tc>
      </w:tr>
      <w:tr>
        <w:trPr>
          <w:trHeight w:val="90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307" w:lineRule="exact"/>
              <w:ind w:left="140" w:right="0" w:firstLine="0"/>
              <w:jc w:val="left"/>
              <w:rPr>
                <w:sz w:val="20"/>
                <w:szCs w:val="20"/>
              </w:rPr>
            </w:pPr>
            <w:r>
              <w:rPr>
                <w:color w:val="000000"/>
                <w:spacing w:val="0"/>
                <w:w w:val="100"/>
                <w:position w:val="0"/>
                <w:sz w:val="20"/>
                <w:szCs w:val="20"/>
              </w:rPr>
              <w:t>按单项计提坏 账准备的应收 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78" w:lineRule="exact"/>
              <w:ind w:left="140" w:right="0" w:firstLine="0"/>
              <w:jc w:val="left"/>
              <w:rPr>
                <w:sz w:val="20"/>
                <w:szCs w:val="20"/>
              </w:rPr>
            </w:pPr>
            <w:r>
              <w:rPr>
                <w:color w:val="000000"/>
                <w:spacing w:val="0"/>
                <w:w w:val="100"/>
                <w:position w:val="0"/>
                <w:sz w:val="20"/>
                <w:szCs w:val="20"/>
              </w:rPr>
              <w:t>按组合计提坏 账准备的应收 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29,376,709.74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109,655.80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29,267,053.94</w:t>
            </w:r>
          </w:p>
        </w:tc>
      </w:tr>
      <w:tr>
        <w:trPr>
          <w:trHeight w:val="45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29,376,709.74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bCs/>
                <w:color w:val="000000"/>
                <w:spacing w:val="0"/>
                <w:w w:val="100"/>
                <w:position w:val="0"/>
              </w:rPr>
              <w:t>109,655.80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29,267,053.94</w:t>
            </w:r>
          </w:p>
        </w:tc>
      </w:tr>
    </w:tbl>
    <w:p>
      <w:pPr>
        <w:pStyle w:val="Style38"/>
        <w:keepNext w:val="0"/>
        <w:keepLines w:val="0"/>
        <w:widowControl w:val="0"/>
        <w:shd w:val="clear" w:color="auto" w:fill="auto"/>
        <w:bidi w:val="0"/>
        <w:spacing w:before="0" w:after="0" w:line="240" w:lineRule="auto"/>
        <w:ind w:left="595" w:right="0" w:firstLine="0"/>
        <w:jc w:val="left"/>
      </w:pPr>
      <w:r>
        <w:rPr>
          <w:color w:val="000000"/>
          <w:spacing w:val="0"/>
          <w:w w:val="100"/>
          <w:position w:val="0"/>
        </w:rPr>
        <w:t>①银行承兑汇票</w:t>
      </w:r>
    </w:p>
    <w:p>
      <w:pPr>
        <w:pStyle w:val="Style44"/>
        <w:keepNext w:val="0"/>
        <w:keepLines w:val="0"/>
        <w:widowControl w:val="0"/>
        <w:shd w:val="clear" w:color="auto" w:fill="auto"/>
        <w:bidi w:val="0"/>
        <w:spacing w:before="0" w:after="0" w:line="480" w:lineRule="exact"/>
        <w:ind w:left="0" w:right="0" w:firstLine="6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日，本公司按照整个存续期预期信用损失计量银行承兑汇票坏账准备，本公 司所持有的银行承兑汇票不存在重大信用风险，不会因银行或其他出票人违约而产生重大损失。</w:t>
      </w:r>
    </w:p>
    <w:p>
      <w:pPr>
        <w:pStyle w:val="Style44"/>
        <w:keepNext w:val="0"/>
        <w:keepLines w:val="0"/>
        <w:widowControl w:val="0"/>
        <w:numPr>
          <w:ilvl w:val="0"/>
          <w:numId w:val="41"/>
        </w:numPr>
        <w:shd w:val="clear" w:color="auto" w:fill="auto"/>
        <w:bidi w:val="0"/>
        <w:spacing w:before="0" w:after="240" w:line="480" w:lineRule="exact"/>
        <w:ind w:left="0" w:right="0" w:firstLine="600"/>
        <w:jc w:val="left"/>
      </w:pPr>
      <w:bookmarkStart w:id="942" w:name="bookmark942"/>
      <w:bookmarkEnd w:id="942"/>
      <w:r>
        <w:rPr>
          <w:color w:val="000000"/>
          <w:spacing w:val="0"/>
          <w:w w:val="100"/>
          <w:position w:val="0"/>
        </w:rPr>
        <w:t>商业承兑汇票</w:t>
      </w:r>
    </w:p>
    <w:p>
      <w:pPr>
        <w:pStyle w:val="Style44"/>
        <w:keepNext w:val="0"/>
        <w:keepLines w:val="0"/>
        <w:widowControl w:val="0"/>
        <w:pBdr>
          <w:bottom w:val="single" w:sz="4" w:space="0" w:color="auto"/>
        </w:pBdr>
        <w:shd w:val="clear" w:color="auto" w:fill="auto"/>
        <w:bidi w:val="0"/>
        <w:spacing w:before="0" w:after="200" w:line="240" w:lineRule="auto"/>
        <w:ind w:left="0" w:right="0" w:firstLine="6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日，组合计提坏账准备:</w:t>
      </w:r>
    </w:p>
    <w:p>
      <w:pPr>
        <w:widowControl w:val="0"/>
        <w:spacing w:line="1" w:lineRule="exact"/>
      </w:pPr>
      <w:r>
        <mc:AlternateContent>
          <mc:Choice Requires="wps">
            <w:drawing>
              <wp:anchor distT="198755" distB="154940" distL="0" distR="0" simplePos="0" relativeHeight="125829386" behindDoc="0" locked="0" layoutInCell="1" allowOverlap="1">
                <wp:simplePos x="0" y="0"/>
                <wp:positionH relativeFrom="page">
                  <wp:posOffset>1942465</wp:posOffset>
                </wp:positionH>
                <wp:positionV relativeFrom="paragraph">
                  <wp:posOffset>198755</wp:posOffset>
                </wp:positionV>
                <wp:extent cx="658495" cy="173990"/>
                <wp:wrapTopAndBottom/>
                <wp:docPr id="244" name="Shape 244"/>
                <a:graphic xmlns:a="http://schemas.openxmlformats.org/drawingml/2006/main">
                  <a:graphicData uri="http://schemas.microsoft.com/office/word/2010/wordprocessingShape">
                    <wps:wsp>
                      <wps:cNvSpPr txBox="1"/>
                      <wps:spPr>
                        <a:xfrm>
                          <a:ext cx="658495" cy="173990"/>
                        </a:xfrm>
                        <a:prstGeom prst="rect"/>
                        <a:noFill/>
                      </wps:spPr>
                      <wps:txbx>
                        <w:txbxContent>
                          <w:p>
                            <w:pPr>
                              <w:pStyle w:val="Style1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2020.01.01</w:t>
                            </w:r>
                          </w:p>
                        </w:txbxContent>
                      </wps:txbx>
                      <wps:bodyPr wrap="none" lIns="0" tIns="0" rIns="0" bIns="0">
                        <a:noAutoFit/>
                      </wps:bodyPr>
                    </wps:wsp>
                  </a:graphicData>
                </a:graphic>
              </wp:anchor>
            </w:drawing>
          </mc:Choice>
          <mc:Fallback>
            <w:pict>
              <v:shape id="_x0000_s1270" type="#_x0000_t202" style="position:absolute;margin-left:152.95000000000002pt;margin-top:15.65pt;width:51.850000000000001pt;height:13.700000000000001pt;z-index:-125829367;mso-wrap-distance-left:0;mso-wrap-distance-top:15.65pt;mso-wrap-distance-right:0;mso-wrap-distance-bottom:12.200000000000001pt;mso-position-horizontal-relative:page" filled="f" stroked="f">
                <v:textbox inset="0,0,0,0">
                  <w:txbxContent>
                    <w:p>
                      <w:pPr>
                        <w:pStyle w:val="Style1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2020.01.01</w:t>
                      </w:r>
                    </w:p>
                  </w:txbxContent>
                </v:textbox>
                <w10:wrap type="topAndBottom" anchorx="page"/>
              </v:shape>
            </w:pict>
          </mc:Fallback>
        </mc:AlternateContent>
      </w:r>
      <w:r>
        <mc:AlternateContent>
          <mc:Choice Requires="wps">
            <w:drawing>
              <wp:anchor distT="195580" distB="155575" distL="0" distR="0" simplePos="0" relativeHeight="125829388" behindDoc="0" locked="0" layoutInCell="1" allowOverlap="1">
                <wp:simplePos x="0" y="0"/>
                <wp:positionH relativeFrom="page">
                  <wp:posOffset>3140075</wp:posOffset>
                </wp:positionH>
                <wp:positionV relativeFrom="paragraph">
                  <wp:posOffset>195580</wp:posOffset>
                </wp:positionV>
                <wp:extent cx="585470" cy="176530"/>
                <wp:wrapTopAndBottom/>
                <wp:docPr id="246" name="Shape 246"/>
                <a:graphic xmlns:a="http://schemas.openxmlformats.org/drawingml/2006/main">
                  <a:graphicData uri="http://schemas.microsoft.com/office/word/2010/wordprocessingShape">
                    <wps:wsp>
                      <wps:cNvSpPr txBox="1"/>
                      <wps:spPr>
                        <a:xfrm>
                          <a:ext cx="585470" cy="1765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本期增加</w:t>
                            </w:r>
                          </w:p>
                        </w:txbxContent>
                      </wps:txbx>
                      <wps:bodyPr wrap="none" lIns="0" tIns="0" rIns="0" bIns="0">
                        <a:noAutoFit/>
                      </wps:bodyPr>
                    </wps:wsp>
                  </a:graphicData>
                </a:graphic>
              </wp:anchor>
            </w:drawing>
          </mc:Choice>
          <mc:Fallback>
            <w:pict>
              <v:shape id="_x0000_s1272" type="#_x0000_t202" style="position:absolute;margin-left:247.25pt;margin-top:15.4pt;width:46.100000000000001pt;height:13.9pt;z-index:-125829365;mso-wrap-distance-left:0;mso-wrap-distance-top:15.4pt;mso-wrap-distance-right:0;mso-wrap-distance-bottom:12.25pt;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本期增加</w:t>
                      </w:r>
                    </w:p>
                  </w:txbxContent>
                </v:textbox>
                <w10:wrap type="topAndBottom" anchorx="page"/>
              </v:shape>
            </w:pict>
          </mc:Fallback>
        </mc:AlternateContent>
      </w:r>
      <w:r>
        <mc:AlternateContent>
          <mc:Choice Requires="wps">
            <w:drawing>
              <wp:anchor distT="88900" distB="0" distL="0" distR="0" simplePos="0" relativeHeight="125829390" behindDoc="0" locked="0" layoutInCell="1" allowOverlap="1">
                <wp:simplePos x="0" y="0"/>
                <wp:positionH relativeFrom="page">
                  <wp:posOffset>4097655</wp:posOffset>
                </wp:positionH>
                <wp:positionV relativeFrom="paragraph">
                  <wp:posOffset>88900</wp:posOffset>
                </wp:positionV>
                <wp:extent cx="1657985" cy="438785"/>
                <wp:wrapTopAndBottom/>
                <wp:docPr id="248" name="Shape 248"/>
                <a:graphic xmlns:a="http://schemas.openxmlformats.org/drawingml/2006/main">
                  <a:graphicData uri="http://schemas.microsoft.com/office/word/2010/wordprocessingShape">
                    <wps:wsp>
                      <wps:cNvSpPr txBox="1"/>
                      <wps:spPr>
                        <a:xfrm>
                          <a:ext cx="1657985" cy="438785"/>
                        </a:xfrm>
                        <a:prstGeom prst="rect"/>
                        <a:noFill/>
                      </wps:spPr>
                      <wps:txbx>
                        <w:txbxContent>
                          <w:p>
                            <w:pPr>
                              <w:pStyle w:val="Style44"/>
                              <w:keepNext w:val="0"/>
                              <w:keepLines w:val="0"/>
                              <w:widowControl w:val="0"/>
                              <w:shd w:val="clear" w:color="auto" w:fill="auto"/>
                              <w:bidi w:val="0"/>
                              <w:spacing w:before="0" w:after="160" w:line="240" w:lineRule="auto"/>
                              <w:ind w:left="0" w:right="0" w:firstLine="0"/>
                              <w:jc w:val="center"/>
                              <w:rPr>
                                <w:sz w:val="20"/>
                                <w:szCs w:val="20"/>
                              </w:rPr>
                            </w:pPr>
                            <w:r>
                              <w:rPr>
                                <w:b/>
                                <w:bCs/>
                                <w:color w:val="000000"/>
                                <w:spacing w:val="0"/>
                                <w:w w:val="100"/>
                                <w:position w:val="0"/>
                                <w:sz w:val="20"/>
                                <w:szCs w:val="20"/>
                              </w:rPr>
                              <w:t>本期减少</w:t>
                            </w:r>
                          </w:p>
                          <w:p>
                            <w:pPr>
                              <w:pStyle w:val="Style4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收回或转回 转销或核销</w:t>
                            </w:r>
                          </w:p>
                        </w:txbxContent>
                      </wps:txbx>
                      <wps:bodyPr lIns="0" tIns="0" rIns="0" bIns="0">
                        <a:noAutoFit/>
                      </wps:bodyPr>
                    </wps:wsp>
                  </a:graphicData>
                </a:graphic>
              </wp:anchor>
            </w:drawing>
          </mc:Choice>
          <mc:Fallback>
            <w:pict>
              <v:shape id="_x0000_s1274" type="#_x0000_t202" style="position:absolute;margin-left:322.65000000000003pt;margin-top:7.pt;width:130.55000000000001pt;height:34.550000000000004pt;z-index:-125829363;mso-wrap-distance-left:0;mso-wrap-distance-top:7.pt;mso-wrap-distance-right:0;mso-position-horizontal-relative:page" filled="f" stroked="f">
                <v:textbox inset="0,0,0,0">
                  <w:txbxContent>
                    <w:p>
                      <w:pPr>
                        <w:pStyle w:val="Style44"/>
                        <w:keepNext w:val="0"/>
                        <w:keepLines w:val="0"/>
                        <w:widowControl w:val="0"/>
                        <w:shd w:val="clear" w:color="auto" w:fill="auto"/>
                        <w:bidi w:val="0"/>
                        <w:spacing w:before="0" w:after="160" w:line="240" w:lineRule="auto"/>
                        <w:ind w:left="0" w:right="0" w:firstLine="0"/>
                        <w:jc w:val="center"/>
                        <w:rPr>
                          <w:sz w:val="20"/>
                          <w:szCs w:val="20"/>
                        </w:rPr>
                      </w:pPr>
                      <w:r>
                        <w:rPr>
                          <w:b/>
                          <w:bCs/>
                          <w:color w:val="000000"/>
                          <w:spacing w:val="0"/>
                          <w:w w:val="100"/>
                          <w:position w:val="0"/>
                          <w:sz w:val="20"/>
                          <w:szCs w:val="20"/>
                        </w:rPr>
                        <w:t>本期减少</w:t>
                      </w:r>
                    </w:p>
                    <w:p>
                      <w:pPr>
                        <w:pStyle w:val="Style4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收回或转回 转销或核销</w:t>
                      </w:r>
                    </w:p>
                  </w:txbxContent>
                </v:textbox>
                <w10:wrap type="topAndBottom" anchorx="page"/>
              </v:shape>
            </w:pict>
          </mc:Fallback>
        </mc:AlternateContent>
      </w:r>
      <w:r>
        <mc:AlternateContent>
          <mc:Choice Requires="wps">
            <w:drawing>
              <wp:anchor distT="198755" distB="154940" distL="0" distR="0" simplePos="0" relativeHeight="125829392" behindDoc="0" locked="0" layoutInCell="1" allowOverlap="1">
                <wp:simplePos x="0" y="0"/>
                <wp:positionH relativeFrom="page">
                  <wp:posOffset>5989955</wp:posOffset>
                </wp:positionH>
                <wp:positionV relativeFrom="paragraph">
                  <wp:posOffset>198755</wp:posOffset>
                </wp:positionV>
                <wp:extent cx="658495" cy="173990"/>
                <wp:wrapTopAndBottom/>
                <wp:docPr id="250" name="Shape 250"/>
                <a:graphic xmlns:a="http://schemas.openxmlformats.org/drawingml/2006/main">
                  <a:graphicData uri="http://schemas.microsoft.com/office/word/2010/wordprocessingShape">
                    <wps:wsp>
                      <wps:cNvSpPr txBox="1"/>
                      <wps:spPr>
                        <a:xfrm>
                          <a:ext cx="658495" cy="173990"/>
                        </a:xfrm>
                        <a:prstGeom prst="rect"/>
                        <a:noFill/>
                      </wps:spPr>
                      <wps:txbx>
                        <w:txbxContent>
                          <w:p>
                            <w:pPr>
                              <w:pStyle w:val="Style1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2020.12.31</w:t>
                            </w:r>
                          </w:p>
                        </w:txbxContent>
                      </wps:txbx>
                      <wps:bodyPr wrap="none" lIns="0" tIns="0" rIns="0" bIns="0">
                        <a:noAutoFit/>
                      </wps:bodyPr>
                    </wps:wsp>
                  </a:graphicData>
                </a:graphic>
              </wp:anchor>
            </w:drawing>
          </mc:Choice>
          <mc:Fallback>
            <w:pict>
              <v:shape id="_x0000_s1276" type="#_x0000_t202" style="position:absolute;margin-left:471.65000000000003pt;margin-top:15.65pt;width:51.850000000000001pt;height:13.700000000000001pt;z-index:-125829361;mso-wrap-distance-left:0;mso-wrap-distance-top:15.65pt;mso-wrap-distance-right:0;mso-wrap-distance-bottom:12.200000000000001pt;mso-position-horizontal-relative:page" filled="f" stroked="f">
                <v:textbox inset="0,0,0,0">
                  <w:txbxContent>
                    <w:p>
                      <w:pPr>
                        <w:pStyle w:val="Style1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2020.12.31</w:t>
                      </w:r>
                    </w:p>
                  </w:txbxContent>
                </v:textbox>
                <w10:wrap type="topAndBottom" anchorx="page"/>
              </v:shape>
            </w:pict>
          </mc:Fallback>
        </mc:AlternateContent>
      </w:r>
    </w:p>
    <w:tbl>
      <w:tblPr>
        <w:tblOverlap w:val="never"/>
        <w:jc w:val="left"/>
        <w:tblLayout w:type="fixed"/>
      </w:tblPr>
      <w:tblGrid>
        <w:gridCol w:w="2318"/>
        <w:gridCol w:w="2126"/>
        <w:gridCol w:w="2410"/>
        <w:gridCol w:w="2299"/>
      </w:tblGrid>
      <w:tr>
        <w:trPr>
          <w:trHeight w:val="413" w:hRule="exact"/>
        </w:trPr>
        <w:tc>
          <w:tcPr>
            <w:tcBorders>
              <w:top w:val="single" w:sz="4"/>
            </w:tcBorders>
            <w:shd w:val="clear" w:color="auto" w:fill="FFFFFF"/>
            <w:vAlign w:val="center"/>
          </w:tcPr>
          <w:p>
            <w:pPr>
              <w:pStyle w:val="Style2"/>
              <w:keepNext w:val="0"/>
              <w:keepLines w:val="0"/>
              <w:framePr w:w="9154" w:h="758" w:vSpace="374" w:wrap="notBeside" w:vAnchor="text" w:hAnchor="text" w:x="531" w:y="577"/>
              <w:widowControl w:val="0"/>
              <w:shd w:val="clear" w:color="auto" w:fill="auto"/>
              <w:bidi w:val="0"/>
              <w:spacing w:before="0" w:after="0" w:line="240" w:lineRule="auto"/>
              <w:ind w:left="0" w:right="0" w:firstLine="500"/>
              <w:jc w:val="left"/>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framePr w:w="9154" w:h="758" w:vSpace="374" w:wrap="notBeside" w:vAnchor="text" w:hAnchor="text" w:x="531" w:y="577"/>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20,959,575.54</w:t>
            </w:r>
          </w:p>
        </w:tc>
        <w:tc>
          <w:tcPr>
            <w:tcBorders>
              <w:top w:val="single" w:sz="4"/>
              <w:left w:val="single" w:sz="4"/>
            </w:tcBorders>
            <w:shd w:val="clear" w:color="auto" w:fill="FFFFFF"/>
            <w:vAlign w:val="center"/>
          </w:tcPr>
          <w:p>
            <w:pPr>
              <w:pStyle w:val="Style2"/>
              <w:keepNext w:val="0"/>
              <w:keepLines w:val="0"/>
              <w:framePr w:w="9154" w:h="758" w:vSpace="374" w:wrap="notBeside" w:vAnchor="text" w:hAnchor="text" w:x="531" w:y="577"/>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framePr w:w="9154" w:h="758" w:vSpace="374" w:wrap="notBeside" w:vAnchor="text" w:hAnchor="text" w:x="531" w:y="577"/>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209,595.76</w:t>
            </w:r>
          </w:p>
        </w:tc>
      </w:tr>
      <w:tr>
        <w:trPr>
          <w:trHeight w:val="346" w:hRule="exact"/>
        </w:trPr>
        <w:tc>
          <w:tcPr>
            <w:tcBorders>
              <w:top w:val="single" w:sz="4"/>
              <w:bottom w:val="single" w:sz="4"/>
            </w:tcBorders>
            <w:shd w:val="clear" w:color="auto" w:fill="FFFFFF"/>
            <w:vAlign w:val="center"/>
          </w:tcPr>
          <w:p>
            <w:pPr>
              <w:pStyle w:val="Style2"/>
              <w:keepNext w:val="0"/>
              <w:keepLines w:val="0"/>
              <w:framePr w:w="9154" w:h="758" w:vSpace="374" w:wrap="notBeside" w:vAnchor="text" w:hAnchor="text" w:x="531" w:y="577"/>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framePr w:w="9154" w:h="758" w:vSpace="374" w:wrap="notBeside" w:vAnchor="text" w:hAnchor="text" w:x="531" w:y="577"/>
              <w:widowControl w:val="0"/>
              <w:shd w:val="clear" w:color="auto" w:fill="auto"/>
              <w:bidi w:val="0"/>
              <w:spacing w:before="0" w:after="0" w:line="240" w:lineRule="auto"/>
              <w:ind w:left="0" w:right="0" w:firstLine="740"/>
              <w:jc w:val="left"/>
            </w:pPr>
            <w:r>
              <w:rPr>
                <w:rFonts w:ascii="Times New Roman" w:eastAsia="Times New Roman" w:hAnsi="Times New Roman" w:cs="Times New Roman"/>
                <w:b/>
                <w:bCs/>
                <w:color w:val="000000"/>
                <w:spacing w:val="0"/>
                <w:w w:val="100"/>
                <w:position w:val="0"/>
              </w:rPr>
              <w:t>20,959,575.54</w:t>
            </w:r>
          </w:p>
        </w:tc>
        <w:tc>
          <w:tcPr>
            <w:tcBorders>
              <w:top w:val="single" w:sz="4"/>
              <w:left w:val="single" w:sz="4"/>
              <w:bottom w:val="single" w:sz="4"/>
            </w:tcBorders>
            <w:shd w:val="clear" w:color="auto" w:fill="FFFFFF"/>
            <w:vAlign w:val="center"/>
          </w:tcPr>
          <w:p>
            <w:pPr>
              <w:pStyle w:val="Style2"/>
              <w:keepNext w:val="0"/>
              <w:keepLines w:val="0"/>
              <w:framePr w:w="9154" w:h="758" w:vSpace="374" w:wrap="notBeside" w:vAnchor="text" w:hAnchor="text" w:x="531" w:y="577"/>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framePr w:w="9154" w:h="758" w:vSpace="374" w:wrap="notBeside" w:vAnchor="text" w:hAnchor="text" w:x="531" w:y="577"/>
              <w:widowControl w:val="0"/>
              <w:shd w:val="clear" w:color="auto" w:fill="auto"/>
              <w:bidi w:val="0"/>
              <w:spacing w:before="0" w:after="0" w:line="240" w:lineRule="auto"/>
              <w:ind w:left="1160" w:right="0" w:firstLine="0"/>
              <w:jc w:val="left"/>
            </w:pPr>
            <w:r>
              <w:rPr>
                <w:rFonts w:ascii="Times New Roman" w:eastAsia="Times New Roman" w:hAnsi="Times New Roman" w:cs="Times New Roman"/>
                <w:b/>
                <w:bCs/>
                <w:color w:val="000000"/>
                <w:spacing w:val="0"/>
                <w:w w:val="100"/>
                <w:position w:val="0"/>
              </w:rPr>
              <w:t>209,595.76</w:t>
            </w:r>
          </w:p>
        </w:tc>
      </w:tr>
    </w:tbl>
    <w:p>
      <w:pPr>
        <w:pStyle w:val="Style38"/>
        <w:keepNext w:val="0"/>
        <w:keepLines w:val="0"/>
        <w:framePr w:w="926" w:h="283" w:hSpace="530" w:wrap="notBeside" w:vAnchor="text" w:hAnchor="text" w:x="3449" w:y="155"/>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账面余额</w:t>
      </w:r>
    </w:p>
    <w:p>
      <w:pPr>
        <w:pStyle w:val="Style38"/>
        <w:keepNext w:val="0"/>
        <w:keepLines w:val="0"/>
        <w:framePr w:w="2026" w:h="571" w:hSpace="530" w:wrap="notBeside" w:vAnchor="text" w:hAnchor="text" w:x="5182" w:y="1"/>
        <w:widowControl w:val="0"/>
        <w:shd w:val="clear" w:color="auto" w:fill="auto"/>
        <w:bidi w:val="0"/>
        <w:spacing w:before="0" w:after="0" w:line="278" w:lineRule="exact"/>
        <w:ind w:left="0" w:right="0" w:firstLine="0"/>
        <w:jc w:val="center"/>
      </w:pPr>
      <w:r>
        <w:rPr>
          <w:b/>
          <w:bCs/>
          <w:color w:val="000000"/>
          <w:spacing w:val="0"/>
          <w:w w:val="100"/>
          <w:position w:val="0"/>
          <w:sz w:val="20"/>
          <w:szCs w:val="20"/>
        </w:rPr>
        <w:t>整个存续期预期信用 损失率</w:t>
      </w:r>
      <w:r>
        <w:rPr>
          <w:b/>
          <w:bCs/>
          <w:color w:val="000000"/>
          <w:spacing w:val="0"/>
          <w:w w:val="100"/>
          <w:position w:val="0"/>
        </w:rPr>
        <w:t>％</w:t>
      </w:r>
    </w:p>
    <w:p>
      <w:pPr>
        <w:pStyle w:val="Style38"/>
        <w:keepNext w:val="0"/>
        <w:keepLines w:val="0"/>
        <w:framePr w:w="926" w:h="283" w:hSpace="530" w:wrap="notBeside" w:vAnchor="text" w:hAnchor="text" w:x="8053" w:y="155"/>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坏账准备</w:t>
      </w:r>
    </w:p>
    <w:p>
      <w:pPr>
        <w:pStyle w:val="Style38"/>
        <w:keepNext w:val="0"/>
        <w:keepLines w:val="0"/>
        <w:framePr w:w="2011" w:h="278" w:hSpace="530" w:wrap="notBeside" w:vAnchor="text" w:hAnchor="text" w:x="1021" w:y="1431"/>
        <w:widowControl w:val="0"/>
        <w:shd w:val="clear" w:color="auto" w:fill="auto"/>
        <w:bidi w:val="0"/>
        <w:spacing w:before="0" w:after="0" w:line="240" w:lineRule="auto"/>
        <w:ind w:left="0" w:right="0" w:firstLine="0"/>
        <w:jc w:val="left"/>
      </w:pPr>
      <w:r>
        <w:rPr>
          <w:color w:val="000000"/>
          <w:spacing w:val="0"/>
          <w:w w:val="100"/>
          <w:position w:val="0"/>
        </w:rPr>
        <w:t>③坏账准备的变动</w:t>
      </w:r>
    </w:p>
    <w:p>
      <w:pPr>
        <w:widowControl w:val="0"/>
        <w:spacing w:line="1" w:lineRule="exact"/>
      </w:pPr>
      <w:r>
        <w:br w:type="page"/>
      </w:r>
    </w:p>
    <w:p>
      <w:pPr>
        <w:widowControl w:val="0"/>
        <w:spacing w:line="1" w:lineRule="exact"/>
      </w:pPr>
      <w:r>
        <mc:AlternateContent>
          <mc:Choice Requires="wps">
            <w:drawing>
              <wp:anchor distT="0" distB="38100" distL="0" distR="0" simplePos="0" relativeHeight="125829394" behindDoc="0" locked="0" layoutInCell="1" allowOverlap="1">
                <wp:simplePos x="0" y="0"/>
                <wp:positionH relativeFrom="page">
                  <wp:posOffset>979805</wp:posOffset>
                </wp:positionH>
                <wp:positionV relativeFrom="paragraph">
                  <wp:posOffset>0</wp:posOffset>
                </wp:positionV>
                <wp:extent cx="585470" cy="365760"/>
                <wp:wrapTopAndBottom/>
                <wp:docPr id="252" name="Shape 252"/>
                <a:graphic xmlns:a="http://schemas.openxmlformats.org/drawingml/2006/main">
                  <a:graphicData uri="http://schemas.microsoft.com/office/word/2010/wordprocessingShape">
                    <wps:wsp>
                      <wps:cNvSpPr txBox="1"/>
                      <wps:spPr>
                        <a:xfrm>
                          <a:ext cx="585470" cy="365760"/>
                        </a:xfrm>
                        <a:prstGeom prst="rect"/>
                        <a:noFill/>
                      </wps:spPr>
                      <wps:txbx>
                        <w:txbxContent>
                          <w:p>
                            <w:pPr>
                              <w:pStyle w:val="Style44"/>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应收票据 坏账准备</w:t>
                            </w:r>
                          </w:p>
                        </w:txbxContent>
                      </wps:txbx>
                      <wps:bodyPr lIns="0" tIns="0" rIns="0" bIns="0">
                        <a:noAutoFit/>
                      </wps:bodyPr>
                    </wps:wsp>
                  </a:graphicData>
                </a:graphic>
              </wp:anchor>
            </w:drawing>
          </mc:Choice>
          <mc:Fallback>
            <w:pict>
              <v:shape id="_x0000_s1278" type="#_x0000_t202" style="position:absolute;margin-left:77.150000000000006pt;margin-top:0;width:46.100000000000001pt;height:28.800000000000001pt;z-index:-125829359;mso-wrap-distance-left:0;mso-wrap-distance-right:0;mso-wrap-distance-bottom:3.pt;mso-position-horizontal-relative:page" filled="f" stroked="f">
                <v:textbox inset="0,0,0,0">
                  <w:txbxContent>
                    <w:p>
                      <w:pPr>
                        <w:pStyle w:val="Style44"/>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应收票据 坏账准备</w:t>
                      </w:r>
                    </w:p>
                  </w:txbxContent>
                </v:textbox>
                <w10:wrap type="topAndBottom" anchorx="page"/>
              </v:shape>
            </w:pict>
          </mc:Fallback>
        </mc:AlternateContent>
      </w:r>
      <w:r>
        <mc:AlternateContent>
          <mc:Choice Requires="wps">
            <w:drawing>
              <wp:anchor distT="103505" distB="126365" distL="0" distR="0" simplePos="0" relativeHeight="125829396" behindDoc="0" locked="0" layoutInCell="1" allowOverlap="1">
                <wp:simplePos x="0" y="0"/>
                <wp:positionH relativeFrom="page">
                  <wp:posOffset>2253615</wp:posOffset>
                </wp:positionH>
                <wp:positionV relativeFrom="paragraph">
                  <wp:posOffset>103505</wp:posOffset>
                </wp:positionV>
                <wp:extent cx="643255" cy="173990"/>
                <wp:wrapTopAndBottom/>
                <wp:docPr id="254" name="Shape 254"/>
                <a:graphic xmlns:a="http://schemas.openxmlformats.org/drawingml/2006/main">
                  <a:graphicData uri="http://schemas.microsoft.com/office/word/2010/wordprocessingShape">
                    <wps:wsp>
                      <wps:cNvSpPr txBox="1"/>
                      <wps:spPr>
                        <a:xfrm>
                          <a:ext cx="643255" cy="173990"/>
                        </a:xfrm>
                        <a:prstGeom prst="rect"/>
                        <a:noFill/>
                      </wps:spPr>
                      <wps:txbx>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109,655.80</w:t>
                            </w:r>
                          </w:p>
                        </w:txbxContent>
                      </wps:txbx>
                      <wps:bodyPr wrap="none" lIns="0" tIns="0" rIns="0" bIns="0">
                        <a:noAutoFit/>
                      </wps:bodyPr>
                    </wps:wsp>
                  </a:graphicData>
                </a:graphic>
              </wp:anchor>
            </w:drawing>
          </mc:Choice>
          <mc:Fallback>
            <w:pict>
              <v:shape id="_x0000_s1280" type="#_x0000_t202" style="position:absolute;margin-left:177.45000000000002pt;margin-top:8.1500000000000004pt;width:50.649999999999999pt;height:13.700000000000001pt;z-index:-125829357;mso-wrap-distance-left:0;mso-wrap-distance-top:8.1500000000000004pt;mso-wrap-distance-right:0;mso-wrap-distance-bottom:9.9500000000000011pt;mso-position-horizontal-relative:page" filled="f" stroked="f">
                <v:textbox inset="0,0,0,0">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109,655.80</w:t>
                      </w:r>
                    </w:p>
                  </w:txbxContent>
                </v:textbox>
                <w10:wrap type="topAndBottom" anchorx="page"/>
              </v:shape>
            </w:pict>
          </mc:Fallback>
        </mc:AlternateContent>
      </w:r>
      <w:r>
        <mc:AlternateContent>
          <mc:Choice Requires="wps">
            <w:drawing>
              <wp:anchor distT="103505" distB="126365" distL="0" distR="0" simplePos="0" relativeHeight="125829398" behindDoc="0" locked="0" layoutInCell="1" allowOverlap="1">
                <wp:simplePos x="0" y="0"/>
                <wp:positionH relativeFrom="page">
                  <wp:posOffset>3396615</wp:posOffset>
                </wp:positionH>
                <wp:positionV relativeFrom="paragraph">
                  <wp:posOffset>103505</wp:posOffset>
                </wp:positionV>
                <wp:extent cx="585470" cy="173990"/>
                <wp:wrapTopAndBottom/>
                <wp:docPr id="256" name="Shape 256"/>
                <a:graphic xmlns:a="http://schemas.openxmlformats.org/drawingml/2006/main">
                  <a:graphicData uri="http://schemas.microsoft.com/office/word/2010/wordprocessingShape">
                    <wps:wsp>
                      <wps:cNvSpPr txBox="1"/>
                      <wps:spPr>
                        <a:xfrm>
                          <a:ext cx="585470" cy="173990"/>
                        </a:xfrm>
                        <a:prstGeom prst="rect"/>
                        <a:noFill/>
                      </wps:spPr>
                      <wps:txbx>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rPr>
                              <w:t>99,939.96</w:t>
                            </w:r>
                          </w:p>
                        </w:txbxContent>
                      </wps:txbx>
                      <wps:bodyPr wrap="none" lIns="0" tIns="0" rIns="0" bIns="0">
                        <a:noAutoFit/>
                      </wps:bodyPr>
                    </wps:wsp>
                  </a:graphicData>
                </a:graphic>
              </wp:anchor>
            </w:drawing>
          </mc:Choice>
          <mc:Fallback>
            <w:pict>
              <v:shape id="_x0000_s1282" type="#_x0000_t202" style="position:absolute;margin-left:267.44999999999999pt;margin-top:8.1500000000000004pt;width:46.100000000000001pt;height:13.700000000000001pt;z-index:-125829355;mso-wrap-distance-left:0;mso-wrap-distance-top:8.1500000000000004pt;mso-wrap-distance-right:0;mso-wrap-distance-bottom:9.9500000000000011pt;mso-position-horizontal-relative:page" filled="f" stroked="f">
                <v:textbox inset="0,0,0,0">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rPr>
                        <w:t>99,939.96</w:t>
                      </w:r>
                    </w:p>
                  </w:txbxContent>
                </v:textbox>
                <w10:wrap type="topAndBottom" anchorx="page"/>
              </v:shape>
            </w:pict>
          </mc:Fallback>
        </mc:AlternateContent>
      </w:r>
      <w:r>
        <mc:AlternateContent>
          <mc:Choice Requires="wps">
            <w:drawing>
              <wp:anchor distT="103505" distB="126365" distL="0" distR="0" simplePos="0" relativeHeight="125829400" behindDoc="0" locked="0" layoutInCell="1" allowOverlap="1">
                <wp:simplePos x="0" y="0"/>
                <wp:positionH relativeFrom="page">
                  <wp:posOffset>6173470</wp:posOffset>
                </wp:positionH>
                <wp:positionV relativeFrom="paragraph">
                  <wp:posOffset>103505</wp:posOffset>
                </wp:positionV>
                <wp:extent cx="658495" cy="173990"/>
                <wp:wrapTopAndBottom/>
                <wp:docPr id="258" name="Shape 258"/>
                <a:graphic xmlns:a="http://schemas.openxmlformats.org/drawingml/2006/main">
                  <a:graphicData uri="http://schemas.microsoft.com/office/word/2010/wordprocessingShape">
                    <wps:wsp>
                      <wps:cNvSpPr txBox="1"/>
                      <wps:spPr>
                        <a:xfrm>
                          <a:ext cx="658495" cy="173990"/>
                        </a:xfrm>
                        <a:prstGeom prst="rect"/>
                        <a:noFill/>
                      </wps:spPr>
                      <wps:txbx>
                        <w:txbxContent>
                          <w:p>
                            <w:pPr>
                              <w:pStyle w:val="Style1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209,595.76</w:t>
                            </w:r>
                          </w:p>
                        </w:txbxContent>
                      </wps:txbx>
                      <wps:bodyPr wrap="none" lIns="0" tIns="0" rIns="0" bIns="0">
                        <a:noAutoFit/>
                      </wps:bodyPr>
                    </wps:wsp>
                  </a:graphicData>
                </a:graphic>
              </wp:anchor>
            </w:drawing>
          </mc:Choice>
          <mc:Fallback>
            <w:pict>
              <v:shape id="_x0000_s1284" type="#_x0000_t202" style="position:absolute;margin-left:486.10000000000002pt;margin-top:8.1500000000000004pt;width:51.850000000000001pt;height:13.700000000000001pt;z-index:-125829353;mso-wrap-distance-left:0;mso-wrap-distance-top:8.1500000000000004pt;mso-wrap-distance-right:0;mso-wrap-distance-bottom:9.9500000000000011pt;mso-position-horizontal-relative:page" filled="f" stroked="f">
                <v:textbox inset="0,0,0,0">
                  <w:txbxContent>
                    <w:p>
                      <w:pPr>
                        <w:pStyle w:val="Style1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209,595.76</w:t>
                      </w:r>
                    </w:p>
                  </w:txbxContent>
                </v:textbox>
                <w10:wrap type="topAndBottom" anchorx="page"/>
              </v:shape>
            </w:pict>
          </mc:Fallback>
        </mc:AlternateContent>
      </w:r>
    </w:p>
    <w:p>
      <w:pPr>
        <w:pStyle w:val="Style44"/>
        <w:keepNext w:val="0"/>
        <w:keepLines w:val="0"/>
        <w:widowControl w:val="0"/>
        <w:numPr>
          <w:ilvl w:val="0"/>
          <w:numId w:val="43"/>
        </w:numPr>
        <w:shd w:val="clear" w:color="auto" w:fill="auto"/>
        <w:bidi w:val="0"/>
        <w:spacing w:before="0" w:after="120" w:line="240" w:lineRule="auto"/>
        <w:ind w:left="0" w:right="0" w:firstLine="740"/>
        <w:jc w:val="left"/>
      </w:pPr>
      <w:bookmarkStart w:id="943" w:name="bookmark943"/>
      <w:bookmarkEnd w:id="943"/>
      <w:r>
        <w:rPr>
          <w:color w:val="000000"/>
          <w:spacing w:val="0"/>
          <w:w w:val="100"/>
          <w:position w:val="0"/>
        </w:rPr>
        <w:t>期末公司已背书或贴现且在资产负债表日尚未到期的应收票据:</w:t>
      </w:r>
    </w:p>
    <w:tbl>
      <w:tblPr>
        <w:tblOverlap w:val="never"/>
        <w:jc w:val="center"/>
        <w:tblLayout w:type="fixed"/>
      </w:tblPr>
      <w:tblGrid>
        <w:gridCol w:w="2813"/>
        <w:gridCol w:w="3667"/>
        <w:gridCol w:w="2866"/>
      </w:tblGrid>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期末终止确认金额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期末未终止确认金额</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银行承兑汇票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16,829,968.60</w:t>
            </w:r>
          </w:p>
        </w:tc>
        <w:tc>
          <w:tcPr>
            <w:tcBorders>
              <w:top w:val="single" w:sz="4"/>
            </w:tcBorders>
            <w:shd w:val="clear" w:color="auto" w:fill="FFFFFF"/>
            <w:vAlign w:val="top"/>
          </w:tcPr>
          <w:p>
            <w:pPr>
              <w:widowControl w:val="0"/>
              <w:rPr>
                <w:sz w:val="10"/>
                <w:szCs w:val="10"/>
              </w:rPr>
            </w:pPr>
          </w:p>
        </w:tc>
      </w:tr>
      <w:tr>
        <w:trPr>
          <w:trHeight w:val="39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商业承兑汇票</w:t>
            </w:r>
          </w:p>
        </w:tc>
      </w:tr>
      <w:tr>
        <w:trPr>
          <w:trHeight w:val="331"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b/>
                <w:bCs/>
                <w:color w:val="000000"/>
                <w:spacing w:val="0"/>
                <w:w w:val="100"/>
                <w:position w:val="0"/>
              </w:rPr>
              <w:t xml:space="preserve">16,829,968.60 </w:t>
            </w:r>
            <w:r>
              <w:rPr>
                <w:rFonts w:ascii="Times New Roman" w:eastAsia="Times New Roman" w:hAnsi="Times New Roman" w:cs="Times New Roman"/>
                <w:b/>
                <w:bCs/>
                <w:color w:val="000000"/>
                <w:spacing w:val="0"/>
                <w:w w:val="100"/>
                <w:position w:val="0"/>
              </w:rPr>
              <w:t>|</w:t>
            </w:r>
          </w:p>
        </w:tc>
        <w:tc>
          <w:tcPr>
            <w:tcBorders>
              <w:top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44"/>
        <w:keepNext w:val="0"/>
        <w:keepLines w:val="0"/>
        <w:widowControl w:val="0"/>
        <w:pBdr>
          <w:top w:val="single" w:sz="4" w:space="0" w:color="auto"/>
        </w:pBdr>
        <w:shd w:val="clear" w:color="auto" w:fill="auto"/>
        <w:bidi w:val="0"/>
        <w:spacing w:before="0" w:after="400" w:line="240" w:lineRule="auto"/>
        <w:ind w:left="0" w:right="0" w:firstLine="60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日应收票据所有权受限制情况见本附注五、</w:t>
      </w:r>
      <w:r>
        <w:rPr>
          <w:rFonts w:ascii="Times New Roman" w:eastAsia="Times New Roman" w:hAnsi="Times New Roman" w:cs="Times New Roman"/>
          <w:color w:val="000000"/>
          <w:spacing w:val="0"/>
          <w:w w:val="100"/>
          <w:position w:val="0"/>
        </w:rPr>
        <w:t>56</w:t>
      </w:r>
      <w:r>
        <w:rPr>
          <w:color w:val="000000"/>
          <w:spacing w:val="0"/>
          <w:w w:val="100"/>
          <w:position w:val="0"/>
        </w:rPr>
        <w:t>之说明</w:t>
      </w:r>
    </w:p>
    <w:p>
      <w:pPr>
        <w:pStyle w:val="Style52"/>
        <w:keepNext/>
        <w:keepLines/>
        <w:widowControl w:val="0"/>
        <w:shd w:val="clear" w:color="auto" w:fill="auto"/>
        <w:bidi w:val="0"/>
        <w:spacing w:before="0" w:after="400" w:line="240" w:lineRule="auto"/>
        <w:ind w:left="0" w:right="0" w:firstLine="0"/>
        <w:jc w:val="left"/>
        <w:rPr>
          <w:sz w:val="24"/>
          <w:szCs w:val="24"/>
        </w:rPr>
      </w:pPr>
      <w:bookmarkStart w:id="944" w:name="bookmark944"/>
      <w:bookmarkStart w:id="945" w:name="bookmark945"/>
      <w:bookmarkStart w:id="946" w:name="bookmark946"/>
      <w:bookmarkStart w:id="947" w:name="bookmark947"/>
      <w:r>
        <w:rPr>
          <w:rFonts w:ascii="Times New Roman" w:eastAsia="Times New Roman" w:hAnsi="Times New Roman" w:cs="Times New Roman"/>
          <w:b w:val="0"/>
          <w:bCs w:val="0"/>
          <w:color w:val="000000"/>
          <w:spacing w:val="0"/>
          <w:w w:val="100"/>
          <w:position w:val="0"/>
          <w:sz w:val="24"/>
          <w:szCs w:val="24"/>
        </w:rPr>
        <w:t>4</w:t>
      </w:r>
      <w:bookmarkEnd w:id="946"/>
      <w:r>
        <w:rPr>
          <w:b w:val="0"/>
          <w:bCs w:val="0"/>
          <w:color w:val="000000"/>
          <w:spacing w:val="0"/>
          <w:w w:val="100"/>
          <w:position w:val="0"/>
          <w:sz w:val="24"/>
          <w:szCs w:val="24"/>
        </w:rPr>
        <w:t>、应收账款</w:t>
      </w:r>
      <w:bookmarkEnd w:id="944"/>
      <w:bookmarkEnd w:id="945"/>
      <w:bookmarkEnd w:id="947"/>
    </w:p>
    <w:p>
      <w:pPr>
        <w:pStyle w:val="Style52"/>
        <w:keepNext/>
        <w:keepLines/>
        <w:widowControl w:val="0"/>
        <w:numPr>
          <w:ilvl w:val="0"/>
          <w:numId w:val="45"/>
        </w:numPr>
        <w:shd w:val="clear" w:color="auto" w:fill="auto"/>
        <w:bidi w:val="0"/>
        <w:spacing w:before="0" w:after="120" w:line="240" w:lineRule="auto"/>
        <w:ind w:left="0" w:right="0" w:firstLine="740"/>
        <w:jc w:val="left"/>
      </w:pPr>
      <w:bookmarkStart w:id="944" w:name="bookmark944"/>
      <w:bookmarkStart w:id="945" w:name="bookmark945"/>
      <w:bookmarkStart w:id="948" w:name="bookmark948"/>
      <w:bookmarkEnd w:id="948"/>
      <w:r>
        <w:rPr>
          <w:b w:val="0"/>
          <w:bCs w:val="0"/>
          <w:color w:val="000000"/>
          <w:spacing w:val="0"/>
          <w:w w:val="100"/>
          <w:position w:val="0"/>
        </w:rPr>
        <w:t>以摊余成本计量的应收账款</w:t>
      </w:r>
      <w:bookmarkEnd w:id="944"/>
      <w:bookmarkEnd w:id="945"/>
    </w:p>
    <w:tbl>
      <w:tblPr>
        <w:tblOverlap w:val="never"/>
        <w:jc w:val="center"/>
        <w:tblLayout w:type="fixed"/>
      </w:tblPr>
      <w:tblGrid>
        <w:gridCol w:w="2136"/>
        <w:gridCol w:w="2352"/>
        <w:gridCol w:w="2328"/>
        <w:gridCol w:w="2448"/>
      </w:tblGrid>
      <w:tr>
        <w:trPr>
          <w:trHeight w:val="480" w:hRule="exact"/>
        </w:trPr>
        <w:tc>
          <w:tcPr>
            <w:vMerge w:val="restart"/>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2020.12.31</w:t>
            </w:r>
          </w:p>
        </w:tc>
      </w:tr>
      <w:tr>
        <w:trPr>
          <w:trHeight w:val="58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b/>
                <w:bCs/>
                <w:color w:val="000000"/>
                <w:spacing w:val="0"/>
                <w:w w:val="100"/>
                <w:position w:val="0"/>
                <w:sz w:val="20"/>
                <w:szCs w:val="20"/>
              </w:rPr>
              <w:t>账面价值</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907,437,317.42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704,519,443.45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202,917,873.97</w:t>
            </w:r>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b/>
                <w:bCs/>
                <w:color w:val="000000"/>
                <w:spacing w:val="0"/>
                <w:w w:val="100"/>
                <w:position w:val="0"/>
              </w:rPr>
              <w:t>907,437,317.42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b/>
                <w:bCs/>
                <w:color w:val="000000"/>
                <w:spacing w:val="0"/>
                <w:w w:val="100"/>
                <w:position w:val="0"/>
              </w:rPr>
              <w:t>704,519,443.45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b/>
                <w:bCs/>
                <w:color w:val="000000"/>
                <w:spacing w:val="0"/>
                <w:w w:val="100"/>
                <w:position w:val="0"/>
              </w:rPr>
              <w:t>202,917,873.97</w:t>
            </w:r>
          </w:p>
        </w:tc>
      </w:tr>
    </w:tbl>
    <w:p>
      <w:pPr>
        <w:widowControl w:val="0"/>
        <w:spacing w:after="119" w:line="1" w:lineRule="exact"/>
      </w:pPr>
    </w:p>
    <w:p>
      <w:pPr>
        <w:pStyle w:val="Style44"/>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(续)</w:t>
      </w:r>
    </w:p>
    <w:tbl>
      <w:tblPr>
        <w:tblOverlap w:val="never"/>
        <w:jc w:val="center"/>
        <w:tblLayout w:type="fixed"/>
      </w:tblPr>
      <w:tblGrid>
        <w:gridCol w:w="2064"/>
        <w:gridCol w:w="2424"/>
        <w:gridCol w:w="2328"/>
        <w:gridCol w:w="2448"/>
      </w:tblGrid>
      <w:tr>
        <w:trPr>
          <w:trHeight w:val="480" w:hRule="exact"/>
        </w:trPr>
        <w:tc>
          <w:tcPr>
            <w:vMerge w:val="restart"/>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2019.12.31</w:t>
            </w:r>
          </w:p>
        </w:tc>
      </w:tr>
      <w:tr>
        <w:trPr>
          <w:trHeight w:val="58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b/>
                <w:bCs/>
                <w:color w:val="000000"/>
                <w:spacing w:val="0"/>
                <w:w w:val="100"/>
                <w:position w:val="0"/>
                <w:sz w:val="20"/>
                <w:szCs w:val="20"/>
              </w:rPr>
              <w:t>账面价值</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973,536,884.86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743,194,511.67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230,342,373.19</w:t>
            </w:r>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b/>
                <w:bCs/>
                <w:color w:val="000000"/>
                <w:spacing w:val="0"/>
                <w:w w:val="100"/>
                <w:position w:val="0"/>
              </w:rPr>
              <w:t>973,536,884.86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b/>
                <w:bCs/>
                <w:color w:val="000000"/>
                <w:spacing w:val="0"/>
                <w:w w:val="100"/>
                <w:position w:val="0"/>
              </w:rPr>
              <w:t>743,194,511.67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b/>
                <w:bCs/>
                <w:color w:val="000000"/>
                <w:spacing w:val="0"/>
                <w:w w:val="100"/>
                <w:position w:val="0"/>
              </w:rPr>
              <w:t>230,342,373.19</w:t>
            </w:r>
          </w:p>
        </w:tc>
      </w:tr>
    </w:tbl>
    <w:p>
      <w:pPr>
        <w:widowControl w:val="0"/>
        <w:spacing w:after="119" w:line="1" w:lineRule="exact"/>
      </w:pPr>
    </w:p>
    <w:p>
      <w:pPr>
        <w:pStyle w:val="Style44"/>
        <w:keepNext w:val="0"/>
        <w:keepLines w:val="0"/>
        <w:widowControl w:val="0"/>
        <w:numPr>
          <w:ilvl w:val="0"/>
          <w:numId w:val="45"/>
        </w:numPr>
        <w:shd w:val="clear" w:color="auto" w:fill="auto"/>
        <w:bidi w:val="0"/>
        <w:spacing w:before="0" w:after="0" w:line="240" w:lineRule="auto"/>
        <w:ind w:left="0" w:right="0" w:firstLine="740"/>
        <w:jc w:val="left"/>
      </w:pPr>
      <w:bookmarkStart w:id="949" w:name="bookmark949"/>
      <w:bookmarkEnd w:id="949"/>
      <w:r>
        <w:rPr>
          <w:color w:val="000000"/>
          <w:spacing w:val="0"/>
          <w:w w:val="100"/>
          <w:position w:val="0"/>
        </w:rPr>
        <w:t>坏账准备</w:t>
      </w:r>
    </w:p>
    <w:p>
      <w:pPr>
        <w:pStyle w:val="Style44"/>
        <w:keepNext w:val="0"/>
        <w:keepLines w:val="0"/>
        <w:widowControl w:val="0"/>
        <w:shd w:val="clear" w:color="auto" w:fill="auto"/>
        <w:bidi w:val="0"/>
        <w:spacing w:before="0" w:after="120" w:line="480" w:lineRule="exact"/>
        <w:ind w:left="0" w:right="0" w:firstLine="600"/>
        <w:jc w:val="left"/>
      </w:pPr>
      <w:r>
        <w:rPr>
          <w:color w:val="000000"/>
          <w:spacing w:val="0"/>
          <w:w w:val="100"/>
          <w:position w:val="0"/>
        </w:rPr>
        <w:t>本公司对应收账款，无论是否存在重大融资成分，均按照整个存续期的预期信用损失计量损 失准备。</w:t>
      </w:r>
    </w:p>
    <w:tbl>
      <w:tblPr>
        <w:tblOverlap w:val="never"/>
        <w:jc w:val="center"/>
        <w:tblLayout w:type="fixed"/>
      </w:tblPr>
      <w:tblGrid>
        <w:gridCol w:w="1579"/>
        <w:gridCol w:w="1589"/>
        <w:gridCol w:w="1531"/>
        <w:gridCol w:w="1594"/>
        <w:gridCol w:w="1531"/>
        <w:gridCol w:w="1627"/>
      </w:tblGrid>
      <w:tr>
        <w:trPr>
          <w:trHeight w:val="317"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类别</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2020.12.31</w:t>
            </w:r>
          </w:p>
        </w:tc>
      </w:tr>
      <w:tr>
        <w:trPr>
          <w:trHeight w:val="336"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账面价值</w:t>
            </w:r>
          </w:p>
        </w:tc>
      </w:tr>
      <w:tr>
        <w:trPr>
          <w:trHeight w:val="336"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比例(</w:t>
            </w:r>
            <w:r>
              <w:rPr>
                <w:rFonts w:ascii="Times New Roman" w:eastAsia="Times New Roman" w:hAnsi="Times New Roman" w:cs="Times New Roman"/>
                <w:b/>
                <w:bCs/>
                <w:color w:val="000000"/>
                <w:spacing w:val="0"/>
                <w:w w:val="100"/>
                <w:position w:val="0"/>
                <w:sz w:val="22"/>
                <w:szCs w:val="22"/>
              </w:rPr>
              <w:t>%</w:t>
            </w:r>
            <w:r>
              <w:rPr>
                <w:b/>
                <w:bCs/>
                <w:color w:val="000000"/>
                <w:spacing w:val="0"/>
                <w:w w:val="100"/>
                <w:position w:val="0"/>
                <w:sz w:val="20"/>
                <w:szCs w:val="2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比例(</w:t>
            </w:r>
            <w:r>
              <w:rPr>
                <w:rFonts w:ascii="Times New Roman" w:eastAsia="Times New Roman" w:hAnsi="Times New Roman" w:cs="Times New Roman"/>
                <w:b/>
                <w:bCs/>
                <w:color w:val="000000"/>
                <w:spacing w:val="0"/>
                <w:w w:val="100"/>
                <w:position w:val="0"/>
                <w:sz w:val="22"/>
                <w:szCs w:val="22"/>
              </w:rPr>
              <w:t>%</w:t>
            </w:r>
            <w:r>
              <w:rPr>
                <w:b/>
                <w:bCs/>
                <w:color w:val="000000"/>
                <w:spacing w:val="0"/>
                <w:w w:val="100"/>
                <w:position w:val="0"/>
                <w:sz w:val="20"/>
                <w:szCs w:val="20"/>
              </w:rPr>
              <w:t>)</w:t>
            </w:r>
          </w:p>
        </w:tc>
        <w:tc>
          <w:tcPr>
            <w:vMerge/>
            <w:tcBorders>
              <w:left w:val="single" w:sz="4"/>
            </w:tcBorders>
            <w:shd w:val="clear" w:color="auto" w:fill="FFFFFF"/>
            <w:vAlign w:val="center"/>
          </w:tcPr>
          <w:p>
            <w:pPr/>
          </w:p>
        </w:tc>
      </w:tr>
      <w:tr>
        <w:trPr>
          <w:trHeight w:val="90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86" w:lineRule="exact"/>
              <w:ind w:left="140" w:right="0" w:firstLine="0"/>
              <w:jc w:val="left"/>
              <w:rPr>
                <w:sz w:val="20"/>
                <w:szCs w:val="20"/>
              </w:rPr>
            </w:pPr>
            <w:r>
              <w:rPr>
                <w:color w:val="000000"/>
                <w:spacing w:val="0"/>
                <w:w w:val="100"/>
                <w:position w:val="0"/>
                <w:sz w:val="20"/>
                <w:szCs w:val="20"/>
              </w:rPr>
              <w:t>按单项计提 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698,115,353.26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76.93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686,897,444.76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98.39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11,217,908.50</w:t>
            </w:r>
          </w:p>
        </w:tc>
      </w:tr>
      <w:tr>
        <w:trPr>
          <w:trHeight w:val="95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88" w:lineRule="exact"/>
              <w:ind w:left="140" w:right="0" w:firstLine="0"/>
              <w:jc w:val="left"/>
              <w:rPr>
                <w:sz w:val="20"/>
                <w:szCs w:val="20"/>
              </w:rPr>
            </w:pPr>
            <w:r>
              <w:rPr>
                <w:color w:val="000000"/>
                <w:spacing w:val="0"/>
                <w:w w:val="100"/>
                <w:position w:val="0"/>
                <w:sz w:val="20"/>
                <w:szCs w:val="20"/>
              </w:rPr>
              <w:t>按组合计提 坏账准备的 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209,321,964.16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23.07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17,621,998.69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191,699,965.47</w:t>
            </w:r>
          </w:p>
        </w:tc>
      </w:tr>
    </w:tbl>
    <w:p>
      <w:pPr>
        <w:widowControl w:val="0"/>
        <w:spacing w:line="1" w:lineRule="exact"/>
      </w:pPr>
      <w:r>
        <w:br w:type="page"/>
      </w:r>
    </w:p>
    <w:tbl>
      <w:tblPr>
        <w:tblOverlap w:val="never"/>
        <w:jc w:val="center"/>
        <w:tblLayout w:type="fixed"/>
      </w:tblPr>
      <w:tblGrid>
        <w:gridCol w:w="1579"/>
        <w:gridCol w:w="1589"/>
        <w:gridCol w:w="1531"/>
        <w:gridCol w:w="1594"/>
        <w:gridCol w:w="1531"/>
        <w:gridCol w:w="1627"/>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907,437,317.42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b/>
                <w:bCs/>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704,519,443.45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b/>
                <w:bCs/>
                <w:color w:val="000000"/>
                <w:spacing w:val="0"/>
                <w:w w:val="100"/>
                <w:position w:val="0"/>
              </w:rPr>
              <w:t>77.64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202,917,873.97</w:t>
            </w:r>
          </w:p>
        </w:tc>
      </w:tr>
      <w:tr>
        <w:trPr>
          <w:trHeight w:val="566"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（续）</w:t>
            </w:r>
          </w:p>
        </w:tc>
      </w:tr>
      <w:tr>
        <w:trPr>
          <w:trHeight w:val="307"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类别</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2019.12.31</w:t>
            </w:r>
          </w:p>
        </w:tc>
      </w:tr>
      <w:tr>
        <w:trPr>
          <w:trHeight w:val="336"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账面价值</w:t>
            </w:r>
          </w:p>
        </w:tc>
      </w:tr>
      <w:tr>
        <w:trPr>
          <w:trHeight w:val="336"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比例（</w:t>
            </w:r>
            <w:r>
              <w:rPr>
                <w:rFonts w:ascii="Times New Roman" w:eastAsia="Times New Roman" w:hAnsi="Times New Roman" w:cs="Times New Roman"/>
                <w:b/>
                <w:bCs/>
                <w:color w:val="000000"/>
                <w:spacing w:val="0"/>
                <w:w w:val="100"/>
                <w:position w:val="0"/>
                <w:sz w:val="22"/>
                <w:szCs w:val="22"/>
              </w:rPr>
              <w:t>%</w:t>
            </w:r>
            <w:r>
              <w:rPr>
                <w:b/>
                <w:bCs/>
                <w:color w:val="000000"/>
                <w:spacing w:val="0"/>
                <w:w w:val="100"/>
                <w:position w:val="0"/>
                <w:sz w:val="20"/>
                <w:szCs w:val="2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比例（</w:t>
            </w:r>
            <w:r>
              <w:rPr>
                <w:rFonts w:ascii="Times New Roman" w:eastAsia="Times New Roman" w:hAnsi="Times New Roman" w:cs="Times New Roman"/>
                <w:b/>
                <w:bCs/>
                <w:color w:val="000000"/>
                <w:spacing w:val="0"/>
                <w:w w:val="100"/>
                <w:position w:val="0"/>
                <w:sz w:val="22"/>
                <w:szCs w:val="22"/>
              </w:rPr>
              <w:t>%</w:t>
            </w:r>
            <w:r>
              <w:rPr>
                <w:b/>
                <w:bCs/>
                <w:color w:val="000000"/>
                <w:spacing w:val="0"/>
                <w:w w:val="100"/>
                <w:position w:val="0"/>
                <w:sz w:val="20"/>
                <w:szCs w:val="20"/>
              </w:rPr>
              <w:t>）</w:t>
            </w:r>
          </w:p>
        </w:tc>
        <w:tc>
          <w:tcPr>
            <w:vMerge/>
            <w:tcBorders>
              <w:left w:val="single" w:sz="4"/>
            </w:tcBorders>
            <w:shd w:val="clear" w:color="auto" w:fill="FFFFFF"/>
            <w:vAlign w:val="center"/>
          </w:tcPr>
          <w:p>
            <w:pPr/>
          </w:p>
        </w:tc>
      </w:tr>
      <w:tr>
        <w:trPr>
          <w:trHeight w:val="90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88" w:lineRule="exact"/>
              <w:ind w:left="140" w:right="0" w:firstLine="0"/>
              <w:jc w:val="left"/>
              <w:rPr>
                <w:sz w:val="20"/>
                <w:szCs w:val="20"/>
              </w:rPr>
            </w:pPr>
            <w:r>
              <w:rPr>
                <w:color w:val="000000"/>
                <w:spacing w:val="0"/>
                <w:w w:val="100"/>
                <w:position w:val="0"/>
                <w:sz w:val="20"/>
                <w:szCs w:val="20"/>
              </w:rPr>
              <w:t>按单项计提 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731,003,083.43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75.09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725,807,318.20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99.29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5,195,765.23</w:t>
            </w:r>
          </w:p>
        </w:tc>
      </w:tr>
      <w:tr>
        <w:trPr>
          <w:trHeight w:val="9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86" w:lineRule="exact"/>
              <w:ind w:left="140" w:right="0" w:firstLine="0"/>
              <w:jc w:val="left"/>
              <w:rPr>
                <w:sz w:val="20"/>
                <w:szCs w:val="20"/>
              </w:rPr>
            </w:pPr>
            <w:r>
              <w:rPr>
                <w:color w:val="000000"/>
                <w:spacing w:val="0"/>
                <w:w w:val="100"/>
                <w:position w:val="0"/>
                <w:sz w:val="20"/>
                <w:szCs w:val="20"/>
              </w:rPr>
              <w:t>按组合计提 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242,533,801.43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17,387,193.47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225,146,607.96</w:t>
            </w:r>
          </w:p>
        </w:tc>
      </w:tr>
      <w:tr>
        <w:trPr>
          <w:trHeight w:val="45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973,536,884.86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743,194,511.67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b/>
                <w:bCs/>
                <w:color w:val="000000"/>
                <w:spacing w:val="0"/>
                <w:w w:val="100"/>
                <w:position w:val="0"/>
              </w:rPr>
              <w:t>76.34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230,342,373.19</w:t>
            </w:r>
          </w:p>
        </w:tc>
      </w:tr>
    </w:tbl>
    <w:p>
      <w:pPr>
        <w:widowControl w:val="0"/>
        <w:spacing w:after="119" w:line="1" w:lineRule="exact"/>
      </w:pPr>
    </w:p>
    <w:p>
      <w:pPr>
        <w:pStyle w:val="Style44"/>
        <w:keepNext w:val="0"/>
        <w:keepLines w:val="0"/>
        <w:widowControl w:val="0"/>
        <w:pBdr>
          <w:bottom w:val="single" w:sz="4" w:space="0" w:color="auto"/>
        </w:pBdr>
        <w:shd w:val="clear" w:color="auto" w:fill="auto"/>
        <w:bidi w:val="0"/>
        <w:spacing w:before="0" w:after="200" w:line="240" w:lineRule="auto"/>
        <w:ind w:left="0" w:right="0" w:firstLine="600"/>
        <w:jc w:val="left"/>
      </w:pPr>
      <w:r>
        <w:rPr>
          <w:color w:val="000000"/>
          <w:spacing w:val="0"/>
          <w:w w:val="100"/>
          <w:position w:val="0"/>
        </w:rPr>
        <w:t>①</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日，单项计提坏账准备:</w:t>
      </w:r>
    </w:p>
    <w:tbl>
      <w:tblPr>
        <w:tblOverlap w:val="never"/>
        <w:jc w:val="left"/>
        <w:tblLayout w:type="fixed"/>
      </w:tblPr>
      <w:tblGrid>
        <w:gridCol w:w="1358"/>
        <w:gridCol w:w="1843"/>
        <w:gridCol w:w="1982"/>
        <w:gridCol w:w="1704"/>
        <w:gridCol w:w="2438"/>
      </w:tblGrid>
      <w:tr>
        <w:trPr>
          <w:trHeight w:val="418" w:hRule="exact"/>
        </w:trPr>
        <w:tc>
          <w:tcPr>
            <w:tcBorders>
              <w:top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20"/>
              <w:jc w:val="left"/>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513,421,443.75</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513,421,443.75</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08" w:hRule="exact"/>
        </w:trPr>
        <w:tc>
          <w:tcPr>
            <w:tcBorders>
              <w:top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20"/>
              <w:jc w:val="left"/>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63,007,928.00</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63,007,928.00</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08" w:hRule="exact"/>
        </w:trPr>
        <w:tc>
          <w:tcPr>
            <w:tcBorders>
              <w:top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20"/>
              <w:jc w:val="left"/>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22,678,028.87</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22,678,028.87</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13" w:hRule="exact"/>
        </w:trPr>
        <w:tc>
          <w:tcPr>
            <w:tcBorders>
              <w:top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20"/>
              <w:jc w:val="left"/>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20,057,306.52</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20,057,306.52</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08" w:hRule="exact"/>
        </w:trPr>
        <w:tc>
          <w:tcPr>
            <w:tcBorders>
              <w:top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20"/>
              <w:jc w:val="left"/>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12,199,208.85</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12,199,208.85</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13" w:hRule="exact"/>
        </w:trPr>
        <w:tc>
          <w:tcPr>
            <w:tcBorders>
              <w:top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20"/>
              <w:jc w:val="left"/>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8,504,977.17</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4,252,488.59</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w:t>
            </w:r>
            <w:r>
              <w:rPr>
                <w:rFonts w:ascii="Times New Roman" w:eastAsia="Times New Roman" w:hAnsi="Times New Roman" w:cs="Times New Roman"/>
                <w:color w:val="000000"/>
                <w:spacing w:val="0"/>
                <w:w w:val="100"/>
                <w:position w:val="0"/>
                <w:sz w:val="22"/>
                <w:szCs w:val="22"/>
              </w:rPr>
              <w:t>50%</w:t>
            </w:r>
            <w:r>
              <w:rPr>
                <w:color w:val="000000"/>
                <w:spacing w:val="0"/>
                <w:w w:val="100"/>
                <w:position w:val="0"/>
                <w:sz w:val="20"/>
                <w:szCs w:val="20"/>
              </w:rPr>
              <w:t>可能收回</w:t>
            </w:r>
          </w:p>
        </w:tc>
      </w:tr>
      <w:tr>
        <w:trPr>
          <w:trHeight w:val="408" w:hRule="exact"/>
        </w:trPr>
        <w:tc>
          <w:tcPr>
            <w:tcBorders>
              <w:top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20"/>
              <w:jc w:val="left"/>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7,569,440.00</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7,569,440.00</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13" w:hRule="exact"/>
        </w:trPr>
        <w:tc>
          <w:tcPr>
            <w:tcBorders>
              <w:top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20"/>
              <w:jc w:val="left"/>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5,661,546.35</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2,830,773.18</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w:t>
            </w:r>
            <w:r>
              <w:rPr>
                <w:rFonts w:ascii="Times New Roman" w:eastAsia="Times New Roman" w:hAnsi="Times New Roman" w:cs="Times New Roman"/>
                <w:color w:val="000000"/>
                <w:spacing w:val="0"/>
                <w:w w:val="100"/>
                <w:position w:val="0"/>
                <w:sz w:val="22"/>
                <w:szCs w:val="22"/>
              </w:rPr>
              <w:t>50%</w:t>
            </w:r>
            <w:r>
              <w:rPr>
                <w:color w:val="000000"/>
                <w:spacing w:val="0"/>
                <w:w w:val="100"/>
                <w:position w:val="0"/>
                <w:sz w:val="20"/>
                <w:szCs w:val="20"/>
              </w:rPr>
              <w:t>可能收回</w:t>
            </w:r>
          </w:p>
        </w:tc>
      </w:tr>
      <w:tr>
        <w:trPr>
          <w:trHeight w:val="408" w:hRule="exact"/>
        </w:trPr>
        <w:tc>
          <w:tcPr>
            <w:tcBorders>
              <w:top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20"/>
              <w:jc w:val="left"/>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4,936,752.29</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4,936,752.29</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08" w:hRule="exact"/>
        </w:trPr>
        <w:tc>
          <w:tcPr>
            <w:tcBorders>
              <w:top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20"/>
              <w:jc w:val="left"/>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3,736,040.00</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3,736,040.00</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13" w:hRule="exact"/>
        </w:trPr>
        <w:tc>
          <w:tcPr>
            <w:tcBorders>
              <w:top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20"/>
              <w:jc w:val="left"/>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3,406,472.15</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3,406,472.15</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08" w:hRule="exact"/>
        </w:trPr>
        <w:tc>
          <w:tcPr>
            <w:tcBorders>
              <w:top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20"/>
              <w:jc w:val="left"/>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3,080,000.00</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1,540,000.00</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w:t>
            </w:r>
            <w:r>
              <w:rPr>
                <w:rFonts w:ascii="Times New Roman" w:eastAsia="Times New Roman" w:hAnsi="Times New Roman" w:cs="Times New Roman"/>
                <w:color w:val="000000"/>
                <w:spacing w:val="0"/>
                <w:w w:val="100"/>
                <w:position w:val="0"/>
                <w:sz w:val="22"/>
                <w:szCs w:val="22"/>
              </w:rPr>
              <w:t>50%</w:t>
            </w:r>
            <w:r>
              <w:rPr>
                <w:color w:val="000000"/>
                <w:spacing w:val="0"/>
                <w:w w:val="100"/>
                <w:position w:val="0"/>
                <w:sz w:val="20"/>
                <w:szCs w:val="20"/>
              </w:rPr>
              <w:t>可能收回</w:t>
            </w:r>
          </w:p>
        </w:tc>
      </w:tr>
      <w:tr>
        <w:trPr>
          <w:trHeight w:val="413" w:hRule="exact"/>
        </w:trPr>
        <w:tc>
          <w:tcPr>
            <w:tcBorders>
              <w:top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20"/>
              <w:jc w:val="left"/>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3,050,931.95</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3,050,931.95</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08" w:hRule="exact"/>
        </w:trPr>
        <w:tc>
          <w:tcPr>
            <w:tcBorders>
              <w:top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20"/>
              <w:jc w:val="left"/>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2,791,671.97</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2,791,671.97</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619" w:hRule="exact"/>
        </w:trPr>
        <w:tc>
          <w:tcPr>
            <w:tcBorders>
              <w:top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20"/>
              <w:jc w:val="left"/>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2,402,700.00</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36.87</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885,803.25</w:t>
            </w:r>
          </w:p>
        </w:tc>
        <w:tc>
          <w:tcPr>
            <w:tcBorders>
              <w:top w:val="single" w:sz="4"/>
              <w:left w:val="single" w:sz="4"/>
            </w:tcBorders>
            <w:shd w:val="clear" w:color="auto" w:fill="FFFFFF"/>
            <w:vAlign w:val="bottom"/>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根据法院判决，预计</w:t>
            </w:r>
          </w:p>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36.87%</w:t>
            </w:r>
            <w:r>
              <w:rPr>
                <w:color w:val="000000"/>
                <w:spacing w:val="0"/>
                <w:w w:val="100"/>
                <w:position w:val="0"/>
                <w:sz w:val="20"/>
                <w:szCs w:val="20"/>
              </w:rPr>
              <w:t>无法收回</w:t>
            </w:r>
          </w:p>
        </w:tc>
      </w:tr>
      <w:tr>
        <w:trPr>
          <w:trHeight w:val="413" w:hRule="exact"/>
        </w:trPr>
        <w:tc>
          <w:tcPr>
            <w:tcBorders>
              <w:top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20"/>
              <w:jc w:val="left"/>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2,356,000.00</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2,356,000.00</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08" w:hRule="exact"/>
        </w:trPr>
        <w:tc>
          <w:tcPr>
            <w:tcBorders>
              <w:top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20"/>
              <w:jc w:val="left"/>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2,155,500.00</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1,077,750.00</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w:t>
            </w:r>
            <w:r>
              <w:rPr>
                <w:rFonts w:ascii="Times New Roman" w:eastAsia="Times New Roman" w:hAnsi="Times New Roman" w:cs="Times New Roman"/>
                <w:color w:val="000000"/>
                <w:spacing w:val="0"/>
                <w:w w:val="100"/>
                <w:position w:val="0"/>
                <w:sz w:val="22"/>
                <w:szCs w:val="22"/>
              </w:rPr>
              <w:t>50%</w:t>
            </w:r>
            <w:r>
              <w:rPr>
                <w:color w:val="000000"/>
                <w:spacing w:val="0"/>
                <w:w w:val="100"/>
                <w:position w:val="0"/>
                <w:sz w:val="20"/>
                <w:szCs w:val="20"/>
              </w:rPr>
              <w:t>可能收回</w:t>
            </w:r>
          </w:p>
        </w:tc>
      </w:tr>
      <w:tr>
        <w:trPr>
          <w:trHeight w:val="413" w:hRule="exact"/>
        </w:trPr>
        <w:tc>
          <w:tcPr>
            <w:tcBorders>
              <w:top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20"/>
              <w:jc w:val="left"/>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1,984,789.99</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1,984,789.99</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08" w:hRule="exact"/>
        </w:trPr>
        <w:tc>
          <w:tcPr>
            <w:tcBorders>
              <w:top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20"/>
              <w:jc w:val="left"/>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1,873,884.42</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1,873,884.42</w:t>
            </w:r>
          </w:p>
        </w:tc>
        <w:tc>
          <w:tcPr>
            <w:tcBorders>
              <w:top w:val="single" w:sz="4"/>
              <w:left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22" w:hRule="exact"/>
        </w:trPr>
        <w:tc>
          <w:tcPr>
            <w:tcBorders>
              <w:top w:val="single" w:sz="4"/>
              <w:bottom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20"/>
              <w:jc w:val="left"/>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1,657,000.00</w:t>
            </w:r>
          </w:p>
        </w:tc>
        <w:tc>
          <w:tcPr>
            <w:tcBorders>
              <w:top w:val="single" w:sz="4"/>
              <w:left w:val="single" w:sz="4"/>
              <w:bottom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1,657,000.00</w:t>
            </w:r>
          </w:p>
        </w:tc>
        <w:tc>
          <w:tcPr>
            <w:tcBorders>
              <w:top w:val="single" w:sz="4"/>
              <w:left w:val="single" w:sz="4"/>
              <w:bottom w:val="single" w:sz="4"/>
            </w:tcBorders>
            <w:shd w:val="clear" w:color="auto" w:fill="FFFFFF"/>
            <w:vAlign w:val="center"/>
          </w:tcPr>
          <w:p>
            <w:pPr>
              <w:pStyle w:val="Style2"/>
              <w:keepNext w:val="0"/>
              <w:keepLines w:val="0"/>
              <w:framePr w:w="9326" w:h="8429"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bl>
    <w:p>
      <w:pPr>
        <w:pStyle w:val="Style38"/>
        <w:keepNext w:val="0"/>
        <w:keepLines w:val="0"/>
        <w:framePr w:w="922" w:h="288" w:hSpace="444" w:wrap="notBeside" w:vAnchor="text" w:hAnchor="text" w:x="690" w:y="15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单位名称</w:t>
      </w:r>
    </w:p>
    <w:p>
      <w:pPr>
        <w:pStyle w:val="Style38"/>
        <w:keepNext w:val="0"/>
        <w:keepLines w:val="0"/>
        <w:framePr w:w="926" w:h="283" w:hSpace="444" w:wrap="notBeside" w:vAnchor="text" w:hAnchor="text" w:x="2259" w:y="15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p>
      <w:pPr>
        <w:pStyle w:val="Style38"/>
        <w:keepNext w:val="0"/>
        <w:keepLines w:val="0"/>
        <w:framePr w:w="922" w:h="288" w:hSpace="444" w:wrap="notBeside" w:vAnchor="text" w:hAnchor="text" w:x="6027" w:y="15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坏账准备</w:t>
      </w:r>
    </w:p>
    <w:p>
      <w:pPr>
        <w:pStyle w:val="Style38"/>
        <w:keepNext w:val="0"/>
        <w:keepLines w:val="0"/>
        <w:framePr w:w="480" w:h="288" w:hSpace="444" w:wrap="notBeside" w:vAnchor="text" w:hAnchor="text" w:x="8298" w:y="15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理由</w:t>
      </w:r>
    </w:p>
    <w:p>
      <w:pPr>
        <w:pStyle w:val="Style38"/>
        <w:keepNext w:val="0"/>
        <w:keepLines w:val="0"/>
        <w:framePr w:w="1805" w:h="576" w:hSpace="444" w:wrap="notBeside" w:vAnchor="text" w:hAnchor="text" w:x="3738" w:y="1"/>
        <w:widowControl w:val="0"/>
        <w:shd w:val="clear" w:color="auto" w:fill="auto"/>
        <w:bidi w:val="0"/>
        <w:spacing w:before="0" w:after="0" w:line="278" w:lineRule="exact"/>
        <w:ind w:left="0" w:right="0" w:firstLine="0"/>
        <w:jc w:val="center"/>
      </w:pPr>
      <w:r>
        <w:rPr>
          <w:b/>
          <w:bCs/>
          <w:color w:val="000000"/>
          <w:spacing w:val="0"/>
          <w:w w:val="100"/>
          <w:position w:val="0"/>
          <w:sz w:val="20"/>
          <w:szCs w:val="20"/>
        </w:rPr>
        <w:t>整个存续期预期信 用损失率</w:t>
      </w:r>
      <w:r>
        <w:rPr>
          <w:b/>
          <w:bCs/>
          <w:color w:val="000000"/>
          <w:spacing w:val="0"/>
          <w:w w:val="100"/>
          <w:position w:val="0"/>
        </w:rPr>
        <w:t>％</w:t>
      </w:r>
    </w:p>
    <w:p>
      <w:pPr>
        <w:widowControl w:val="0"/>
        <w:spacing w:line="1" w:lineRule="exact"/>
      </w:pPr>
      <w:r>
        <w:br w:type="page"/>
      </w:r>
    </w:p>
    <w:tbl>
      <w:tblPr>
        <w:tblOverlap w:val="never"/>
        <w:jc w:val="left"/>
        <w:tblLayout w:type="fixed"/>
      </w:tblPr>
      <w:tblGrid>
        <w:gridCol w:w="1358"/>
        <w:gridCol w:w="1843"/>
        <w:gridCol w:w="1982"/>
        <w:gridCol w:w="1704"/>
        <w:gridCol w:w="2438"/>
      </w:tblGrid>
      <w:tr>
        <w:trPr>
          <w:trHeight w:val="413" w:hRule="exact"/>
        </w:trPr>
        <w:tc>
          <w:tcPr>
            <w:tcBorders>
              <w:top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420"/>
              <w:jc w:val="both"/>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1,537,524.16</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1,537,524.16</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13" w:hRule="exact"/>
        </w:trPr>
        <w:tc>
          <w:tcPr>
            <w:tcBorders>
              <w:top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420"/>
              <w:jc w:val="both"/>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1,490,496.78</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1,490,496.78</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08" w:hRule="exact"/>
        </w:trPr>
        <w:tc>
          <w:tcPr>
            <w:tcBorders>
              <w:top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420"/>
              <w:jc w:val="both"/>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1,078,689.03</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1,078,689.03</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08" w:hRule="exact"/>
        </w:trPr>
        <w:tc>
          <w:tcPr>
            <w:tcBorders>
              <w:top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420"/>
              <w:jc w:val="both"/>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1,068,800.00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1,068,800.00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13" w:hRule="exact"/>
        </w:trPr>
        <w:tc>
          <w:tcPr>
            <w:tcBorders>
              <w:top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420"/>
              <w:jc w:val="both"/>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1,018,800.00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1,018,800.00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08" w:hRule="exact"/>
        </w:trPr>
        <w:tc>
          <w:tcPr>
            <w:tcBorders>
              <w:top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420"/>
              <w:jc w:val="both"/>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882,966.50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882,966.50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13" w:hRule="exact"/>
        </w:trPr>
        <w:tc>
          <w:tcPr>
            <w:tcBorders>
              <w:top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420"/>
              <w:jc w:val="both"/>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791,000.00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791,000.00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08" w:hRule="exact"/>
        </w:trPr>
        <w:tc>
          <w:tcPr>
            <w:tcBorders>
              <w:top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420"/>
              <w:jc w:val="both"/>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768,000.00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768,000.00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13" w:hRule="exact"/>
        </w:trPr>
        <w:tc>
          <w:tcPr>
            <w:tcBorders>
              <w:top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420"/>
              <w:jc w:val="both"/>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704,082.00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704,082.00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08" w:hRule="exact"/>
        </w:trPr>
        <w:tc>
          <w:tcPr>
            <w:tcBorders>
              <w:top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420"/>
              <w:jc w:val="both"/>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354,125.00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354,125.00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08" w:hRule="exact"/>
        </w:trPr>
        <w:tc>
          <w:tcPr>
            <w:tcBorders>
              <w:top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420"/>
              <w:jc w:val="both"/>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350,000.00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350,000.00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13" w:hRule="exact"/>
        </w:trPr>
        <w:tc>
          <w:tcPr>
            <w:tcBorders>
              <w:top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420"/>
              <w:jc w:val="both"/>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329,215.73</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329,215.73</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08" w:hRule="exact"/>
        </w:trPr>
        <w:tc>
          <w:tcPr>
            <w:tcBorders>
              <w:top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420"/>
              <w:jc w:val="both"/>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284,300.00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284,300.00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13" w:hRule="exact"/>
        </w:trPr>
        <w:tc>
          <w:tcPr>
            <w:tcBorders>
              <w:top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420"/>
              <w:jc w:val="both"/>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240,620.00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240,620.00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08" w:hRule="exact"/>
        </w:trPr>
        <w:tc>
          <w:tcPr>
            <w:tcBorders>
              <w:top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420"/>
              <w:jc w:val="both"/>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204,102.00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204,102.00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08" w:hRule="exact"/>
        </w:trPr>
        <w:tc>
          <w:tcPr>
            <w:tcBorders>
              <w:top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420"/>
              <w:jc w:val="both"/>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137,000.00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137,000.00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13" w:hRule="exact"/>
        </w:trPr>
        <w:tc>
          <w:tcPr>
            <w:tcBorders>
              <w:top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420"/>
              <w:jc w:val="both"/>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116,960.00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116,960.00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08" w:hRule="exact"/>
        </w:trPr>
        <w:tc>
          <w:tcPr>
            <w:tcBorders>
              <w:top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420"/>
              <w:jc w:val="both"/>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13" w:hRule="exact"/>
        </w:trPr>
        <w:tc>
          <w:tcPr>
            <w:tcBorders>
              <w:top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420"/>
              <w:jc w:val="both"/>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56,000.00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56,000.00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08" w:hRule="exact"/>
        </w:trPr>
        <w:tc>
          <w:tcPr>
            <w:tcBorders>
              <w:top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420"/>
              <w:jc w:val="both"/>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13" w:hRule="exact"/>
        </w:trPr>
        <w:tc>
          <w:tcPr>
            <w:tcBorders>
              <w:top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420"/>
              <w:jc w:val="both"/>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13,000.00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13,000.00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408" w:hRule="exact"/>
        </w:trPr>
        <w:tc>
          <w:tcPr>
            <w:tcBorders>
              <w:top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420"/>
              <w:jc w:val="both"/>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8,049.78</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8,049.78</w:t>
            </w:r>
          </w:p>
        </w:tc>
        <w:tc>
          <w:tcPr>
            <w:tcBorders>
              <w:top w:val="single" w:sz="4"/>
              <w:left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预计无法收回</w:t>
            </w:r>
          </w:p>
        </w:tc>
      </w:tr>
      <w:tr>
        <w:trPr>
          <w:trHeight w:val="590" w:hRule="exact"/>
        </w:trPr>
        <w:tc>
          <w:tcPr>
            <w:tcBorders>
              <w:top w:val="single" w:sz="4"/>
              <w:bottom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698,115,353.26</w:t>
            </w:r>
          </w:p>
        </w:tc>
        <w:tc>
          <w:tcPr>
            <w:tcBorders>
              <w:top w:val="single" w:sz="4"/>
              <w:left w:val="single" w:sz="4"/>
              <w:bottom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98.39</w:t>
            </w:r>
          </w:p>
        </w:tc>
        <w:tc>
          <w:tcPr>
            <w:tcBorders>
              <w:top w:val="single" w:sz="4"/>
              <w:left w:val="single" w:sz="4"/>
              <w:bottom w:val="single" w:sz="4"/>
            </w:tcBorders>
            <w:shd w:val="clear" w:color="auto" w:fill="FFFFFF"/>
            <w:vAlign w:val="center"/>
          </w:tcPr>
          <w:p>
            <w:pPr>
              <w:pStyle w:val="Style2"/>
              <w:keepNext w:val="0"/>
              <w:keepLines w:val="0"/>
              <w:framePr w:w="9326" w:h="9614" w:vSpace="600" w:wrap="notBeside" w:vAnchor="text" w:hAnchor="text" w:x="445" w:y="601"/>
              <w:widowControl w:val="0"/>
              <w:shd w:val="clear" w:color="auto" w:fill="auto"/>
              <w:bidi w:val="0"/>
              <w:spacing w:before="0" w:after="0" w:line="240" w:lineRule="auto"/>
              <w:ind w:left="0" w:right="0" w:firstLine="220"/>
              <w:jc w:val="both"/>
            </w:pPr>
            <w:r>
              <w:rPr>
                <w:rFonts w:ascii="Times New Roman" w:eastAsia="Times New Roman" w:hAnsi="Times New Roman" w:cs="Times New Roman"/>
                <w:b/>
                <w:bCs/>
                <w:color w:val="000000"/>
                <w:spacing w:val="0"/>
                <w:w w:val="100"/>
                <w:position w:val="0"/>
              </w:rPr>
              <w:t>686,897,444.76</w:t>
            </w:r>
          </w:p>
        </w:tc>
        <w:tc>
          <w:tcPr>
            <w:tcBorders>
              <w:top w:val="single" w:sz="4"/>
              <w:left w:val="single" w:sz="4"/>
              <w:bottom w:val="single" w:sz="4"/>
            </w:tcBorders>
            <w:shd w:val="clear" w:color="auto" w:fill="FFFFFF"/>
            <w:vAlign w:val="top"/>
          </w:tcPr>
          <w:p>
            <w:pPr>
              <w:framePr w:w="9326" w:h="9614" w:vSpace="600" w:wrap="notBeside" w:vAnchor="text" w:hAnchor="text" w:x="445" w:y="601"/>
              <w:widowControl w:val="0"/>
              <w:rPr>
                <w:sz w:val="10"/>
                <w:szCs w:val="10"/>
              </w:rPr>
            </w:pPr>
          </w:p>
        </w:tc>
      </w:tr>
    </w:tbl>
    <w:p>
      <w:pPr>
        <w:pStyle w:val="Style38"/>
        <w:keepNext w:val="0"/>
        <w:keepLines w:val="0"/>
        <w:framePr w:w="922" w:h="288" w:hSpace="444" w:wrap="notBeside" w:vAnchor="text" w:hAnchor="text" w:x="690" w:y="145"/>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单位名称</w:t>
      </w:r>
    </w:p>
    <w:p>
      <w:pPr>
        <w:pStyle w:val="Style38"/>
        <w:keepNext w:val="0"/>
        <w:keepLines w:val="0"/>
        <w:framePr w:w="922" w:h="288" w:hSpace="444" w:wrap="notBeside" w:vAnchor="text" w:hAnchor="text" w:x="6027" w:y="145"/>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坏账准备</w:t>
      </w:r>
    </w:p>
    <w:p>
      <w:pPr>
        <w:pStyle w:val="Style38"/>
        <w:keepNext w:val="0"/>
        <w:keepLines w:val="0"/>
        <w:framePr w:w="480" w:h="288" w:hSpace="444" w:wrap="notBeside" w:vAnchor="text" w:hAnchor="text" w:x="8298" w:y="145"/>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理由</w:t>
      </w:r>
    </w:p>
    <w:p>
      <w:pPr>
        <w:pStyle w:val="Style38"/>
        <w:keepNext w:val="0"/>
        <w:keepLines w:val="0"/>
        <w:framePr w:w="3283" w:h="571" w:hSpace="444" w:wrap="notBeside" w:vAnchor="text" w:hAnchor="text" w:x="2259" w:y="1"/>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整个存续期预期信</w:t>
      </w:r>
    </w:p>
    <w:p>
      <w:pPr>
        <w:pStyle w:val="Style38"/>
        <w:keepNext w:val="0"/>
        <w:keepLines w:val="0"/>
        <w:framePr w:w="3283" w:h="571" w:hSpace="444" w:wrap="notBeside" w:vAnchor="text" w:hAnchor="text" w:x="2259" w:y="1"/>
        <w:widowControl w:val="0"/>
        <w:shd w:val="clear" w:color="auto" w:fill="auto"/>
        <w:tabs>
          <w:tab w:pos="1800" w:val="left"/>
        </w:tabs>
        <w:bidi w:val="0"/>
        <w:spacing w:before="0" w:after="0" w:line="240" w:lineRule="auto"/>
        <w:ind w:left="0" w:right="0" w:firstLine="0"/>
        <w:jc w:val="left"/>
      </w:pPr>
      <w:r>
        <w:rPr>
          <w:b/>
          <w:bCs/>
          <w:color w:val="000000"/>
          <w:spacing w:val="0"/>
          <w:w w:val="100"/>
          <w:position w:val="0"/>
          <w:sz w:val="20"/>
          <w:szCs w:val="20"/>
        </w:rPr>
        <w:t>账面余额</w:t>
        <w:tab/>
        <w:t>用损失率</w:t>
      </w:r>
      <w:r>
        <w:rPr>
          <w:b/>
          <w:bCs/>
          <w:color w:val="000000"/>
          <w:spacing w:val="0"/>
          <w:w w:val="100"/>
          <w:position w:val="0"/>
        </w:rPr>
        <w:t>％</w:t>
      </w:r>
    </w:p>
    <w:p>
      <w:pPr>
        <w:widowControl w:val="0"/>
        <w:spacing w:line="1" w:lineRule="exact"/>
      </w:pPr>
    </w:p>
    <w:p>
      <w:pPr>
        <w:pStyle w:val="Style44"/>
        <w:keepNext w:val="0"/>
        <w:keepLines w:val="0"/>
        <w:widowControl w:val="0"/>
        <w:shd w:val="clear" w:color="auto" w:fill="auto"/>
        <w:bidi w:val="0"/>
        <w:spacing w:before="0" w:after="240" w:line="240" w:lineRule="auto"/>
        <w:ind w:left="0" w:right="0" w:firstLine="600"/>
        <w:jc w:val="left"/>
      </w:pPr>
      <w:r>
        <w:rPr>
          <w:color w:val="000000"/>
          <w:spacing w:val="0"/>
          <w:w w:val="100"/>
          <w:position w:val="0"/>
        </w:rPr>
        <w:t>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日，组合计提坏账准备:</w:t>
      </w:r>
    </w:p>
    <w:p>
      <w:pPr>
        <w:pStyle w:val="Style44"/>
        <w:keepNext w:val="0"/>
        <w:keepLines w:val="0"/>
        <w:widowControl w:val="0"/>
        <w:shd w:val="clear" w:color="auto" w:fill="auto"/>
        <w:bidi w:val="0"/>
        <w:spacing w:before="0" w:after="240" w:line="240" w:lineRule="auto"/>
        <w:ind w:left="0" w:right="0" w:firstLine="600"/>
        <w:jc w:val="left"/>
      </w:pPr>
      <w:r>
        <w:rPr>
          <w:color w:val="000000"/>
          <w:spacing w:val="0"/>
          <w:w w:val="100"/>
          <w:position w:val="0"/>
        </w:rPr>
        <w:t>组合——组合</w:t>
      </w:r>
      <w:r>
        <w:rPr>
          <w:rFonts w:ascii="Times New Roman" w:eastAsia="Times New Roman" w:hAnsi="Times New Roman" w:cs="Times New Roman"/>
          <w:color w:val="000000"/>
          <w:spacing w:val="0"/>
          <w:w w:val="100"/>
          <w:position w:val="0"/>
        </w:rPr>
        <w:t>2</w:t>
      </w:r>
    </w:p>
    <w:p>
      <w:pPr>
        <w:pStyle w:val="Style44"/>
        <w:keepNext w:val="0"/>
        <w:keepLines w:val="0"/>
        <w:widowControl w:val="0"/>
        <w:pBdr>
          <w:bottom w:val="single" w:sz="4" w:space="0" w:color="auto"/>
        </w:pBdr>
        <w:shd w:val="clear" w:color="auto" w:fill="auto"/>
        <w:bidi w:val="0"/>
        <w:spacing w:before="0" w:after="180" w:line="240" w:lineRule="auto"/>
        <w:ind w:left="0" w:right="0" w:firstLine="600"/>
        <w:jc w:val="left"/>
      </w:pPr>
      <w:r>
        <w:rPr>
          <w:color w:val="000000"/>
          <w:spacing w:val="0"/>
          <w:w w:val="100"/>
          <w:position w:val="0"/>
        </w:rPr>
        <w:t>芯片行业:</w:t>
      </w:r>
    </w:p>
    <w:tbl>
      <w:tblPr>
        <w:tblOverlap w:val="never"/>
        <w:jc w:val="left"/>
        <w:tblLayout w:type="fixed"/>
      </w:tblPr>
      <w:tblGrid>
        <w:gridCol w:w="1891"/>
        <w:gridCol w:w="2693"/>
        <w:gridCol w:w="2126"/>
        <w:gridCol w:w="2443"/>
      </w:tblGrid>
      <w:tr>
        <w:trPr>
          <w:trHeight w:val="413" w:hRule="exact"/>
        </w:trPr>
        <w:tc>
          <w:tcPr>
            <w:tcBorders>
              <w:top w:val="single" w:sz="4"/>
            </w:tcBorders>
            <w:shd w:val="clear" w:color="auto" w:fill="FFFFFF"/>
            <w:vAlign w:val="center"/>
          </w:tcPr>
          <w:p>
            <w:pPr>
              <w:pStyle w:val="Style2"/>
              <w:keepNext w:val="0"/>
              <w:keepLines w:val="0"/>
              <w:framePr w:w="9154" w:h="1243" w:vSpace="586" w:wrap="notBeside" w:vAnchor="text" w:hAnchor="text" w:x="531" w:y="587"/>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framePr w:w="9154" w:h="1243" w:vSpace="586" w:wrap="notBeside" w:vAnchor="text" w:hAnchor="text" w:x="531" w:y="587"/>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66,146,081.33</w:t>
            </w:r>
          </w:p>
        </w:tc>
        <w:tc>
          <w:tcPr>
            <w:tcBorders>
              <w:top w:val="single" w:sz="4"/>
              <w:left w:val="single" w:sz="4"/>
            </w:tcBorders>
            <w:shd w:val="clear" w:color="auto" w:fill="FFFFFF"/>
            <w:vAlign w:val="center"/>
          </w:tcPr>
          <w:p>
            <w:pPr>
              <w:pStyle w:val="Style2"/>
              <w:keepNext w:val="0"/>
              <w:keepLines w:val="0"/>
              <w:framePr w:w="9154" w:h="1243" w:vSpace="586" w:wrap="notBeside" w:vAnchor="text" w:hAnchor="text" w:x="531" w:y="587"/>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framePr w:w="9154" w:h="1243" w:vSpace="586" w:wrap="notBeside" w:vAnchor="text" w:hAnchor="text" w:x="531" w:y="587"/>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661,460.81</w:t>
            </w:r>
          </w:p>
        </w:tc>
      </w:tr>
      <w:tr>
        <w:trPr>
          <w:trHeight w:val="413" w:hRule="exact"/>
        </w:trPr>
        <w:tc>
          <w:tcPr>
            <w:tcBorders>
              <w:top w:val="single" w:sz="4"/>
            </w:tcBorders>
            <w:shd w:val="clear" w:color="auto" w:fill="FFFFFF"/>
            <w:vAlign w:val="center"/>
          </w:tcPr>
          <w:p>
            <w:pPr>
              <w:pStyle w:val="Style2"/>
              <w:keepNext w:val="0"/>
              <w:keepLines w:val="0"/>
              <w:framePr w:w="9154" w:h="1243" w:vSpace="586" w:wrap="notBeside" w:vAnchor="text" w:hAnchor="text" w:x="531" w:y="587"/>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framePr w:w="9154" w:h="1243" w:vSpace="586" w:wrap="notBeside" w:vAnchor="text" w:hAnchor="text" w:x="531" w:y="587"/>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1,957,530.72</w:t>
            </w:r>
          </w:p>
        </w:tc>
        <w:tc>
          <w:tcPr>
            <w:tcBorders>
              <w:top w:val="single" w:sz="4"/>
              <w:left w:val="single" w:sz="4"/>
            </w:tcBorders>
            <w:shd w:val="clear" w:color="auto" w:fill="FFFFFF"/>
            <w:vAlign w:val="center"/>
          </w:tcPr>
          <w:p>
            <w:pPr>
              <w:pStyle w:val="Style2"/>
              <w:keepNext w:val="0"/>
              <w:keepLines w:val="0"/>
              <w:framePr w:w="9154" w:h="1243" w:vSpace="586" w:wrap="notBeside" w:vAnchor="text" w:hAnchor="text" w:x="531" w:y="587"/>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framePr w:w="9154" w:h="1243" w:vSpace="586" w:wrap="notBeside" w:vAnchor="text" w:hAnchor="text" w:x="531" w:y="587"/>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97,876.54</w:t>
            </w:r>
          </w:p>
        </w:tc>
      </w:tr>
      <w:tr>
        <w:trPr>
          <w:trHeight w:val="418" w:hRule="exact"/>
        </w:trPr>
        <w:tc>
          <w:tcPr>
            <w:tcBorders>
              <w:top w:val="single" w:sz="4"/>
              <w:bottom w:val="single" w:sz="4"/>
            </w:tcBorders>
            <w:shd w:val="clear" w:color="auto" w:fill="FFFFFF"/>
            <w:vAlign w:val="center"/>
          </w:tcPr>
          <w:p>
            <w:pPr>
              <w:pStyle w:val="Style2"/>
              <w:keepNext w:val="0"/>
              <w:keepLines w:val="0"/>
              <w:framePr w:w="9154" w:h="1243" w:vSpace="586" w:wrap="notBeside" w:vAnchor="text" w:hAnchor="text" w:x="531" w:y="587"/>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
              <w:keepNext w:val="0"/>
              <w:keepLines w:val="0"/>
              <w:framePr w:w="9154" w:h="1243" w:vSpace="586" w:wrap="notBeside" w:vAnchor="text" w:hAnchor="text" w:x="531" w:y="587"/>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1,019,885.29</w:t>
            </w:r>
          </w:p>
        </w:tc>
        <w:tc>
          <w:tcPr>
            <w:tcBorders>
              <w:top w:val="single" w:sz="4"/>
              <w:left w:val="single" w:sz="4"/>
              <w:bottom w:val="single" w:sz="4"/>
            </w:tcBorders>
            <w:shd w:val="clear" w:color="auto" w:fill="FFFFFF"/>
            <w:vAlign w:val="center"/>
          </w:tcPr>
          <w:p>
            <w:pPr>
              <w:pStyle w:val="Style2"/>
              <w:keepNext w:val="0"/>
              <w:keepLines w:val="0"/>
              <w:framePr w:w="9154" w:h="1243" w:vSpace="586" w:wrap="notBeside" w:vAnchor="text" w:hAnchor="text" w:x="531" w:y="587"/>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center"/>
          </w:tcPr>
          <w:p>
            <w:pPr>
              <w:pStyle w:val="Style2"/>
              <w:keepNext w:val="0"/>
              <w:keepLines w:val="0"/>
              <w:framePr w:w="9154" w:h="1243" w:vSpace="586" w:wrap="notBeside" w:vAnchor="text" w:hAnchor="text" w:x="531" w:y="587"/>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305,965.59</w:t>
            </w:r>
          </w:p>
        </w:tc>
      </w:tr>
    </w:tbl>
    <w:p>
      <w:pPr>
        <w:pStyle w:val="Style38"/>
        <w:keepNext w:val="0"/>
        <w:keepLines w:val="0"/>
        <w:framePr w:w="485" w:h="278" w:hSpace="530" w:wrap="notBeside" w:vAnchor="text" w:hAnchor="text" w:x="1261" w:y="165"/>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账龄</w:t>
      </w:r>
    </w:p>
    <w:p>
      <w:pPr>
        <w:pStyle w:val="Style38"/>
        <w:keepNext w:val="0"/>
        <w:keepLines w:val="0"/>
        <w:framePr w:w="922" w:h="283" w:hSpace="530" w:wrap="notBeside" w:vAnchor="text" w:hAnchor="text" w:x="3325" w:y="165"/>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账面余额</w:t>
      </w:r>
    </w:p>
    <w:p>
      <w:pPr>
        <w:pStyle w:val="Style38"/>
        <w:keepNext w:val="0"/>
        <w:keepLines w:val="0"/>
        <w:framePr w:w="926" w:h="283" w:hSpace="530" w:wrap="notBeside" w:vAnchor="text" w:hAnchor="text" w:x="8000" w:y="165"/>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坏账准备</w:t>
      </w:r>
    </w:p>
    <w:p>
      <w:pPr>
        <w:pStyle w:val="Style38"/>
        <w:keepNext w:val="0"/>
        <w:keepLines w:val="0"/>
        <w:framePr w:w="1810" w:h="581" w:hSpace="530" w:wrap="notBeside" w:vAnchor="text" w:hAnchor="text" w:x="5288" w:y="1"/>
        <w:widowControl w:val="0"/>
        <w:shd w:val="clear" w:color="auto" w:fill="auto"/>
        <w:bidi w:val="0"/>
        <w:spacing w:before="0" w:after="0" w:line="283" w:lineRule="exact"/>
        <w:ind w:left="0" w:right="0" w:firstLine="0"/>
        <w:jc w:val="center"/>
      </w:pPr>
      <w:r>
        <w:rPr>
          <w:b/>
          <w:bCs/>
          <w:color w:val="000000"/>
          <w:spacing w:val="0"/>
          <w:w w:val="100"/>
          <w:position w:val="0"/>
          <w:sz w:val="20"/>
          <w:szCs w:val="20"/>
        </w:rPr>
        <w:t>整个存续期预期信 用损失率</w:t>
      </w:r>
      <w:r>
        <w:rPr>
          <w:b/>
          <w:bCs/>
          <w:color w:val="000000"/>
          <w:spacing w:val="0"/>
          <w:w w:val="100"/>
          <w:position w:val="0"/>
        </w:rPr>
        <w:t>％</w:t>
      </w:r>
    </w:p>
    <w:p>
      <w:pPr>
        <w:widowControl w:val="0"/>
        <w:spacing w:line="1" w:lineRule="exact"/>
        <w:sectPr>
          <w:headerReference w:type="default" r:id="rId111"/>
          <w:footerReference w:type="default" r:id="rId112"/>
          <w:headerReference w:type="even" r:id="rId113"/>
          <w:footerReference w:type="even" r:id="rId114"/>
          <w:footnotePr>
            <w:pos w:val="pageBottom"/>
            <w:numFmt w:val="decimal"/>
            <w:numRestart w:val="continuous"/>
          </w:footnotePr>
          <w:pgSz w:w="11900" w:h="16840"/>
          <w:pgMar w:top="1136" w:right="885" w:bottom="1275" w:left="801" w:header="0" w:footer="3" w:gutter="0"/>
          <w:cols w:space="720"/>
          <w:noEndnote/>
          <w:rtlGutter w:val="0"/>
          <w:docGrid w:linePitch="360"/>
        </w:sectPr>
      </w:pPr>
    </w:p>
    <w:tbl>
      <w:tblPr>
        <w:tblOverlap w:val="never"/>
        <w:jc w:val="center"/>
        <w:tblLayout w:type="fixed"/>
      </w:tblPr>
      <w:tblGrid>
        <w:gridCol w:w="1891"/>
        <w:gridCol w:w="2693"/>
        <w:gridCol w:w="2126"/>
        <w:gridCol w:w="2443"/>
      </w:tblGrid>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b/>
                <w:bCs/>
                <w:color w:val="000000"/>
                <w:spacing w:val="0"/>
                <w:w w:val="100"/>
                <w:position w:val="0"/>
              </w:rPr>
              <w:t>69,123,497.34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b/>
                <w:bCs/>
                <w:color w:val="000000"/>
                <w:spacing w:val="0"/>
                <w:w w:val="100"/>
                <w:position w:val="0"/>
              </w:rPr>
              <w:t>1,065,302.94</w:t>
            </w:r>
          </w:p>
        </w:tc>
      </w:tr>
      <w:tr>
        <w:trPr>
          <w:trHeight w:val="557"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负极材料：</w:t>
            </w:r>
          </w:p>
        </w:tc>
      </w:tr>
      <w:tr>
        <w:trPr>
          <w:trHeight w:val="62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sz w:val="20"/>
                <w:szCs w:val="20"/>
              </w:rPr>
              <w:t>整个存续期预期信 用损失率</w:t>
            </w:r>
            <w:r>
              <w:rPr>
                <w:b/>
                <w:bCs/>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104,537,429.56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3,658,810.02</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17,313,586.33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2,597,037.95</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16,093,206.30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8,046,603.15</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37,610.00</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61,200.30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61,200.30</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2,155,434.33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2,155,434.33</w:t>
            </w:r>
          </w:p>
        </w:tc>
      </w:tr>
      <w:tr>
        <w:trPr>
          <w:trHeight w:val="36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b/>
                <w:bCs/>
                <w:color w:val="000000"/>
                <w:spacing w:val="0"/>
                <w:w w:val="100"/>
                <w:position w:val="0"/>
              </w:rPr>
              <w:t>140,198,466.82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16,556,695.75</w:t>
            </w:r>
          </w:p>
        </w:tc>
      </w:tr>
    </w:tbl>
    <w:p>
      <w:pPr>
        <w:widowControl w:val="0"/>
        <w:spacing w:after="139" w:line="1" w:lineRule="exact"/>
      </w:pPr>
    </w:p>
    <w:p>
      <w:pPr>
        <w:pStyle w:val="Style44"/>
        <w:keepNext w:val="0"/>
        <w:keepLines w:val="0"/>
        <w:widowControl w:val="0"/>
        <w:numPr>
          <w:ilvl w:val="0"/>
          <w:numId w:val="41"/>
        </w:numPr>
        <w:shd w:val="clear" w:color="auto" w:fill="auto"/>
        <w:bidi w:val="0"/>
        <w:spacing w:before="0" w:after="140" w:line="240" w:lineRule="auto"/>
        <w:ind w:left="0" w:right="0" w:firstLine="600"/>
        <w:jc w:val="both"/>
      </w:pPr>
      <w:bookmarkStart w:id="950" w:name="bookmark950"/>
      <w:bookmarkEnd w:id="950"/>
      <w:r>
        <w:rPr>
          <w:color w:val="000000"/>
          <w:spacing w:val="0"/>
          <w:w w:val="100"/>
          <w:position w:val="0"/>
        </w:rPr>
        <w:t>坏账准备的变动</w:t>
      </w:r>
    </w:p>
    <w:tbl>
      <w:tblPr>
        <w:tblOverlap w:val="never"/>
        <w:jc w:val="center"/>
        <w:tblLayout w:type="fixed"/>
      </w:tblPr>
      <w:tblGrid>
        <w:gridCol w:w="1570"/>
        <w:gridCol w:w="1531"/>
        <w:gridCol w:w="1546"/>
        <w:gridCol w:w="1608"/>
        <w:gridCol w:w="1579"/>
        <w:gridCol w:w="1579"/>
      </w:tblGrid>
      <w:tr>
        <w:trPr>
          <w:trHeight w:val="52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2020.01.01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本期增加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本期减少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b/>
                <w:bCs/>
                <w:color w:val="000000"/>
                <w:spacing w:val="0"/>
                <w:w w:val="100"/>
                <w:position w:val="0"/>
              </w:rPr>
              <w:t>2020.12.31</w:t>
            </w:r>
          </w:p>
        </w:tc>
      </w:tr>
      <w:tr>
        <w:trPr>
          <w:trHeight w:val="427"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收回或转回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转销或核销</w:t>
            </w:r>
          </w:p>
        </w:tc>
        <w:tc>
          <w:tcPr>
            <w:vMerge/>
            <w:tcBorders>
              <w:left w:val="single" w:sz="4"/>
            </w:tcBorders>
            <w:shd w:val="clear" w:color="auto" w:fill="FFFFFF"/>
            <w:vAlign w:val="center"/>
          </w:tcPr>
          <w:p>
            <w:pPr/>
          </w:p>
        </w:tc>
      </w:tr>
      <w:tr>
        <w:trPr>
          <w:trHeight w:val="73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420"/>
              <w:jc w:val="left"/>
              <w:rPr>
                <w:sz w:val="20"/>
                <w:szCs w:val="20"/>
              </w:rPr>
            </w:pPr>
            <w:r>
              <w:rPr>
                <w:color w:val="000000"/>
                <w:spacing w:val="0"/>
                <w:w w:val="100"/>
                <w:position w:val="0"/>
                <w:sz w:val="20"/>
                <w:szCs w:val="20"/>
              </w:rPr>
              <w:t>应收账款</w:t>
            </w:r>
          </w:p>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坏账准备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743,194,511.67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31,308,562.73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60,587,247.87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9,396,383.08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704,519,443.45</w:t>
            </w:r>
          </w:p>
        </w:tc>
      </w:tr>
    </w:tbl>
    <w:p>
      <w:pPr>
        <w:widowControl w:val="0"/>
        <w:spacing w:after="139" w:line="1" w:lineRule="exact"/>
      </w:pPr>
    </w:p>
    <w:p>
      <w:pPr>
        <w:pStyle w:val="Style44"/>
        <w:keepNext w:val="0"/>
        <w:keepLines w:val="0"/>
        <w:widowControl w:val="0"/>
        <w:pBdr>
          <w:bottom w:val="single" w:sz="4" w:space="0" w:color="auto"/>
        </w:pBdr>
        <w:shd w:val="clear" w:color="auto" w:fill="auto"/>
        <w:bidi w:val="0"/>
        <w:spacing w:before="0" w:after="240" w:line="240" w:lineRule="auto"/>
        <w:ind w:left="0" w:right="0" w:firstLine="600"/>
        <w:jc w:val="both"/>
      </w:pP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其中本期坏账准备转回或转销金额重要的</w:t>
      </w:r>
    </w:p>
    <w:p>
      <w:pPr>
        <w:pStyle w:val="Style38"/>
        <w:keepNext w:val="0"/>
        <w:keepLines w:val="0"/>
        <w:widowControl w:val="0"/>
        <w:shd w:val="clear" w:color="auto" w:fill="auto"/>
        <w:tabs>
          <w:tab w:pos="4099" w:val="left"/>
          <w:tab w:pos="7008" w:val="left"/>
        </w:tabs>
        <w:bidi w:val="0"/>
        <w:spacing w:before="0" w:after="0" w:line="240" w:lineRule="auto"/>
        <w:ind w:left="494" w:right="0" w:firstLine="0"/>
        <w:jc w:val="left"/>
        <w:rPr>
          <w:sz w:val="20"/>
          <w:szCs w:val="20"/>
        </w:rPr>
      </w:pPr>
      <w:r>
        <w:rPr>
          <w:b/>
          <w:bCs/>
          <w:color w:val="000000"/>
          <w:spacing w:val="0"/>
          <w:w w:val="100"/>
          <w:position w:val="0"/>
          <w:sz w:val="20"/>
          <w:szCs w:val="20"/>
        </w:rPr>
        <w:t>单位名称</w:t>
        <w:tab/>
        <w:t>转回或转销金额</w:t>
        <w:tab/>
        <w:t>方式</w:t>
      </w:r>
    </w:p>
    <w:tbl>
      <w:tblPr>
        <w:tblOverlap w:val="never"/>
        <w:jc w:val="center"/>
        <w:tblLayout w:type="fixed"/>
      </w:tblPr>
      <w:tblGrid>
        <w:gridCol w:w="3672"/>
        <w:gridCol w:w="2894"/>
        <w:gridCol w:w="2794"/>
      </w:tblGrid>
      <w:tr>
        <w:trPr>
          <w:trHeight w:val="43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56,521,000.00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货币资金</w:t>
            </w:r>
          </w:p>
        </w:tc>
      </w:tr>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1,276,626.75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法院财产保全</w:t>
            </w:r>
          </w:p>
        </w:tc>
      </w:tr>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1,012,500.00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货物抵债</w:t>
            </w:r>
          </w:p>
        </w:tc>
      </w:tr>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912,000.00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货币资金及三方抵债</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b/>
                <w:bCs/>
                <w:color w:val="000000"/>
                <w:spacing w:val="0"/>
                <w:w w:val="100"/>
                <w:position w:val="0"/>
              </w:rPr>
              <w:t>59,722,126.75</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44"/>
        <w:keepNext w:val="0"/>
        <w:keepLines w:val="0"/>
        <w:widowControl w:val="0"/>
        <w:shd w:val="clear" w:color="auto" w:fill="auto"/>
        <w:bidi w:val="0"/>
        <w:spacing w:before="0" w:after="240" w:line="467" w:lineRule="exact"/>
        <w:ind w:left="0" w:right="0" w:firstLine="600"/>
        <w:jc w:val="both"/>
      </w:pPr>
      <w:r>
        <w:rPr>
          <w:color w:val="000000"/>
          <w:spacing w:val="0"/>
          <w:w w:val="100"/>
          <w:position w:val="0"/>
        </w:rPr>
        <w:t>注：</w:t>
      </w:r>
      <w:r>
        <w:rPr>
          <w:rFonts w:ascii="Times New Roman" w:eastAsia="Times New Roman" w:hAnsi="Times New Roman" w:cs="Times New Roman"/>
          <w:color w:val="000000"/>
          <w:spacing w:val="0"/>
          <w:w w:val="100"/>
          <w:position w:val="0"/>
        </w:rPr>
        <w:t>2019</w:t>
      </w:r>
      <w:r>
        <w:rPr>
          <w:color w:val="000000"/>
          <w:spacing w:val="0"/>
          <w:w w:val="100"/>
          <w:position w:val="0"/>
        </w:rPr>
        <w:t>年，深圳市斯诺实业发展有限公司（以下简称“斯诺实业”）根据深圳市沃特玛电 池有限公司（以下简称“沃特玛”）质押物处置的实际进展，对应收沃特玛的应收款项余额全额 计提减值。</w:t>
      </w:r>
      <w:r>
        <w:rPr>
          <w:rFonts w:ascii="Times New Roman" w:eastAsia="Times New Roman" w:hAnsi="Times New Roman" w:cs="Times New Roman"/>
          <w:color w:val="000000"/>
          <w:spacing w:val="0"/>
          <w:w w:val="100"/>
          <w:position w:val="0"/>
        </w:rPr>
        <w:t>2020</w:t>
      </w:r>
      <w:r>
        <w:rPr>
          <w:color w:val="000000"/>
          <w:spacing w:val="0"/>
          <w:w w:val="100"/>
          <w:position w:val="0"/>
        </w:rPr>
        <w:t>年斯诺实业通过采取法律手段，追回已销售但回款风险大的沃特玛质押担保物, 并对追回的质押物二次销售，取得销售款</w:t>
      </w:r>
      <w:r>
        <w:rPr>
          <w:rFonts w:ascii="Times New Roman" w:eastAsia="Times New Roman" w:hAnsi="Times New Roman" w:cs="Times New Roman"/>
          <w:color w:val="000000"/>
          <w:spacing w:val="0"/>
          <w:w w:val="100"/>
          <w:position w:val="0"/>
        </w:rPr>
        <w:t>5,652.10</w:t>
      </w:r>
      <w:r>
        <w:rPr>
          <w:color w:val="000000"/>
          <w:spacing w:val="0"/>
          <w:w w:val="100"/>
          <w:position w:val="0"/>
        </w:rPr>
        <w:t>万元，转回原计提的坏账准备</w:t>
      </w:r>
      <w:r>
        <w:rPr>
          <w:rFonts w:ascii="Times New Roman" w:eastAsia="Times New Roman" w:hAnsi="Times New Roman" w:cs="Times New Roman"/>
          <w:color w:val="000000"/>
          <w:spacing w:val="0"/>
          <w:w w:val="100"/>
          <w:position w:val="0"/>
        </w:rPr>
        <w:t>5,652.10</w:t>
      </w:r>
      <w:r>
        <w:rPr>
          <w:color w:val="000000"/>
          <w:spacing w:val="0"/>
          <w:w w:val="100"/>
          <w:position w:val="0"/>
        </w:rPr>
        <w:t>万元。</w:t>
      </w:r>
    </w:p>
    <w:tbl>
      <w:tblPr>
        <w:tblOverlap w:val="never"/>
        <w:jc w:val="center"/>
        <w:tblLayout w:type="fixed"/>
      </w:tblPr>
      <w:tblGrid>
        <w:gridCol w:w="4834"/>
        <w:gridCol w:w="4565"/>
      </w:tblGrid>
      <w:tr>
        <w:trPr>
          <w:trHeight w:val="418"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本报告期实际核销的应收账款情况：</w:t>
            </w:r>
          </w:p>
        </w:tc>
      </w:tr>
      <w:tr>
        <w:trPr>
          <w:trHeight w:val="55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核销金额</w:t>
            </w: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实际核销的应收账款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9,396,383.08</w:t>
            </w:r>
          </w:p>
        </w:tc>
      </w:tr>
    </w:tbl>
    <w:p>
      <w:pPr>
        <w:widowControl w:val="0"/>
        <w:spacing w:after="139" w:line="1" w:lineRule="exact"/>
      </w:pPr>
    </w:p>
    <w:p>
      <w:pPr>
        <w:pStyle w:val="Style44"/>
        <w:keepNext w:val="0"/>
        <w:keepLines w:val="0"/>
        <w:widowControl w:val="0"/>
        <w:shd w:val="clear" w:color="auto" w:fill="auto"/>
        <w:bidi w:val="0"/>
        <w:spacing w:before="0" w:after="140" w:line="240" w:lineRule="auto"/>
        <w:ind w:left="0" w:right="0" w:firstLine="600"/>
        <w:jc w:val="both"/>
      </w:pPr>
      <w:r>
        <w:rPr>
          <w:color w:val="000000"/>
          <w:spacing w:val="0"/>
          <w:w w:val="100"/>
          <w:position w:val="0"/>
        </w:rPr>
        <w:t>其中重要的应收账款核销情况:</w:t>
      </w:r>
      <w:r>
        <w:br w:type="page"/>
      </w:r>
    </w:p>
    <w:tbl>
      <w:tblPr>
        <w:tblOverlap w:val="never"/>
        <w:jc w:val="center"/>
        <w:tblLayout w:type="fixed"/>
      </w:tblPr>
      <w:tblGrid>
        <w:gridCol w:w="2002"/>
        <w:gridCol w:w="7435"/>
      </w:tblGrid>
      <w:tr>
        <w:trPr>
          <w:trHeight w:val="63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单位名称</w:t>
            </w:r>
          </w:p>
        </w:tc>
        <w:tc>
          <w:tcPr>
            <w:tcBorders>
              <w:top w:val="single" w:sz="4"/>
            </w:tcBorders>
            <w:shd w:val="clear" w:color="auto" w:fill="FFFFFF"/>
            <w:vAlign w:val="top"/>
          </w:tcPr>
          <w:p>
            <w:pPr>
              <w:pStyle w:val="Style2"/>
              <w:keepNext w:val="0"/>
              <w:keepLines w:val="0"/>
              <w:widowControl w:val="0"/>
              <w:shd w:val="clear" w:color="auto" w:fill="auto"/>
              <w:tabs>
                <w:tab w:pos="2046" w:val="left"/>
                <w:tab w:pos="4172" w:val="left"/>
                <w:tab w:pos="5598" w:val="left"/>
              </w:tabs>
              <w:bidi w:val="0"/>
              <w:spacing w:before="0" w:after="0" w:line="240" w:lineRule="auto"/>
              <w:ind w:left="0" w:right="0" w:firstLine="620"/>
              <w:jc w:val="left"/>
              <w:rPr>
                <w:sz w:val="20"/>
                <w:szCs w:val="20"/>
              </w:rPr>
            </w:pPr>
            <w:r>
              <w:rPr>
                <w:b/>
                <w:bCs/>
                <w:color w:val="000000"/>
                <w:spacing w:val="0"/>
                <w:w w:val="100"/>
                <w:position w:val="0"/>
                <w:sz w:val="20"/>
                <w:szCs w:val="20"/>
              </w:rPr>
              <w:t>应收账款</w:t>
              <w:tab/>
              <w:t>物留冬奶</w:t>
              <w:tab/>
              <w:t>核销</w:t>
              <w:tab/>
              <w:t>款项是否因关联</w:t>
            </w:r>
          </w:p>
          <w:p>
            <w:pPr>
              <w:pStyle w:val="Style2"/>
              <w:keepNext w:val="0"/>
              <w:keepLines w:val="0"/>
              <w:widowControl w:val="0"/>
              <w:shd w:val="clear" w:color="auto" w:fill="auto"/>
              <w:tabs>
                <w:tab w:pos="2045" w:val="left"/>
                <w:tab w:pos="4171" w:val="left"/>
                <w:tab w:pos="5952" w:val="left"/>
              </w:tabs>
              <w:bidi w:val="0"/>
              <w:spacing w:before="0" w:after="0" w:line="240" w:lineRule="auto"/>
              <w:ind w:left="0" w:right="0" w:firstLine="840"/>
              <w:jc w:val="left"/>
              <w:rPr>
                <w:sz w:val="20"/>
                <w:szCs w:val="20"/>
              </w:rPr>
            </w:pPr>
            <w:r>
              <w:rPr>
                <w:b/>
                <w:bCs/>
                <w:color w:val="000000"/>
                <w:spacing w:val="0"/>
                <w:w w:val="100"/>
                <w:position w:val="0"/>
                <w:sz w:val="20"/>
                <w:szCs w:val="20"/>
              </w:rPr>
              <w:t>性质</w:t>
              <w:tab/>
              <w:t>核销金额</w:t>
              <w:tab/>
              <w:t>原因</w:t>
              <w:tab/>
              <w:t>交易产生</w:t>
            </w:r>
          </w:p>
        </w:tc>
      </w:tr>
    </w:tbl>
    <w:p>
      <w:pPr>
        <w:widowControl w:val="0"/>
        <w:spacing w:after="119" w:line="1" w:lineRule="exact"/>
      </w:pPr>
    </w:p>
    <w:p>
      <w:pPr>
        <w:widowControl w:val="0"/>
        <w:spacing w:line="1" w:lineRule="exact"/>
      </w:pPr>
    </w:p>
    <w:tbl>
      <w:tblPr>
        <w:tblOverlap w:val="never"/>
        <w:jc w:val="center"/>
        <w:tblLayout w:type="fixed"/>
      </w:tblPr>
      <w:tblGrid>
        <w:gridCol w:w="2491"/>
        <w:gridCol w:w="1176"/>
        <w:gridCol w:w="1805"/>
        <w:gridCol w:w="2006"/>
        <w:gridCol w:w="1973"/>
      </w:tblGrid>
      <w:tr>
        <w:trPr>
          <w:trHeight w:val="49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4,578,382.00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9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1,939,904.67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1,634,021.02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b/>
                <w:bCs/>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b/>
                <w:bCs/>
                <w:color w:val="000000"/>
                <w:spacing w:val="0"/>
                <w:w w:val="100"/>
                <w:position w:val="0"/>
              </w:rPr>
              <w:t>8,152,307.69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r>
    </w:tbl>
    <w:p>
      <w:pPr>
        <w:widowControl w:val="0"/>
        <w:spacing w:after="119" w:line="1" w:lineRule="exact"/>
      </w:pPr>
    </w:p>
    <w:p>
      <w:pPr>
        <w:pStyle w:val="Style44"/>
        <w:keepNext w:val="0"/>
        <w:keepLines w:val="0"/>
        <w:widowControl w:val="0"/>
        <w:pBdr>
          <w:bottom w:val="single" w:sz="4" w:space="0" w:color="auto"/>
        </w:pBdr>
        <w:shd w:val="clear" w:color="auto" w:fill="auto"/>
        <w:bidi w:val="0"/>
        <w:spacing w:before="0" w:after="200" w:line="240" w:lineRule="auto"/>
        <w:ind w:left="0" w:right="0" w:firstLine="740"/>
        <w:jc w:val="left"/>
      </w:pPr>
      <w:bookmarkStart w:id="951" w:name="bookmark951"/>
      <w:r>
        <w:rPr>
          <w:rFonts w:ascii="Times New Roman" w:eastAsia="Times New Roman" w:hAnsi="Times New Roman" w:cs="Times New Roman"/>
          <w:color w:val="000000"/>
          <w:spacing w:val="0"/>
          <w:w w:val="100"/>
          <w:position w:val="0"/>
        </w:rPr>
        <w:t>（</w:t>
      </w:r>
      <w:bookmarkEnd w:id="951"/>
      <w:r>
        <w:rPr>
          <w:rFonts w:ascii="Times New Roman" w:eastAsia="Times New Roman" w:hAnsi="Times New Roman" w:cs="Times New Roman"/>
          <w:color w:val="000000"/>
          <w:spacing w:val="0"/>
          <w:w w:val="100"/>
          <w:position w:val="0"/>
        </w:rPr>
        <w:t>3</w:t>
      </w:r>
      <w:r>
        <w:rPr>
          <w:color w:val="000000"/>
          <w:spacing w:val="0"/>
          <w:w w:val="100"/>
          <w:position w:val="0"/>
        </w:rPr>
        <w:t>）应收账款按账龄披露:</w:t>
      </w:r>
    </w:p>
    <w:p>
      <w:pPr>
        <w:pStyle w:val="Style38"/>
        <w:keepNext w:val="0"/>
        <w:keepLines w:val="0"/>
        <w:widowControl w:val="0"/>
        <w:shd w:val="clear" w:color="auto" w:fill="auto"/>
        <w:tabs>
          <w:tab w:pos="4987" w:val="left"/>
          <w:tab w:pos="7824" w:val="left"/>
        </w:tabs>
        <w:bidi w:val="0"/>
        <w:spacing w:before="0" w:after="0" w:line="240" w:lineRule="auto"/>
        <w:ind w:left="533" w:right="0" w:firstLine="0"/>
        <w:jc w:val="left"/>
      </w:pPr>
      <w:r>
        <w:rPr>
          <w:b/>
          <w:bCs/>
          <w:color w:val="000000"/>
          <w:spacing w:val="0"/>
          <w:w w:val="100"/>
          <w:position w:val="0"/>
          <w:sz w:val="20"/>
          <w:szCs w:val="20"/>
        </w:rPr>
        <w:t>账龄</w:t>
        <w:tab/>
      </w:r>
      <w:r>
        <w:rPr>
          <w:rFonts w:ascii="Times New Roman" w:eastAsia="Times New Roman" w:hAnsi="Times New Roman" w:cs="Times New Roman"/>
          <w:b/>
          <w:bCs/>
          <w:color w:val="000000"/>
          <w:spacing w:val="0"/>
          <w:w w:val="100"/>
          <w:position w:val="0"/>
        </w:rPr>
        <w:t>2020.12.31</w:t>
        <w:tab/>
        <w:t>2019.12.31</w:t>
      </w:r>
    </w:p>
    <w:tbl>
      <w:tblPr>
        <w:tblOverlap w:val="never"/>
        <w:jc w:val="left"/>
        <w:tblLayout w:type="fixed"/>
      </w:tblPr>
      <w:tblGrid>
        <w:gridCol w:w="3168"/>
        <w:gridCol w:w="2976"/>
        <w:gridCol w:w="2866"/>
      </w:tblGrid>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179,437,636.28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174,860,192.96</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41,233,441.89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185,253,700.47</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137,582,474.81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570,446,735.75</w:t>
            </w: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512,147,732.97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13,129,374.83</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12,630,105.45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29,820,789.86</w:t>
            </w: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24,405,926.02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26,090.99</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b/>
                <w:bCs/>
                <w:color w:val="000000"/>
                <w:spacing w:val="0"/>
                <w:w w:val="100"/>
                <w:position w:val="0"/>
              </w:rPr>
              <w:t>907,437,317.42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b/>
                <w:bCs/>
                <w:color w:val="000000"/>
                <w:spacing w:val="0"/>
                <w:w w:val="100"/>
                <w:position w:val="0"/>
              </w:rPr>
              <w:t>973,536,884.86</w:t>
            </w:r>
          </w:p>
        </w:tc>
      </w:tr>
    </w:tbl>
    <w:p>
      <w:pPr>
        <w:widowControl w:val="0"/>
        <w:spacing w:after="119" w:line="1" w:lineRule="exact"/>
      </w:pPr>
    </w:p>
    <w:p>
      <w:pPr>
        <w:pStyle w:val="Style44"/>
        <w:keepNext w:val="0"/>
        <w:keepLines w:val="0"/>
        <w:widowControl w:val="0"/>
        <w:pBdr>
          <w:bottom w:val="single" w:sz="4" w:space="0" w:color="auto"/>
        </w:pBdr>
        <w:shd w:val="clear" w:color="auto" w:fill="auto"/>
        <w:bidi w:val="0"/>
        <w:spacing w:before="0" w:after="200" w:line="240" w:lineRule="auto"/>
        <w:ind w:left="0" w:right="0" w:firstLine="740"/>
        <w:jc w:val="left"/>
      </w:pPr>
      <w:bookmarkStart w:id="952" w:name="bookmark952"/>
      <w:r>
        <w:rPr>
          <w:color w:val="000000"/>
          <w:spacing w:val="0"/>
          <w:w w:val="100"/>
          <w:position w:val="0"/>
        </w:rPr>
        <w:t>（</w:t>
      </w:r>
      <w:bookmarkEnd w:id="95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p>
    <w:tbl>
      <w:tblPr>
        <w:tblOverlap w:val="never"/>
        <w:jc w:val="center"/>
        <w:tblLayout w:type="fixed"/>
      </w:tblPr>
      <w:tblGrid>
        <w:gridCol w:w="1627"/>
        <w:gridCol w:w="7210"/>
      </w:tblGrid>
      <w:tr>
        <w:trPr>
          <w:trHeight w:val="57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单位名称</w:t>
            </w:r>
          </w:p>
        </w:tc>
        <w:tc>
          <w:tcPr>
            <w:tcBorders>
              <w:top w:val="single" w:sz="4"/>
              <w:bottom w:val="single" w:sz="4"/>
            </w:tcBorders>
            <w:shd w:val="clear" w:color="auto" w:fill="FFFFFF"/>
            <w:vAlign w:val="top"/>
          </w:tcPr>
          <w:p>
            <w:pPr>
              <w:pStyle w:val="Style2"/>
              <w:keepNext w:val="0"/>
              <w:keepLines w:val="0"/>
              <w:widowControl w:val="0"/>
              <w:shd w:val="clear" w:color="auto" w:fill="auto"/>
              <w:tabs>
                <w:tab w:pos="2650" w:val="left"/>
                <w:tab w:pos="3907" w:val="left"/>
                <w:tab w:pos="6283" w:val="left"/>
              </w:tabs>
              <w:bidi w:val="0"/>
              <w:spacing w:before="0" w:after="0" w:line="197" w:lineRule="exact"/>
              <w:ind w:left="720" w:right="0" w:firstLine="3080"/>
              <w:jc w:val="both"/>
              <w:rPr>
                <w:sz w:val="20"/>
                <w:szCs w:val="20"/>
              </w:rPr>
            </w:pPr>
            <w:r>
              <w:rPr>
                <w:b/>
                <w:bCs/>
                <w:color w:val="000000"/>
                <w:spacing w:val="0"/>
                <w:w w:val="100"/>
                <w:position w:val="0"/>
                <w:sz w:val="20"/>
                <w:szCs w:val="20"/>
              </w:rPr>
              <w:t>占应收账款总额坏账准备期末余 期末余额</w:t>
              <w:tab/>
              <w:t>账龄</w:t>
              <w:tab/>
              <w:t>的比例（</w:t>
            </w:r>
            <w:r>
              <w:rPr>
                <w:rFonts w:ascii="Times New Roman" w:eastAsia="Times New Roman" w:hAnsi="Times New Roman" w:cs="Times New Roman"/>
                <w:b/>
                <w:bCs/>
                <w:color w:val="000000"/>
                <w:spacing w:val="0"/>
                <w:w w:val="100"/>
                <w:position w:val="0"/>
                <w:sz w:val="22"/>
                <w:szCs w:val="22"/>
              </w:rPr>
              <w:t>%</w:t>
            </w:r>
            <w:r>
              <w:rPr>
                <w:b/>
                <w:bCs/>
                <w:color w:val="000000"/>
                <w:spacing w:val="0"/>
                <w:w w:val="100"/>
                <w:position w:val="0"/>
                <w:sz w:val="20"/>
                <w:szCs w:val="20"/>
              </w:rPr>
              <w:t>）</w:t>
              <w:tab/>
              <w:t>额</w:t>
            </w:r>
          </w:p>
        </w:tc>
      </w:tr>
    </w:tbl>
    <w:p>
      <w:pPr>
        <w:widowControl w:val="0"/>
        <w:spacing w:line="1" w:lineRule="exact"/>
      </w:pPr>
    </w:p>
    <w:tbl>
      <w:tblPr>
        <w:tblOverlap w:val="never"/>
        <w:jc w:val="center"/>
        <w:tblLayout w:type="fixed"/>
      </w:tblPr>
      <w:tblGrid>
        <w:gridCol w:w="2491"/>
        <w:gridCol w:w="1843"/>
        <w:gridCol w:w="1421"/>
        <w:gridCol w:w="1843"/>
        <w:gridCol w:w="1872"/>
      </w:tblGrid>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513,421,443.75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513,421,443.75</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63,007,928.00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63,007,928.00</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22,678,028.87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年</w:t>
            </w:r>
          </w:p>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22,678,028.87</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20,057,306.52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20,057,306.52</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13,917,205.12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487,102.18</w:t>
            </w:r>
          </w:p>
        </w:tc>
      </w:tr>
      <w:tr>
        <w:trPr>
          <w:trHeight w:val="42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633,081,912.26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b/>
                <w:bCs/>
                <w:color w:val="000000"/>
                <w:spacing w:val="0"/>
                <w:w w:val="100"/>
                <w:position w:val="0"/>
              </w:rPr>
              <w:t>69.77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b/>
                <w:bCs/>
                <w:color w:val="000000"/>
                <w:spacing w:val="0"/>
                <w:w w:val="100"/>
                <w:position w:val="0"/>
              </w:rPr>
              <w:t>619,651,809.32</w:t>
            </w:r>
          </w:p>
        </w:tc>
      </w:tr>
    </w:tbl>
    <w:p>
      <w:pPr>
        <w:widowControl w:val="0"/>
        <w:spacing w:after="299" w:line="1" w:lineRule="exact"/>
      </w:pPr>
    </w:p>
    <w:p>
      <w:pPr>
        <w:pStyle w:val="Style52"/>
        <w:keepNext/>
        <w:keepLines/>
        <w:widowControl w:val="0"/>
        <w:shd w:val="clear" w:color="auto" w:fill="auto"/>
        <w:bidi w:val="0"/>
        <w:spacing w:before="0" w:line="240" w:lineRule="auto"/>
        <w:ind w:left="0" w:right="0" w:firstLine="0"/>
        <w:jc w:val="left"/>
        <w:rPr>
          <w:sz w:val="24"/>
          <w:szCs w:val="24"/>
        </w:rPr>
      </w:pPr>
      <w:bookmarkStart w:id="953" w:name="bookmark953"/>
      <w:bookmarkStart w:id="954" w:name="bookmark954"/>
      <w:bookmarkStart w:id="955" w:name="bookmark955"/>
      <w:bookmarkStart w:id="956" w:name="bookmark956"/>
      <w:r>
        <w:rPr>
          <w:rFonts w:ascii="Times New Roman" w:eastAsia="Times New Roman" w:hAnsi="Times New Roman" w:cs="Times New Roman"/>
          <w:b w:val="0"/>
          <w:bCs w:val="0"/>
          <w:color w:val="000000"/>
          <w:spacing w:val="0"/>
          <w:w w:val="100"/>
          <w:position w:val="0"/>
          <w:sz w:val="24"/>
          <w:szCs w:val="24"/>
        </w:rPr>
        <w:t>5</w:t>
      </w:r>
      <w:bookmarkEnd w:id="955"/>
      <w:r>
        <w:rPr>
          <w:b w:val="0"/>
          <w:bCs w:val="0"/>
          <w:color w:val="000000"/>
          <w:spacing w:val="0"/>
          <w:w w:val="100"/>
          <w:position w:val="0"/>
          <w:sz w:val="24"/>
          <w:szCs w:val="24"/>
        </w:rPr>
        <w:t>、应收款项融资</w:t>
      </w:r>
      <w:bookmarkEnd w:id="953"/>
      <w:bookmarkEnd w:id="954"/>
      <w:bookmarkEnd w:id="956"/>
    </w:p>
    <w:tbl>
      <w:tblPr>
        <w:tblOverlap w:val="never"/>
        <w:jc w:val="center"/>
        <w:tblLayout w:type="fixed"/>
      </w:tblPr>
      <w:tblGrid>
        <w:gridCol w:w="4018"/>
        <w:gridCol w:w="2410"/>
        <w:gridCol w:w="2726"/>
      </w:tblGrid>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2020.12.31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b/>
                <w:bCs/>
                <w:color w:val="000000"/>
                <w:spacing w:val="0"/>
                <w:w w:val="100"/>
                <w:position w:val="0"/>
              </w:rPr>
              <w:t>2019.12.31</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83" w:lineRule="exact"/>
              <w:ind w:left="420" w:right="0" w:firstLine="0"/>
              <w:jc w:val="left"/>
              <w:rPr>
                <w:sz w:val="20"/>
                <w:szCs w:val="20"/>
              </w:rPr>
            </w:pPr>
            <w:r>
              <w:rPr>
                <w:color w:val="000000"/>
                <w:spacing w:val="0"/>
                <w:w w:val="100"/>
                <w:position w:val="0"/>
                <w:sz w:val="20"/>
                <w:szCs w:val="20"/>
              </w:rPr>
              <w:t>以公允价值计量且其变动计入其他综 合收益的应收票据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20,780,180.07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3,942,303.92</w:t>
            </w:r>
          </w:p>
        </w:tc>
      </w:tr>
      <w:tr>
        <w:trPr>
          <w:trHeight w:val="59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42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20,780,180.07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3,942,303.92</w:t>
            </w:r>
          </w:p>
        </w:tc>
      </w:tr>
    </w:tbl>
    <w:p>
      <w:pPr>
        <w:widowControl w:val="0"/>
        <w:spacing w:after="119" w:line="1" w:lineRule="exact"/>
      </w:pPr>
    </w:p>
    <w:p>
      <w:pPr>
        <w:pStyle w:val="Style4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注：本公司在日常资金管理中将部分银行承兑汇票贴现或背书，管理的业务模式既以收取合</w:t>
        <w:br w:type="page"/>
      </w:r>
      <w:r>
        <w:rPr>
          <w:color w:val="000000"/>
          <w:spacing w:val="0"/>
          <w:w w:val="100"/>
          <w:position w:val="0"/>
        </w:rPr>
        <w:t>同现金流量为目标又以出售为目标，分类为以公允价值计量且其变动计入其他综合收益的金融资 产，列报为应收款项融资。</w:t>
      </w:r>
    </w:p>
    <w:p>
      <w:pPr>
        <w:pStyle w:val="Style44"/>
        <w:keepNext w:val="0"/>
        <w:keepLines w:val="0"/>
        <w:widowControl w:val="0"/>
        <w:shd w:val="clear" w:color="auto" w:fill="auto"/>
        <w:bidi w:val="0"/>
        <w:spacing w:before="0" w:after="200" w:line="475" w:lineRule="exact"/>
        <w:ind w:left="0" w:right="0" w:firstLine="60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日应收款项融资所有权受限制情况见本附注五、</w:t>
      </w:r>
      <w:r>
        <w:rPr>
          <w:rFonts w:ascii="Times New Roman" w:eastAsia="Times New Roman" w:hAnsi="Times New Roman" w:cs="Times New Roman"/>
          <w:color w:val="000000"/>
          <w:spacing w:val="0"/>
          <w:w w:val="100"/>
          <w:position w:val="0"/>
        </w:rPr>
        <w:t>56</w:t>
      </w:r>
      <w:r>
        <w:rPr>
          <w:color w:val="000000"/>
          <w:spacing w:val="0"/>
          <w:w w:val="100"/>
          <w:position w:val="0"/>
        </w:rPr>
        <w:t>之说明</w:t>
      </w:r>
    </w:p>
    <w:p>
      <w:pPr>
        <w:pStyle w:val="Style52"/>
        <w:keepNext/>
        <w:keepLines/>
        <w:widowControl w:val="0"/>
        <w:shd w:val="clear" w:color="auto" w:fill="auto"/>
        <w:bidi w:val="0"/>
        <w:spacing w:before="0" w:after="400" w:line="475" w:lineRule="exact"/>
        <w:ind w:left="0" w:right="0" w:firstLine="140"/>
        <w:jc w:val="left"/>
        <w:rPr>
          <w:sz w:val="24"/>
          <w:szCs w:val="24"/>
        </w:rPr>
      </w:pPr>
      <w:bookmarkStart w:id="957" w:name="bookmark957"/>
      <w:bookmarkStart w:id="958" w:name="bookmark958"/>
      <w:bookmarkStart w:id="959" w:name="bookmark959"/>
      <w:bookmarkStart w:id="960" w:name="bookmark960"/>
      <w:r>
        <w:rPr>
          <w:rFonts w:ascii="Times New Roman" w:eastAsia="Times New Roman" w:hAnsi="Times New Roman" w:cs="Times New Roman"/>
          <w:b w:val="0"/>
          <w:bCs w:val="0"/>
          <w:color w:val="000000"/>
          <w:spacing w:val="0"/>
          <w:w w:val="100"/>
          <w:position w:val="0"/>
          <w:sz w:val="24"/>
          <w:szCs w:val="24"/>
        </w:rPr>
        <w:t>6</w:t>
      </w:r>
      <w:bookmarkEnd w:id="959"/>
      <w:r>
        <w:rPr>
          <w:b w:val="0"/>
          <w:bCs w:val="0"/>
          <w:color w:val="000000"/>
          <w:spacing w:val="0"/>
          <w:w w:val="100"/>
          <w:position w:val="0"/>
          <w:sz w:val="24"/>
          <w:szCs w:val="24"/>
        </w:rPr>
        <w:t>、预付款项</w:t>
      </w:r>
      <w:bookmarkEnd w:id="957"/>
      <w:bookmarkEnd w:id="958"/>
      <w:bookmarkEnd w:id="960"/>
    </w:p>
    <w:p>
      <w:pPr>
        <w:pStyle w:val="Style3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)账龄分析及百分比</w:t>
      </w:r>
    </w:p>
    <w:tbl>
      <w:tblPr>
        <w:tblOverlap w:val="never"/>
        <w:jc w:val="center"/>
        <w:tblLayout w:type="fixed"/>
      </w:tblPr>
      <w:tblGrid>
        <w:gridCol w:w="1637"/>
        <w:gridCol w:w="1968"/>
        <w:gridCol w:w="1968"/>
        <w:gridCol w:w="1934"/>
        <w:gridCol w:w="1891"/>
      </w:tblGrid>
      <w:tr>
        <w:trPr>
          <w:trHeight w:val="42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账龄</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2020.12.31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2019.12.31</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sz w:val="20"/>
                <w:szCs w:val="20"/>
              </w:rPr>
              <w:t>比例</w:t>
            </w:r>
            <w:r>
              <w:rPr>
                <w:b/>
                <w:b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0"/>
                <w:szCs w:val="20"/>
              </w:rPr>
              <w:t>比例</w:t>
            </w:r>
            <w:r>
              <w:rPr>
                <w:b/>
                <w:bCs/>
                <w:color w:val="000000"/>
                <w:spacing w:val="0"/>
                <w:w w:val="100"/>
                <w:position w:val="0"/>
              </w:rPr>
              <w:t>％</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6,559,950.36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56.13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14,047,788.51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71.02</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1,901,666.71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5,732,180.47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28.98</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3,224,610.93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b/>
                <w:bCs/>
                <w:color w:val="000000"/>
                <w:spacing w:val="0"/>
                <w:w w:val="100"/>
                <w:position w:val="0"/>
              </w:rPr>
              <w:t>11,686,228.00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bCs/>
                <w:color w:val="000000"/>
                <w:spacing w:val="0"/>
                <w:w w:val="100"/>
                <w:position w:val="0"/>
              </w:rPr>
              <w:t>19,779,968.98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b/>
                <w:bCs/>
                <w:color w:val="000000"/>
                <w:spacing w:val="0"/>
                <w:w w:val="100"/>
                <w:position w:val="0"/>
              </w:rPr>
              <w:t>100.00</w:t>
            </w:r>
          </w:p>
        </w:tc>
      </w:tr>
    </w:tbl>
    <w:p>
      <w:pPr>
        <w:pStyle w:val="Style3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年且金额重大的预付账款情况:</w:t>
      </w:r>
    </w:p>
    <w:p>
      <w:pPr>
        <w:widowControl w:val="0"/>
        <w:spacing w:after="199" w:line="1" w:lineRule="exact"/>
      </w:pPr>
    </w:p>
    <w:p>
      <w:pPr>
        <w:widowControl w:val="0"/>
        <w:spacing w:line="1" w:lineRule="exact"/>
      </w:pPr>
    </w:p>
    <w:tbl>
      <w:tblPr>
        <w:tblOverlap w:val="never"/>
        <w:jc w:val="left"/>
        <w:tblLayout w:type="fixed"/>
      </w:tblPr>
      <w:tblGrid>
        <w:gridCol w:w="1675"/>
        <w:gridCol w:w="1632"/>
        <w:gridCol w:w="1560"/>
        <w:gridCol w:w="1766"/>
        <w:gridCol w:w="1277"/>
        <w:gridCol w:w="1464"/>
      </w:tblGrid>
      <w:tr>
        <w:trPr>
          <w:trHeight w:val="720" w:hRule="exact"/>
        </w:trPr>
        <w:tc>
          <w:tcPr>
            <w:tcBorders>
              <w:top w:val="single" w:sz="4"/>
            </w:tcBorders>
            <w:shd w:val="clear" w:color="auto" w:fill="FFFFFF"/>
            <w:vAlign w:val="center"/>
          </w:tcPr>
          <w:p>
            <w:pPr>
              <w:pStyle w:val="Style2"/>
              <w:keepNext w:val="0"/>
              <w:keepLines w:val="0"/>
              <w:framePr w:w="9374" w:h="2016" w:vSpace="590" w:wrap="notBeside" w:vAnchor="text" w:hAnchor="text" w:x="421" w:y="591"/>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供应商一</w:t>
            </w:r>
          </w:p>
        </w:tc>
        <w:tc>
          <w:tcPr>
            <w:tcBorders>
              <w:top w:val="single" w:sz="4"/>
              <w:left w:val="single" w:sz="4"/>
            </w:tcBorders>
            <w:shd w:val="clear" w:color="auto" w:fill="FFFFFF"/>
            <w:vAlign w:val="center"/>
          </w:tcPr>
          <w:p>
            <w:pPr>
              <w:pStyle w:val="Style2"/>
              <w:keepNext w:val="0"/>
              <w:keepLines w:val="0"/>
              <w:framePr w:w="9374" w:h="2016" w:vSpace="590" w:wrap="notBeside" w:vAnchor="text" w:hAnchor="text" w:x="421" w:y="59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非关联方</w:t>
            </w:r>
          </w:p>
        </w:tc>
        <w:tc>
          <w:tcPr>
            <w:tcBorders>
              <w:top w:val="single" w:sz="4"/>
              <w:left w:val="single" w:sz="4"/>
            </w:tcBorders>
            <w:shd w:val="clear" w:color="auto" w:fill="FFFFFF"/>
            <w:vAlign w:val="center"/>
          </w:tcPr>
          <w:p>
            <w:pPr>
              <w:pStyle w:val="Style2"/>
              <w:keepNext w:val="0"/>
              <w:keepLines w:val="0"/>
              <w:framePr w:w="9374" w:h="2016" w:vSpace="590" w:wrap="notBeside" w:vAnchor="text" w:hAnchor="text" w:x="421" w:y="591"/>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2,649,934.64</w:t>
            </w:r>
          </w:p>
        </w:tc>
        <w:tc>
          <w:tcPr>
            <w:tcBorders>
              <w:top w:val="single" w:sz="4"/>
              <w:left w:val="single" w:sz="4"/>
            </w:tcBorders>
            <w:shd w:val="clear" w:color="auto" w:fill="FFFFFF"/>
            <w:vAlign w:val="center"/>
          </w:tcPr>
          <w:p>
            <w:pPr>
              <w:pStyle w:val="Style2"/>
              <w:keepNext w:val="0"/>
              <w:keepLines w:val="0"/>
              <w:framePr w:w="9374" w:h="2016" w:vSpace="590" w:wrap="notBeside" w:vAnchor="text" w:hAnchor="text" w:x="421" w:y="59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22.68</w:t>
            </w:r>
          </w:p>
        </w:tc>
        <w:tc>
          <w:tcPr>
            <w:tcBorders>
              <w:top w:val="single" w:sz="4"/>
              <w:left w:val="single" w:sz="4"/>
            </w:tcBorders>
            <w:shd w:val="clear" w:color="auto" w:fill="FFFFFF"/>
            <w:vAlign w:val="center"/>
          </w:tcPr>
          <w:p>
            <w:pPr>
              <w:pStyle w:val="Style2"/>
              <w:keepNext w:val="0"/>
              <w:keepLines w:val="0"/>
              <w:framePr w:w="9374" w:h="2016" w:vSpace="590" w:wrap="notBeside" w:vAnchor="text" w:hAnchor="text" w:x="421" w:y="591"/>
              <w:widowControl w:val="0"/>
              <w:shd w:val="clear" w:color="auto" w:fill="auto"/>
              <w:bidi w:val="0"/>
              <w:spacing w:before="0" w:after="8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p>
            <w:pPr>
              <w:pStyle w:val="Style2"/>
              <w:keepNext w:val="0"/>
              <w:keepLines w:val="0"/>
              <w:framePr w:w="9374" w:h="2016" w:vSpace="590" w:wrap="notBeside" w:vAnchor="text" w:hAnchor="text" w:x="421" w:y="591"/>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framePr w:w="9374" w:h="2016" w:vSpace="590" w:wrap="notBeside" w:vAnchor="text" w:hAnchor="text" w:x="421" w:y="591"/>
              <w:widowControl w:val="0"/>
              <w:shd w:val="clear" w:color="auto" w:fill="auto"/>
              <w:bidi w:val="0"/>
              <w:spacing w:before="0" w:after="40" w:line="240" w:lineRule="auto"/>
              <w:ind w:left="0" w:right="0" w:firstLine="240"/>
              <w:jc w:val="left"/>
              <w:rPr>
                <w:sz w:val="20"/>
                <w:szCs w:val="20"/>
              </w:rPr>
            </w:pPr>
            <w:r>
              <w:rPr>
                <w:color w:val="000000"/>
                <w:spacing w:val="0"/>
                <w:w w:val="100"/>
                <w:position w:val="0"/>
                <w:sz w:val="20"/>
                <w:szCs w:val="20"/>
              </w:rPr>
              <w:t>设备未安</w:t>
            </w:r>
          </w:p>
          <w:p>
            <w:pPr>
              <w:pStyle w:val="Style2"/>
              <w:keepNext w:val="0"/>
              <w:keepLines w:val="0"/>
              <w:framePr w:w="9374" w:h="2016" w:vSpace="590" w:wrap="notBeside" w:vAnchor="text" w:hAnchor="text" w:x="421" w:y="591"/>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装完成</w:t>
            </w:r>
          </w:p>
        </w:tc>
      </w:tr>
      <w:tr>
        <w:trPr>
          <w:trHeight w:val="710" w:hRule="exact"/>
        </w:trPr>
        <w:tc>
          <w:tcPr>
            <w:tcBorders>
              <w:top w:val="single" w:sz="4"/>
            </w:tcBorders>
            <w:shd w:val="clear" w:color="auto" w:fill="FFFFFF"/>
            <w:vAlign w:val="center"/>
          </w:tcPr>
          <w:p>
            <w:pPr>
              <w:pStyle w:val="Style2"/>
              <w:keepNext w:val="0"/>
              <w:keepLines w:val="0"/>
              <w:framePr w:w="9374" w:h="2016" w:vSpace="590" w:wrap="notBeside" w:vAnchor="text" w:hAnchor="text" w:x="421" w:y="591"/>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供应商二</w:t>
            </w:r>
          </w:p>
        </w:tc>
        <w:tc>
          <w:tcPr>
            <w:tcBorders>
              <w:top w:val="single" w:sz="4"/>
              <w:left w:val="single" w:sz="4"/>
            </w:tcBorders>
            <w:shd w:val="clear" w:color="auto" w:fill="FFFFFF"/>
            <w:vAlign w:val="center"/>
          </w:tcPr>
          <w:p>
            <w:pPr>
              <w:pStyle w:val="Style2"/>
              <w:keepNext w:val="0"/>
              <w:keepLines w:val="0"/>
              <w:framePr w:w="9374" w:h="2016" w:vSpace="590" w:wrap="notBeside" w:vAnchor="text" w:hAnchor="text" w:x="421" w:y="59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非关联方</w:t>
            </w:r>
          </w:p>
        </w:tc>
        <w:tc>
          <w:tcPr>
            <w:tcBorders>
              <w:top w:val="single" w:sz="4"/>
              <w:left w:val="single" w:sz="4"/>
            </w:tcBorders>
            <w:shd w:val="clear" w:color="auto" w:fill="FFFFFF"/>
            <w:vAlign w:val="center"/>
          </w:tcPr>
          <w:p>
            <w:pPr>
              <w:pStyle w:val="Style2"/>
              <w:keepNext w:val="0"/>
              <w:keepLines w:val="0"/>
              <w:framePr w:w="9374" w:h="2016" w:vSpace="590" w:wrap="notBeside" w:vAnchor="text" w:hAnchor="text" w:x="421" w:y="59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808,011.58</w:t>
            </w:r>
          </w:p>
        </w:tc>
        <w:tc>
          <w:tcPr>
            <w:tcBorders>
              <w:top w:val="single" w:sz="4"/>
              <w:left w:val="single" w:sz="4"/>
            </w:tcBorders>
            <w:shd w:val="clear" w:color="auto" w:fill="FFFFFF"/>
            <w:vAlign w:val="center"/>
          </w:tcPr>
          <w:p>
            <w:pPr>
              <w:pStyle w:val="Style2"/>
              <w:keepNext w:val="0"/>
              <w:keepLines w:val="0"/>
              <w:framePr w:w="9374" w:h="2016" w:vSpace="590" w:wrap="notBeside" w:vAnchor="text" w:hAnchor="text" w:x="421" w:y="59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w:t>
            </w:r>
          </w:p>
        </w:tc>
        <w:tc>
          <w:tcPr>
            <w:tcBorders>
              <w:top w:val="single" w:sz="4"/>
              <w:left w:val="single" w:sz="4"/>
            </w:tcBorders>
            <w:shd w:val="clear" w:color="auto" w:fill="FFFFFF"/>
            <w:vAlign w:val="center"/>
          </w:tcPr>
          <w:p>
            <w:pPr>
              <w:pStyle w:val="Style2"/>
              <w:keepNext w:val="0"/>
              <w:keepLines w:val="0"/>
              <w:framePr w:w="9374" w:h="2016" w:vSpace="590" w:wrap="notBeside" w:vAnchor="text" w:hAnchor="text" w:x="421" w:y="591"/>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framePr w:w="9374" w:h="2016" w:vSpace="590" w:wrap="notBeside" w:vAnchor="text" w:hAnchor="text" w:x="421" w:y="591"/>
              <w:widowControl w:val="0"/>
              <w:shd w:val="clear" w:color="auto" w:fill="auto"/>
              <w:bidi w:val="0"/>
              <w:spacing w:before="0" w:after="40" w:line="240" w:lineRule="auto"/>
              <w:ind w:left="0" w:right="0" w:firstLine="240"/>
              <w:jc w:val="left"/>
              <w:rPr>
                <w:sz w:val="20"/>
                <w:szCs w:val="20"/>
              </w:rPr>
            </w:pPr>
            <w:r>
              <w:rPr>
                <w:color w:val="000000"/>
                <w:spacing w:val="0"/>
                <w:w w:val="100"/>
                <w:position w:val="0"/>
                <w:sz w:val="20"/>
                <w:szCs w:val="20"/>
              </w:rPr>
              <w:t>设备未安</w:t>
            </w:r>
          </w:p>
          <w:p>
            <w:pPr>
              <w:pStyle w:val="Style2"/>
              <w:keepNext w:val="0"/>
              <w:keepLines w:val="0"/>
              <w:framePr w:w="9374" w:h="2016" w:vSpace="590" w:wrap="notBeside" w:vAnchor="text" w:hAnchor="text" w:x="421" w:y="591"/>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装完成</w:t>
            </w:r>
          </w:p>
        </w:tc>
      </w:tr>
      <w:tr>
        <w:trPr>
          <w:trHeight w:val="586" w:hRule="exact"/>
        </w:trPr>
        <w:tc>
          <w:tcPr>
            <w:tcBorders>
              <w:top w:val="single" w:sz="4"/>
              <w:bottom w:val="single" w:sz="4"/>
            </w:tcBorders>
            <w:shd w:val="clear" w:color="auto" w:fill="FFFFFF"/>
            <w:vAlign w:val="center"/>
          </w:tcPr>
          <w:p>
            <w:pPr>
              <w:pStyle w:val="Style2"/>
              <w:keepNext w:val="0"/>
              <w:keepLines w:val="0"/>
              <w:framePr w:w="9374" w:h="2016" w:vSpace="590" w:wrap="notBeside" w:vAnchor="text" w:hAnchor="text" w:x="421" w:y="591"/>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framePr w:w="9374" w:h="2016" w:vSpace="590" w:wrap="notBeside" w:vAnchor="text" w:hAnchor="text" w:x="421" w:y="591"/>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framePr w:w="9374" w:h="2016" w:vSpace="590" w:wrap="notBeside" w:vAnchor="text" w:hAnchor="text" w:x="421" w:y="591"/>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3,457,946.22</w:t>
            </w:r>
          </w:p>
        </w:tc>
        <w:tc>
          <w:tcPr>
            <w:tcBorders>
              <w:top w:val="single" w:sz="4"/>
              <w:left w:val="single" w:sz="4"/>
              <w:bottom w:val="single" w:sz="4"/>
            </w:tcBorders>
            <w:shd w:val="clear" w:color="auto" w:fill="FFFFFF"/>
            <w:vAlign w:val="center"/>
          </w:tcPr>
          <w:p>
            <w:pPr>
              <w:pStyle w:val="Style2"/>
              <w:keepNext w:val="0"/>
              <w:keepLines w:val="0"/>
              <w:framePr w:w="9374" w:h="2016" w:vSpace="590" w:wrap="notBeside" w:vAnchor="text" w:hAnchor="text" w:x="421" w:y="591"/>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29.59</w:t>
            </w:r>
          </w:p>
        </w:tc>
        <w:tc>
          <w:tcPr>
            <w:tcBorders>
              <w:top w:val="single" w:sz="4"/>
              <w:left w:val="single" w:sz="4"/>
              <w:bottom w:val="single" w:sz="4"/>
            </w:tcBorders>
            <w:shd w:val="clear" w:color="auto" w:fill="FFFFFF"/>
            <w:vAlign w:val="center"/>
          </w:tcPr>
          <w:p>
            <w:pPr>
              <w:pStyle w:val="Style2"/>
              <w:keepNext w:val="0"/>
              <w:keepLines w:val="0"/>
              <w:framePr w:w="9374" w:h="2016" w:vSpace="590" w:wrap="notBeside" w:vAnchor="text" w:hAnchor="text" w:x="421" w:y="591"/>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framePr w:w="9374" w:h="2016" w:vSpace="590" w:wrap="notBeside" w:vAnchor="text" w:hAnchor="text" w:x="421" w:y="591"/>
              <w:widowControl w:val="0"/>
              <w:shd w:val="clear" w:color="auto" w:fill="auto"/>
              <w:bidi w:val="0"/>
              <w:spacing w:before="0" w:after="0" w:line="240" w:lineRule="auto"/>
              <w:ind w:left="0" w:right="540" w:firstLine="0"/>
              <w:jc w:val="right"/>
            </w:pPr>
            <w:r>
              <w:rPr>
                <w:rFonts w:ascii="Times New Roman" w:eastAsia="Times New Roman" w:hAnsi="Times New Roman" w:cs="Times New Roman"/>
                <w:b/>
                <w:bCs/>
                <w:color w:val="000000"/>
                <w:spacing w:val="0"/>
                <w:w w:val="100"/>
                <w:position w:val="0"/>
              </w:rPr>
              <w:t>—</w:t>
            </w:r>
          </w:p>
        </w:tc>
      </w:tr>
    </w:tbl>
    <w:p>
      <w:pPr>
        <w:pStyle w:val="Style38"/>
        <w:keepNext w:val="0"/>
        <w:keepLines w:val="0"/>
        <w:framePr w:w="2179" w:h="269" w:hSpace="420" w:wrap="notBeside" w:vAnchor="text" w:hAnchor="text" w:x="7439" w:y="145"/>
        <w:widowControl w:val="0"/>
        <w:shd w:val="clear" w:color="auto" w:fill="auto"/>
        <w:tabs>
          <w:tab w:pos="1032" w:val="left"/>
        </w:tabs>
        <w:bidi w:val="0"/>
        <w:spacing w:before="0" w:after="0" w:line="240" w:lineRule="auto"/>
        <w:ind w:left="0" w:right="0" w:firstLine="0"/>
        <w:jc w:val="center"/>
        <w:rPr>
          <w:sz w:val="20"/>
          <w:szCs w:val="20"/>
        </w:rPr>
      </w:pPr>
      <w:r>
        <w:rPr>
          <w:b/>
          <w:bCs/>
          <w:color w:val="000000"/>
          <w:spacing w:val="0"/>
          <w:w w:val="100"/>
          <w:position w:val="0"/>
          <w:sz w:val="20"/>
          <w:szCs w:val="20"/>
        </w:rPr>
        <w:t>账龄</w:t>
        <w:tab/>
        <w:t>未结算原因</w:t>
      </w:r>
    </w:p>
    <w:p>
      <w:pPr>
        <w:pStyle w:val="Style38"/>
        <w:keepNext w:val="0"/>
        <w:keepLines w:val="0"/>
        <w:framePr w:w="6149" w:h="552" w:hSpace="420" w:wrap="notBeside" w:vAnchor="text" w:hAnchor="text" w:x="819" w:y="1"/>
        <w:widowControl w:val="0"/>
        <w:shd w:val="clear" w:color="auto" w:fill="auto"/>
        <w:tabs>
          <w:tab w:pos="1363" w:val="left"/>
          <w:tab w:pos="3264" w:val="left"/>
          <w:tab w:pos="3720" w:val="left"/>
          <w:tab w:pos="4536" w:val="left"/>
        </w:tabs>
        <w:bidi w:val="0"/>
        <w:spacing w:before="0" w:after="0" w:line="240" w:lineRule="auto"/>
        <w:ind w:left="0" w:right="0" w:firstLine="0"/>
        <w:jc w:val="left"/>
        <w:rPr>
          <w:sz w:val="20"/>
          <w:szCs w:val="20"/>
        </w:rPr>
      </w:pPr>
      <w:r>
        <w:rPr>
          <w:b/>
          <w:bCs/>
          <w:color w:val="000000"/>
          <w:spacing w:val="0"/>
          <w:w w:val="100"/>
          <w:position w:val="0"/>
          <w:sz w:val="20"/>
          <w:szCs w:val="20"/>
        </w:rPr>
        <w:t>曲々珈</w:t>
        <w:tab/>
        <w:t>上未八『¥玄</w:t>
        <w:tab/>
        <w:t>冬</w:t>
        <w:tab/>
        <w:t>淅</w:t>
        <w:tab/>
        <w:t>占预付账款总额</w:t>
      </w:r>
    </w:p>
    <w:p>
      <w:pPr>
        <w:pStyle w:val="Style38"/>
        <w:keepNext w:val="0"/>
        <w:keepLines w:val="0"/>
        <w:framePr w:w="6149" w:h="552" w:hSpace="420" w:wrap="notBeside" w:vAnchor="text" w:hAnchor="text" w:x="819" w:y="1"/>
        <w:widowControl w:val="0"/>
        <w:shd w:val="clear" w:color="auto" w:fill="auto"/>
        <w:tabs>
          <w:tab w:pos="1416" w:val="left"/>
          <w:tab w:pos="3317" w:val="left"/>
          <w:tab w:pos="4925" w:val="left"/>
        </w:tabs>
        <w:bidi w:val="0"/>
        <w:spacing w:before="0" w:after="0" w:line="240" w:lineRule="auto"/>
        <w:ind w:left="0" w:right="0" w:firstLine="240"/>
        <w:jc w:val="left"/>
        <w:rPr>
          <w:sz w:val="24"/>
          <w:szCs w:val="24"/>
        </w:rPr>
      </w:pPr>
      <w:r>
        <w:rPr>
          <w:b/>
          <w:bCs/>
          <w:color w:val="000000"/>
          <w:spacing w:val="0"/>
          <w:w w:val="100"/>
          <w:position w:val="0"/>
          <w:sz w:val="20"/>
          <w:szCs w:val="20"/>
        </w:rPr>
        <w:t>位名称</w:t>
        <w:tab/>
        <w:t>与本公司关系</w:t>
        <w:tab/>
        <w:t>金额</w:t>
        <w:tab/>
        <w:t>的比例*</w:t>
      </w:r>
      <w:r>
        <w:rPr>
          <w:rFonts w:ascii="Times New Roman" w:eastAsia="Times New Roman" w:hAnsi="Times New Roman" w:cs="Times New Roman"/>
          <w:color w:val="000000"/>
          <w:spacing w:val="0"/>
          <w:w w:val="100"/>
          <w:position w:val="0"/>
          <w:sz w:val="24"/>
          <w:szCs w:val="24"/>
        </w:rPr>
        <w:t>y</w:t>
      </w:r>
    </w:p>
    <w:p>
      <w:pPr>
        <w:widowControl w:val="0"/>
        <w:spacing w:line="1" w:lineRule="exact"/>
      </w:pPr>
    </w:p>
    <w:p>
      <w:pPr>
        <w:pStyle w:val="Style38"/>
        <w:keepNext w:val="0"/>
        <w:keepLines w:val="0"/>
        <w:widowControl w:val="0"/>
        <w:shd w:val="clear" w:color="auto" w:fill="auto"/>
        <w:bidi w:val="0"/>
        <w:spacing w:before="0" w:after="0" w:line="240" w:lineRule="auto"/>
        <w:ind w:left="576"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)按预付对象归集的年末余额前五名的预付款情况:</w:t>
      </w:r>
    </w:p>
    <w:tbl>
      <w:tblPr>
        <w:tblOverlap w:val="never"/>
        <w:jc w:val="center"/>
        <w:tblLayout w:type="fixed"/>
      </w:tblPr>
      <w:tblGrid>
        <w:gridCol w:w="1834"/>
        <w:gridCol w:w="2093"/>
        <w:gridCol w:w="2040"/>
        <w:gridCol w:w="1450"/>
        <w:gridCol w:w="1814"/>
      </w:tblGrid>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单位名称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78" w:lineRule="exact"/>
              <w:ind w:left="140" w:right="0" w:firstLine="0"/>
              <w:jc w:val="center"/>
            </w:pPr>
            <w:r>
              <w:rPr>
                <w:b/>
                <w:bCs/>
                <w:color w:val="000000"/>
                <w:spacing w:val="0"/>
                <w:w w:val="100"/>
                <w:position w:val="0"/>
                <w:sz w:val="20"/>
                <w:szCs w:val="20"/>
              </w:rPr>
              <w:t>占预付账款总 额的比例</w:t>
            </w:r>
            <w:r>
              <w:rPr>
                <w:b/>
                <w:bCs/>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账龄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未结算原因</w:t>
            </w:r>
          </w:p>
        </w:tc>
      </w:tr>
      <w:tr>
        <w:trPr>
          <w:trHeight w:val="82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第一名</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2,950,396.16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25.25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货物尚未送达</w:t>
            </w:r>
          </w:p>
        </w:tc>
      </w:tr>
      <w:tr>
        <w:trPr>
          <w:trHeight w:val="74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2,649,934.64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22.68</w:t>
            </w:r>
          </w:p>
        </w:tc>
        <w:tc>
          <w:tcPr>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设备未安装完成</w:t>
            </w:r>
          </w:p>
        </w:tc>
      </w:tr>
      <w:tr>
        <w:trPr>
          <w:trHeight w:val="70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第三名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808,011.58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6.91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设备未安装完成</w:t>
            </w:r>
          </w:p>
        </w:tc>
      </w:tr>
      <w:tr>
        <w:trPr>
          <w:trHeight w:val="69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第四名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763,545.30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6.53</w:t>
            </w:r>
          </w:p>
        </w:tc>
        <w:tc>
          <w:tcPr>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设备未安装完成</w:t>
            </w:r>
          </w:p>
        </w:tc>
      </w:tr>
      <w:tr>
        <w:trPr>
          <w:trHeight w:val="69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第五名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713,517.08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6.11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货物尚未送达</w:t>
            </w:r>
          </w:p>
        </w:tc>
      </w:tr>
      <w:tr>
        <w:trPr>
          <w:trHeight w:val="3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合计</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b/>
                <w:bCs/>
                <w:color w:val="000000"/>
                <w:spacing w:val="0"/>
                <w:w w:val="100"/>
                <w:position w:val="0"/>
              </w:rPr>
              <w:t>7,885,404.76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b/>
                <w:bCs/>
                <w:color w:val="000000"/>
                <w:spacing w:val="0"/>
                <w:w w:val="100"/>
                <w:position w:val="0"/>
              </w:rPr>
              <w:t>67.48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b/>
                <w:bCs/>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w:t>
            </w:r>
          </w:p>
        </w:tc>
      </w:tr>
    </w:tbl>
    <w:p>
      <w:pPr>
        <w:spacing w:lineRule="exact" w:line="1"/>
        <w:rPr>
          <w:sz w:val="2"/>
          <w:szCs w:val="2"/>
        </w:rPr>
      </w:pPr>
      <w:r>
        <w:br w:type="page"/>
      </w:r>
    </w:p>
    <w:p>
      <w:pPr>
        <w:pStyle w:val="Style52"/>
        <w:keepNext/>
        <w:keepLines/>
        <w:widowControl w:val="0"/>
        <w:shd w:val="clear" w:color="auto" w:fill="auto"/>
        <w:bidi w:val="0"/>
        <w:spacing w:before="0" w:line="240" w:lineRule="auto"/>
        <w:ind w:left="0" w:right="0" w:firstLine="0"/>
        <w:jc w:val="left"/>
        <w:rPr>
          <w:sz w:val="24"/>
          <w:szCs w:val="24"/>
        </w:rPr>
      </w:pPr>
      <w:bookmarkStart w:id="961" w:name="bookmark961"/>
      <w:bookmarkStart w:id="962" w:name="bookmark962"/>
      <w:bookmarkStart w:id="963" w:name="bookmark963"/>
      <w:bookmarkStart w:id="964" w:name="bookmark964"/>
      <w:r>
        <w:rPr>
          <w:rFonts w:ascii="Times New Roman" w:eastAsia="Times New Roman" w:hAnsi="Times New Roman" w:cs="Times New Roman"/>
          <w:b w:val="0"/>
          <w:bCs w:val="0"/>
          <w:color w:val="000000"/>
          <w:spacing w:val="0"/>
          <w:w w:val="100"/>
          <w:position w:val="0"/>
          <w:sz w:val="24"/>
          <w:szCs w:val="24"/>
        </w:rPr>
        <w:t>7</w:t>
      </w:r>
      <w:bookmarkEnd w:id="963"/>
      <w:r>
        <w:rPr>
          <w:b w:val="0"/>
          <w:bCs w:val="0"/>
          <w:color w:val="000000"/>
          <w:spacing w:val="0"/>
          <w:w w:val="100"/>
          <w:position w:val="0"/>
          <w:sz w:val="24"/>
          <w:szCs w:val="24"/>
        </w:rPr>
        <w:t>、其他应收款</w:t>
      </w:r>
      <w:bookmarkEnd w:id="961"/>
      <w:bookmarkEnd w:id="962"/>
      <w:bookmarkEnd w:id="964"/>
    </w:p>
    <w:tbl>
      <w:tblPr>
        <w:tblOverlap w:val="never"/>
        <w:jc w:val="center"/>
        <w:tblLayout w:type="fixed"/>
      </w:tblPr>
      <w:tblGrid>
        <w:gridCol w:w="4166"/>
        <w:gridCol w:w="2544"/>
        <w:gridCol w:w="2597"/>
      </w:tblGrid>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2020.12.31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2019.12.31</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22,612,729.55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14,643,888.90</w:t>
            </w:r>
          </w:p>
        </w:tc>
      </w:tr>
      <w:tr>
        <w:trPr>
          <w:trHeight w:val="475"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22,612,729.55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b/>
                <w:bCs/>
                <w:color w:val="000000"/>
                <w:spacing w:val="0"/>
                <w:w w:val="100"/>
                <w:position w:val="0"/>
              </w:rPr>
              <w:t>14,643,888.90</w:t>
            </w:r>
          </w:p>
        </w:tc>
      </w:tr>
    </w:tbl>
    <w:p>
      <w:pPr>
        <w:widowControl w:val="0"/>
        <w:spacing w:after="139" w:line="1" w:lineRule="exact"/>
      </w:pPr>
    </w:p>
    <w:p>
      <w:pPr>
        <w:pStyle w:val="Style44"/>
        <w:keepNext w:val="0"/>
        <w:keepLines w:val="0"/>
        <w:widowControl w:val="0"/>
        <w:shd w:val="clear" w:color="auto" w:fill="auto"/>
        <w:bidi w:val="0"/>
        <w:spacing w:before="0" w:after="140" w:line="240" w:lineRule="auto"/>
        <w:ind w:left="0" w:right="0" w:firstLine="600"/>
        <w:jc w:val="left"/>
      </w:pPr>
      <w:r>
        <w:rPr>
          <w:color w:val="000000"/>
          <w:spacing w:val="0"/>
          <w:w w:val="100"/>
          <w:position w:val="0"/>
        </w:rPr>
        <w:t>其他应收款情况</w:t>
      </w:r>
    </w:p>
    <w:tbl>
      <w:tblPr>
        <w:tblOverlap w:val="never"/>
        <w:jc w:val="center"/>
        <w:tblLayout w:type="fixed"/>
      </w:tblPr>
      <w:tblGrid>
        <w:gridCol w:w="2174"/>
        <w:gridCol w:w="2266"/>
        <w:gridCol w:w="2611"/>
        <w:gridCol w:w="2136"/>
      </w:tblGrid>
      <w:tr>
        <w:trPr>
          <w:trHeight w:val="480" w:hRule="exact"/>
        </w:trPr>
        <w:tc>
          <w:tcPr>
            <w:vMerge w:val="restart"/>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b/>
                <w:bCs/>
                <w:color w:val="000000"/>
                <w:spacing w:val="0"/>
                <w:w w:val="100"/>
                <w:position w:val="0"/>
              </w:rPr>
              <w:t>2020.12.31</w:t>
            </w:r>
          </w:p>
        </w:tc>
      </w:tr>
      <w:tr>
        <w:trPr>
          <w:trHeight w:val="461"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账面价值</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156,097,161.74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133,484,432.19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22,612,729.55</w:t>
            </w:r>
          </w:p>
        </w:tc>
      </w:tr>
      <w:tr>
        <w:trPr>
          <w:trHeight w:val="485"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b/>
                <w:bCs/>
                <w:color w:val="000000"/>
                <w:spacing w:val="0"/>
                <w:w w:val="100"/>
                <w:position w:val="0"/>
              </w:rPr>
              <w:t>156,097,161.74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b/>
                <w:bCs/>
                <w:color w:val="000000"/>
                <w:spacing w:val="0"/>
                <w:w w:val="100"/>
                <w:position w:val="0"/>
              </w:rPr>
              <w:t>133,484,432.19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b/>
                <w:bCs/>
                <w:color w:val="000000"/>
                <w:spacing w:val="0"/>
                <w:w w:val="100"/>
                <w:position w:val="0"/>
              </w:rPr>
              <w:t>22,612,729.55</w:t>
            </w:r>
          </w:p>
        </w:tc>
      </w:tr>
    </w:tbl>
    <w:p>
      <w:pPr>
        <w:widowControl w:val="0"/>
        <w:spacing w:after="139" w:line="1" w:lineRule="exact"/>
      </w:pPr>
    </w:p>
    <w:p>
      <w:pPr>
        <w:pStyle w:val="Style44"/>
        <w:keepNext w:val="0"/>
        <w:keepLines w:val="0"/>
        <w:widowControl w:val="0"/>
        <w:shd w:val="clear" w:color="auto" w:fill="auto"/>
        <w:bidi w:val="0"/>
        <w:spacing w:before="0" w:after="140" w:line="240" w:lineRule="auto"/>
        <w:ind w:left="0" w:right="0" w:firstLine="720"/>
        <w:jc w:val="left"/>
      </w:pPr>
      <w:r>
        <w:rPr>
          <w:color w:val="000000"/>
          <w:spacing w:val="0"/>
          <w:w w:val="100"/>
          <w:position w:val="0"/>
        </w:rPr>
        <w:t>（续）</w:t>
      </w:r>
    </w:p>
    <w:tbl>
      <w:tblPr>
        <w:tblOverlap w:val="never"/>
        <w:jc w:val="center"/>
        <w:tblLayout w:type="fixed"/>
      </w:tblPr>
      <w:tblGrid>
        <w:gridCol w:w="2174"/>
        <w:gridCol w:w="2266"/>
        <w:gridCol w:w="2611"/>
        <w:gridCol w:w="2136"/>
      </w:tblGrid>
      <w:tr>
        <w:trPr>
          <w:trHeight w:val="480" w:hRule="exact"/>
        </w:trPr>
        <w:tc>
          <w:tcPr>
            <w:vMerge w:val="restart"/>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b/>
                <w:bCs/>
                <w:color w:val="000000"/>
                <w:spacing w:val="0"/>
                <w:w w:val="100"/>
                <w:position w:val="0"/>
              </w:rPr>
              <w:t>2019.12.31</w:t>
            </w:r>
          </w:p>
        </w:tc>
      </w:tr>
      <w:tr>
        <w:trPr>
          <w:trHeight w:val="461"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账面价值</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151,510,047.95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136,866,159.05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14,643,888.90</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b/>
                <w:bCs/>
                <w:color w:val="000000"/>
                <w:spacing w:val="0"/>
                <w:w w:val="100"/>
                <w:position w:val="0"/>
              </w:rPr>
              <w:t>151,510,047.95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b/>
                <w:bCs/>
                <w:color w:val="000000"/>
                <w:spacing w:val="0"/>
                <w:w w:val="100"/>
                <w:position w:val="0"/>
              </w:rPr>
              <w:t>136,866,159.05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b/>
                <w:bCs/>
                <w:color w:val="000000"/>
                <w:spacing w:val="0"/>
                <w:w w:val="100"/>
                <w:position w:val="0"/>
              </w:rPr>
              <w:t>14,643,888.90</w:t>
            </w:r>
          </w:p>
        </w:tc>
      </w:tr>
    </w:tbl>
    <w:p>
      <w:pPr>
        <w:widowControl w:val="0"/>
        <w:spacing w:after="139" w:line="1" w:lineRule="exact"/>
      </w:pPr>
    </w:p>
    <w:p>
      <w:pPr>
        <w:pStyle w:val="Style44"/>
        <w:keepNext w:val="0"/>
        <w:keepLines w:val="0"/>
        <w:widowControl w:val="0"/>
        <w:numPr>
          <w:ilvl w:val="0"/>
          <w:numId w:val="47"/>
        </w:numPr>
        <w:shd w:val="clear" w:color="auto" w:fill="auto"/>
        <w:bidi w:val="0"/>
        <w:spacing w:before="0" w:after="240" w:line="240" w:lineRule="auto"/>
        <w:ind w:left="0" w:right="0" w:firstLine="720"/>
        <w:jc w:val="left"/>
      </w:pPr>
      <w:bookmarkStart w:id="965" w:name="bookmark965"/>
      <w:bookmarkEnd w:id="965"/>
      <w:r>
        <w:rPr>
          <w:color w:val="000000"/>
          <w:spacing w:val="0"/>
          <w:w w:val="100"/>
          <w:position w:val="0"/>
        </w:rPr>
        <w:t>坏账准备</w:t>
      </w:r>
    </w:p>
    <w:p>
      <w:pPr>
        <w:pStyle w:val="Style44"/>
        <w:keepNext w:val="0"/>
        <w:keepLines w:val="0"/>
        <w:widowControl w:val="0"/>
        <w:pBdr>
          <w:bottom w:val="single" w:sz="4" w:space="0" w:color="auto"/>
        </w:pBdr>
        <w:shd w:val="clear" w:color="auto" w:fill="auto"/>
        <w:bidi w:val="0"/>
        <w:spacing w:before="0" w:after="140" w:line="240" w:lineRule="auto"/>
        <w:ind w:left="0" w:right="0" w:firstLine="600"/>
        <w:jc w:val="left"/>
      </w:pPr>
      <w:r>
        <w:rPr>
          <w:rFonts w:ascii="Times New Roman" w:eastAsia="Times New Roman" w:hAnsi="Times New Roman" w:cs="Times New Roman"/>
          <w:color w:val="000000"/>
          <w:spacing w:val="0"/>
          <w:w w:val="100"/>
          <w:position w:val="0"/>
        </w:rPr>
        <w:t xml:space="preserve">A.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日，处于第一阶段的其他应收款坏账准备如下:</w:t>
      </w:r>
    </w:p>
    <w:p>
      <w:pPr>
        <w:pStyle w:val="Style4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未来</w:t>
      </w:r>
      <w:r>
        <w:rPr>
          <w:rFonts w:ascii="Times New Roman" w:eastAsia="Times New Roman" w:hAnsi="Times New Roman" w:cs="Times New Roman"/>
          <w:b/>
          <w:bCs/>
          <w:color w:val="000000"/>
          <w:spacing w:val="0"/>
          <w:w w:val="100"/>
          <w:position w:val="0"/>
          <w:sz w:val="22"/>
          <w:szCs w:val="22"/>
        </w:rPr>
        <w:t>12</w:t>
      </w:r>
      <w:r>
        <w:rPr>
          <w:b/>
          <w:bCs/>
          <w:color w:val="000000"/>
          <w:spacing w:val="0"/>
          <w:w w:val="100"/>
          <w:position w:val="0"/>
          <w:sz w:val="20"/>
          <w:szCs w:val="20"/>
        </w:rPr>
        <w:t>月内</w:t>
      </w:r>
    </w:p>
    <w:p>
      <w:pPr>
        <w:pStyle w:val="Style38"/>
        <w:keepNext w:val="0"/>
        <w:keepLines w:val="0"/>
        <w:widowControl w:val="0"/>
        <w:shd w:val="clear" w:color="auto" w:fill="auto"/>
        <w:tabs>
          <w:tab w:pos="4574" w:val="left"/>
          <w:tab w:pos="6130" w:val="left"/>
          <w:tab w:pos="7762" w:val="left"/>
        </w:tabs>
        <w:bidi w:val="0"/>
        <w:spacing w:before="0" w:after="40" w:line="240" w:lineRule="auto"/>
        <w:ind w:left="2890" w:right="0" w:firstLine="0"/>
        <w:jc w:val="left"/>
        <w:rPr>
          <w:sz w:val="20"/>
          <w:szCs w:val="20"/>
        </w:rPr>
      </w:pPr>
      <w:r>
        <w:rPr>
          <w:b/>
          <w:bCs/>
          <w:color w:val="000000"/>
          <w:spacing w:val="0"/>
          <w:w w:val="100"/>
          <w:position w:val="0"/>
          <w:sz w:val="20"/>
          <w:szCs w:val="20"/>
        </w:rPr>
        <w:t>账面余额</w:t>
        <w:tab/>
        <w:t>预期信用</w:t>
        <w:tab/>
        <w:t>坏账准备</w:t>
        <w:tab/>
        <w:t>理由</w:t>
      </w:r>
    </w:p>
    <w:p>
      <w:pPr>
        <w:pStyle w:val="Style3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0"/>
          <w:szCs w:val="20"/>
        </w:rPr>
        <w:t>损失率</w:t>
      </w:r>
      <w:r>
        <w:rPr>
          <w:b/>
          <w:bCs/>
          <w:color w:val="000000"/>
          <w:spacing w:val="0"/>
          <w:w w:val="100"/>
          <w:position w:val="0"/>
        </w:rPr>
        <w:t>％</w:t>
      </w:r>
    </w:p>
    <w:tbl>
      <w:tblPr>
        <w:tblOverlap w:val="never"/>
        <w:jc w:val="left"/>
        <w:tblLayout w:type="fixed"/>
      </w:tblPr>
      <w:tblGrid>
        <w:gridCol w:w="2438"/>
        <w:gridCol w:w="1704"/>
        <w:gridCol w:w="1699"/>
        <w:gridCol w:w="1416"/>
        <w:gridCol w:w="1450"/>
      </w:tblGrid>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单项计提：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5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成都国民天成半导体产</w:t>
            </w:r>
          </w:p>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15,781,832.00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140" w:right="0" w:firstLine="0"/>
              <w:jc w:val="left"/>
              <w:rPr>
                <w:sz w:val="20"/>
                <w:szCs w:val="20"/>
              </w:rPr>
            </w:pPr>
            <w:r>
              <w:rPr>
                <w:color w:val="000000"/>
                <w:spacing w:val="0"/>
                <w:w w:val="100"/>
                <w:position w:val="0"/>
                <w:sz w:val="20"/>
                <w:szCs w:val="20"/>
              </w:rPr>
              <w:t>期后已全额 收回</w:t>
            </w:r>
          </w:p>
        </w:tc>
      </w:tr>
      <w:tr>
        <w:trPr>
          <w:trHeight w:val="46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15,781,832.00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组合计提：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2,883,325.24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313,555.67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w:t>
            </w:r>
          </w:p>
        </w:tc>
      </w:tr>
      <w:tr>
        <w:trPr>
          <w:trHeight w:val="46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4,304,169.69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43,041.71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w:t>
            </w:r>
          </w:p>
        </w:tc>
      </w:tr>
      <w:tr>
        <w:trPr>
          <w:trHeight w:val="47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bCs/>
                <w:color w:val="000000"/>
                <w:spacing w:val="0"/>
                <w:w w:val="100"/>
                <w:position w:val="0"/>
              </w:rPr>
              <w:t>7,187,494.93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4.96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b/>
                <w:bCs/>
                <w:color w:val="000000"/>
                <w:spacing w:val="0"/>
                <w:w w:val="100"/>
                <w:position w:val="0"/>
              </w:rPr>
              <w:t>356,597.38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w:t>
            </w:r>
          </w:p>
        </w:tc>
      </w:tr>
    </w:tbl>
    <w:p>
      <w:pPr>
        <w:sectPr>
          <w:headerReference w:type="default" r:id="rId115"/>
          <w:footerReference w:type="default" r:id="rId116"/>
          <w:headerReference w:type="even" r:id="rId117"/>
          <w:footerReference w:type="even" r:id="rId118"/>
          <w:footnotePr>
            <w:pos w:val="pageBottom"/>
            <w:numFmt w:val="decimal"/>
            <w:numRestart w:val="continuous"/>
          </w:footnotePr>
          <w:pgSz w:w="11900" w:h="16840"/>
          <w:pgMar w:top="1136" w:right="885" w:bottom="1275" w:left="801" w:header="0" w:footer="3" w:gutter="0"/>
          <w:cols w:space="720"/>
          <w:noEndnote/>
          <w:rtlGutter w:val="0"/>
          <w:docGrid w:linePitch="360"/>
        </w:sectPr>
      </w:pPr>
    </w:p>
    <w:p>
      <w:pPr>
        <w:pStyle w:val="Style44"/>
        <w:keepNext w:val="0"/>
        <w:keepLines w:val="0"/>
        <w:widowControl w:val="0"/>
        <w:pBdr>
          <w:bottom w:val="single" w:sz="4" w:space="0" w:color="auto"/>
        </w:pBdr>
        <w:shd w:val="clear" w:color="auto" w:fill="auto"/>
        <w:tabs>
          <w:tab w:pos="1021" w:val="left"/>
        </w:tabs>
        <w:bidi w:val="0"/>
        <w:spacing w:before="0" w:after="140" w:line="240" w:lineRule="auto"/>
        <w:ind w:left="0" w:right="0" w:firstLine="600"/>
        <w:jc w:val="left"/>
      </w:pPr>
      <w:r>
        <w:rPr>
          <w:rFonts w:ascii="Times New Roman" w:eastAsia="Times New Roman" w:hAnsi="Times New Roman" w:cs="Times New Roman"/>
          <w:color w:val="000000"/>
          <w:spacing w:val="0"/>
          <w:w w:val="100"/>
          <w:position w:val="0"/>
        </w:rPr>
        <w:t>B</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日，处于第三阶段的其他应收款坏账准备如下:</w:t>
      </w:r>
    </w:p>
    <w:p>
      <w:pPr>
        <w:pStyle w:val="Style4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整个存续期</w:t>
      </w:r>
    </w:p>
    <w:p>
      <w:pPr>
        <w:pStyle w:val="Style38"/>
        <w:keepNext w:val="0"/>
        <w:keepLines w:val="0"/>
        <w:widowControl w:val="0"/>
        <w:shd w:val="clear" w:color="auto" w:fill="auto"/>
        <w:tabs>
          <w:tab w:pos="4522" w:val="left"/>
          <w:tab w:pos="6154" w:val="left"/>
          <w:tab w:pos="7829" w:val="left"/>
        </w:tabs>
        <w:bidi w:val="0"/>
        <w:spacing w:before="0" w:after="40" w:line="240" w:lineRule="auto"/>
        <w:ind w:left="2650" w:right="0" w:firstLine="0"/>
        <w:jc w:val="left"/>
        <w:rPr>
          <w:sz w:val="20"/>
          <w:szCs w:val="20"/>
        </w:rPr>
      </w:pPr>
      <w:r>
        <w:rPr>
          <w:b/>
          <w:bCs/>
          <w:color w:val="000000"/>
          <w:spacing w:val="0"/>
          <w:w w:val="100"/>
          <w:position w:val="0"/>
          <w:sz w:val="20"/>
          <w:szCs w:val="20"/>
        </w:rPr>
        <w:t>账面余额</w:t>
        <w:tab/>
        <w:t>预期信用</w:t>
        <w:tab/>
        <w:t>坏账准备</w:t>
        <w:tab/>
        <w:t>理由</w:t>
      </w:r>
    </w:p>
    <w:p>
      <w:pPr>
        <w:pStyle w:val="Style38"/>
        <w:keepNext w:val="0"/>
        <w:keepLines w:val="0"/>
        <w:widowControl w:val="0"/>
        <w:shd w:val="clear" w:color="auto" w:fill="auto"/>
        <w:bidi w:val="0"/>
        <w:spacing w:before="0" w:after="0" w:line="240" w:lineRule="auto"/>
        <w:ind w:left="2650" w:right="0" w:firstLine="0"/>
        <w:jc w:val="left"/>
      </w:pPr>
      <w:r>
        <w:rPr>
          <w:b/>
          <w:bCs/>
          <w:color w:val="000000"/>
          <w:spacing w:val="0"/>
          <w:w w:val="100"/>
          <w:position w:val="0"/>
          <w:sz w:val="20"/>
          <w:szCs w:val="20"/>
        </w:rPr>
        <w:t>损失率</w:t>
      </w:r>
      <w:r>
        <w:rPr>
          <w:b/>
          <w:bCs/>
          <w:color w:val="000000"/>
          <w:spacing w:val="0"/>
          <w:w w:val="100"/>
          <w:position w:val="0"/>
        </w:rPr>
        <w:t>％</w:t>
      </w:r>
    </w:p>
    <w:tbl>
      <w:tblPr>
        <w:tblOverlap w:val="never"/>
        <w:jc w:val="center"/>
        <w:tblLayout w:type="fixed"/>
      </w:tblPr>
      <w:tblGrid>
        <w:gridCol w:w="2438"/>
        <w:gridCol w:w="1704"/>
        <w:gridCol w:w="1699"/>
        <w:gridCol w:w="1560"/>
        <w:gridCol w:w="1733"/>
      </w:tblGrid>
      <w:tr>
        <w:trPr>
          <w:trHeight w:val="470"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单项计提：</w:t>
            </w:r>
          </w:p>
        </w:tc>
        <w:tc>
          <w:tcPr>
            <w:gridSpan w:val="2"/>
            <w:tcBorders>
              <w:top w:val="single" w:sz="4"/>
              <w:left w:val="single" w:sz="4"/>
            </w:tcBorders>
            <w:shd w:val="clear" w:color="auto" w:fill="FFFFFF"/>
            <w:vAlign w:val="top"/>
          </w:tcPr>
          <w:p>
            <w:pPr>
              <w:widowControl w:val="0"/>
              <w:rPr>
                <w:sz w:val="10"/>
                <w:szCs w:val="10"/>
              </w:rPr>
            </w:pPr>
          </w:p>
        </w:tc>
      </w:tr>
      <w:tr>
        <w:trPr>
          <w:trHeight w:val="61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88" w:lineRule="exact"/>
              <w:ind w:left="380" w:right="0" w:firstLine="0"/>
              <w:jc w:val="left"/>
              <w:rPr>
                <w:sz w:val="20"/>
                <w:szCs w:val="20"/>
              </w:rPr>
            </w:pPr>
            <w:r>
              <w:rPr>
                <w:color w:val="000000"/>
                <w:spacing w:val="0"/>
                <w:w w:val="100"/>
                <w:position w:val="0"/>
                <w:sz w:val="20"/>
                <w:szCs w:val="20"/>
              </w:rPr>
              <w:t>深圳市富源机电设 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102,136,275.96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102,136,275.96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预计无法收回</w:t>
            </w:r>
          </w:p>
        </w:tc>
      </w:tr>
      <w:tr>
        <w:trPr>
          <w:trHeight w:val="62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83" w:lineRule="exact"/>
              <w:ind w:left="380" w:right="0" w:firstLine="0"/>
              <w:jc w:val="left"/>
              <w:rPr>
                <w:sz w:val="20"/>
                <w:szCs w:val="20"/>
              </w:rPr>
            </w:pPr>
            <w:r>
              <w:rPr>
                <w:color w:val="000000"/>
                <w:spacing w:val="0"/>
                <w:w w:val="100"/>
                <w:position w:val="0"/>
                <w:sz w:val="20"/>
                <w:szCs w:val="20"/>
              </w:rPr>
              <w:t>深圳市沃特玛电池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29,327,638.85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29,327,638.85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预计无法收回</w:t>
            </w:r>
          </w:p>
        </w:tc>
      </w:tr>
      <w:tr>
        <w:trPr>
          <w:trHeight w:val="61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88" w:lineRule="exact"/>
              <w:ind w:left="380" w:right="0" w:firstLine="0"/>
              <w:jc w:val="left"/>
              <w:rPr>
                <w:sz w:val="20"/>
                <w:szCs w:val="20"/>
              </w:rPr>
            </w:pPr>
            <w:r>
              <w:rPr>
                <w:color w:val="000000"/>
                <w:spacing w:val="0"/>
                <w:w w:val="100"/>
                <w:position w:val="0"/>
                <w:sz w:val="20"/>
                <w:szCs w:val="20"/>
              </w:rPr>
              <w:t>临汾宇腾开发建设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预计无法收回</w:t>
            </w:r>
          </w:p>
        </w:tc>
      </w:tr>
      <w:tr>
        <w:trPr>
          <w:trHeight w:val="61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83" w:lineRule="exact"/>
              <w:ind w:left="380" w:right="0" w:firstLine="0"/>
              <w:jc w:val="left"/>
              <w:rPr>
                <w:sz w:val="20"/>
                <w:szCs w:val="20"/>
              </w:rPr>
            </w:pPr>
            <w:r>
              <w:rPr>
                <w:color w:val="000000"/>
                <w:spacing w:val="0"/>
                <w:w w:val="100"/>
                <w:position w:val="0"/>
                <w:sz w:val="20"/>
                <w:szCs w:val="20"/>
              </w:rPr>
              <w:t>江西博羿科技有限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478,950.00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478,950.00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预计无法收回</w:t>
            </w:r>
          </w:p>
        </w:tc>
      </w:tr>
      <w:tr>
        <w:trPr>
          <w:trHeight w:val="62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88" w:lineRule="exact"/>
              <w:ind w:left="380" w:right="0" w:firstLine="0"/>
              <w:jc w:val="left"/>
              <w:rPr>
                <w:sz w:val="20"/>
                <w:szCs w:val="20"/>
              </w:rPr>
            </w:pPr>
            <w:r>
              <w:rPr>
                <w:color w:val="000000"/>
                <w:spacing w:val="0"/>
                <w:w w:val="100"/>
                <w:position w:val="0"/>
                <w:sz w:val="20"/>
                <w:szCs w:val="20"/>
              </w:rPr>
              <w:t>厦门新中新华捷软 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184,970.00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184,970.00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预计无法收回</w:t>
            </w:r>
          </w:p>
        </w:tc>
      </w:tr>
      <w:tr>
        <w:trPr>
          <w:trHeight w:val="36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133,127,834.81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133,127,834.81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44"/>
        <w:keepNext w:val="0"/>
        <w:keepLines w:val="0"/>
        <w:widowControl w:val="0"/>
        <w:numPr>
          <w:ilvl w:val="0"/>
          <w:numId w:val="47"/>
        </w:numPr>
        <w:shd w:val="clear" w:color="auto" w:fill="auto"/>
        <w:bidi w:val="0"/>
        <w:spacing w:before="0" w:after="140" w:line="240" w:lineRule="auto"/>
        <w:ind w:left="0" w:right="0" w:firstLine="600"/>
        <w:jc w:val="left"/>
      </w:pPr>
      <w:bookmarkStart w:id="966" w:name="bookmark966"/>
      <w:bookmarkEnd w:id="966"/>
      <w:r>
        <w:rPr>
          <w:color w:val="000000"/>
          <w:spacing w:val="0"/>
          <w:w w:val="100"/>
          <w:position w:val="0"/>
        </w:rPr>
        <w:t>坏账准备的变动</w:t>
      </w:r>
    </w:p>
    <w:tbl>
      <w:tblPr>
        <w:tblOverlap w:val="never"/>
        <w:jc w:val="center"/>
        <w:tblLayout w:type="fixed"/>
      </w:tblPr>
      <w:tblGrid>
        <w:gridCol w:w="2314"/>
        <w:gridCol w:w="1699"/>
        <w:gridCol w:w="1838"/>
        <w:gridCol w:w="2026"/>
        <w:gridCol w:w="1656"/>
      </w:tblGrid>
      <w:tr>
        <w:trPr>
          <w:trHeight w:val="46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第一阶段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第三阶段</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r>
      <w:tr>
        <w:trPr>
          <w:trHeight w:val="98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rPr>
                <w:sz w:val="20"/>
                <w:szCs w:val="20"/>
              </w:rPr>
            </w:pPr>
            <w:r>
              <w:rPr>
                <w:b/>
                <w:bCs/>
                <w:color w:val="000000"/>
                <w:spacing w:val="0"/>
                <w:w w:val="100"/>
                <w:position w:val="0"/>
                <w:sz w:val="20"/>
                <w:szCs w:val="20"/>
              </w:rPr>
              <w:t>未来</w:t>
            </w:r>
            <w:r>
              <w:rPr>
                <w:rFonts w:ascii="Times New Roman" w:eastAsia="Times New Roman" w:hAnsi="Times New Roman" w:cs="Times New Roman"/>
                <w:b/>
                <w:bCs/>
                <w:color w:val="000000"/>
                <w:spacing w:val="0"/>
                <w:w w:val="100"/>
                <w:position w:val="0"/>
                <w:sz w:val="22"/>
                <w:szCs w:val="22"/>
              </w:rPr>
              <w:t>12</w:t>
            </w:r>
            <w:r>
              <w:rPr>
                <w:b/>
                <w:bCs/>
                <w:color w:val="000000"/>
                <w:spacing w:val="0"/>
                <w:w w:val="100"/>
                <w:position w:val="0"/>
                <w:sz w:val="20"/>
                <w:szCs w:val="20"/>
              </w:rPr>
              <w:t>个月内 预期信用损失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center"/>
            </w:pPr>
            <w:r>
              <w:rPr>
                <w:b/>
                <w:bCs/>
                <w:color w:val="000000"/>
                <w:spacing w:val="0"/>
                <w:w w:val="100"/>
                <w:position w:val="0"/>
                <w:sz w:val="20"/>
                <w:szCs w:val="20"/>
              </w:rPr>
              <w:t>整个存续期预期 信用损失</w:t>
            </w:r>
            <w:r>
              <w:rPr>
                <w:rFonts w:ascii="Times New Roman" w:eastAsia="Times New Roman" w:hAnsi="Times New Roman" w:cs="Times New Roman"/>
                <w:b/>
                <w:bCs/>
                <w:color w:val="000000"/>
                <w:spacing w:val="0"/>
                <w:w w:val="100"/>
                <w:position w:val="0"/>
              </w:rPr>
              <w:t>（</w:t>
            </w:r>
            <w:r>
              <w:rPr>
                <w:b/>
                <w:bCs/>
                <w:color w:val="000000"/>
                <w:spacing w:val="0"/>
                <w:w w:val="100"/>
                <w:position w:val="0"/>
                <w:sz w:val="20"/>
                <w:szCs w:val="20"/>
              </w:rPr>
              <w:t>未发生 信用减值</w:t>
            </w:r>
            <w:r>
              <w:rPr>
                <w:b/>
                <w:bCs/>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sz w:val="20"/>
                <w:szCs w:val="20"/>
              </w:rPr>
              <w:t>整个存续期预期信 用损失</w:t>
            </w:r>
            <w:r>
              <w:rPr>
                <w:rFonts w:ascii="Times New Roman" w:eastAsia="Times New Roman" w:hAnsi="Times New Roman" w:cs="Times New Roman"/>
                <w:b/>
                <w:bCs/>
                <w:color w:val="000000"/>
                <w:spacing w:val="0"/>
                <w:w w:val="100"/>
                <w:position w:val="0"/>
              </w:rPr>
              <w:t>（</w:t>
            </w:r>
            <w:r>
              <w:rPr>
                <w:b/>
                <w:bCs/>
                <w:color w:val="000000"/>
                <w:spacing w:val="0"/>
                <w:w w:val="100"/>
                <w:position w:val="0"/>
                <w:sz w:val="20"/>
                <w:szCs w:val="20"/>
              </w:rPr>
              <w:t>已发生信 用减值</w:t>
            </w:r>
            <w:r>
              <w:rPr>
                <w:b/>
                <w:bCs/>
                <w:color w:val="000000"/>
                <w:spacing w:val="0"/>
                <w:w w:val="100"/>
                <w:position w:val="0"/>
              </w:rPr>
              <w:t>）</w:t>
            </w: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183,244.24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3,219,000.00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133,463,914.81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136,866,159.05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期初余额在本期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2"/>
                <w:szCs w:val="22"/>
              </w:rPr>
              <w:t>一</w:t>
            </w:r>
            <w:r>
              <w:rPr>
                <w:color w:val="000000"/>
                <w:spacing w:val="0"/>
                <w:w w:val="100"/>
                <w:position w:val="0"/>
                <w:sz w:val="20"/>
                <w:szCs w:val="20"/>
              </w:rPr>
              <w:t>转入第一阶段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3,219,000.00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-3,219,000.00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2"/>
                <w:szCs w:val="22"/>
              </w:rPr>
              <w:t>一</w:t>
            </w:r>
            <w:r>
              <w:rPr>
                <w:color w:val="000000"/>
                <w:spacing w:val="0"/>
                <w:w w:val="100"/>
                <w:position w:val="0"/>
                <w:sz w:val="20"/>
                <w:szCs w:val="2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2"/>
                <w:szCs w:val="22"/>
              </w:rPr>
              <w:t>一</w:t>
            </w:r>
            <w:r>
              <w:rPr>
                <w:color w:val="000000"/>
                <w:spacing w:val="0"/>
                <w:w w:val="100"/>
                <w:position w:val="0"/>
                <w:sz w:val="20"/>
                <w:szCs w:val="20"/>
              </w:rPr>
              <w:t>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-6,639.20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6,639.20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180,099.90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657,280.80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837,380.70</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3,219,107.56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4,219,107.56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356,597.38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133,127,834.81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133,484,432.19</w:t>
            </w:r>
          </w:p>
        </w:tc>
      </w:tr>
    </w:tbl>
    <w:p>
      <w:pPr>
        <w:widowControl w:val="0"/>
        <w:spacing w:after="139" w:line="1" w:lineRule="exact"/>
      </w:pPr>
    </w:p>
    <w:p>
      <w:pPr>
        <w:pStyle w:val="Style44"/>
        <w:keepNext w:val="0"/>
        <w:keepLines w:val="0"/>
        <w:widowControl w:val="0"/>
        <w:pBdr>
          <w:bottom w:val="single" w:sz="4" w:space="0" w:color="auto"/>
        </w:pBdr>
        <w:shd w:val="clear" w:color="auto" w:fill="auto"/>
        <w:bidi w:val="0"/>
        <w:spacing w:before="0" w:after="260" w:line="240" w:lineRule="auto"/>
        <w:ind w:left="0" w:right="0" w:firstLine="600"/>
        <w:jc w:val="left"/>
      </w:pP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其中本期坏账准备转回或转销金额重要的</w:t>
      </w:r>
    </w:p>
    <w:p>
      <w:pPr>
        <w:pStyle w:val="Style44"/>
        <w:keepNext w:val="0"/>
        <w:keepLines w:val="0"/>
        <w:widowControl w:val="0"/>
        <w:shd w:val="clear" w:color="auto" w:fill="auto"/>
        <w:tabs>
          <w:tab w:pos="4090" w:val="left"/>
          <w:tab w:pos="6990" w:val="left"/>
        </w:tabs>
        <w:bidi w:val="0"/>
        <w:spacing w:before="0" w:after="260" w:line="240" w:lineRule="auto"/>
        <w:ind w:left="0" w:right="0" w:firstLine="500"/>
        <w:jc w:val="left"/>
        <w:rPr>
          <w:sz w:val="20"/>
          <w:szCs w:val="20"/>
        </w:rPr>
      </w:pPr>
      <w:r>
        <w:rPr>
          <w:b/>
          <w:bCs/>
          <w:color w:val="000000"/>
          <w:spacing w:val="0"/>
          <w:w w:val="100"/>
          <w:position w:val="0"/>
          <w:sz w:val="20"/>
          <w:szCs w:val="20"/>
        </w:rPr>
        <w:t>单位名称</w:t>
        <w:tab/>
        <w:t>转回或转销金额</w:t>
        <w:tab/>
        <w:t>方式</w:t>
      </w:r>
    </w:p>
    <w:p>
      <w:pPr>
        <w:pStyle w:val="Style44"/>
        <w:keepNext w:val="0"/>
        <w:keepLines w:val="0"/>
        <w:widowControl w:val="0"/>
        <w:shd w:val="clear" w:color="auto" w:fill="auto"/>
        <w:tabs>
          <w:tab w:pos="5194" w:val="left"/>
          <w:tab w:pos="6625" w:val="left"/>
        </w:tabs>
        <w:bidi w:val="0"/>
        <w:spacing w:before="0" w:after="140" w:line="240" w:lineRule="auto"/>
        <w:ind w:left="0" w:right="0" w:firstLine="500"/>
        <w:jc w:val="left"/>
        <w:rPr>
          <w:sz w:val="20"/>
          <w:szCs w:val="20"/>
        </w:rPr>
      </w:pPr>
      <w:r>
        <w:rPr>
          <w:color w:val="000000"/>
          <w:spacing w:val="0"/>
          <w:w w:val="100"/>
          <w:position w:val="0"/>
          <w:sz w:val="20"/>
          <w:szCs w:val="20"/>
        </w:rPr>
        <w:t>成都国民天成半导体产业发展</w:t>
        <w:tab/>
      </w:r>
      <w:r>
        <w:rPr>
          <w:rFonts w:ascii="Times New Roman" w:eastAsia="Times New Roman" w:hAnsi="Times New Roman" w:cs="Times New Roman"/>
          <w:color w:val="000000"/>
          <w:spacing w:val="0"/>
          <w:w w:val="100"/>
          <w:position w:val="0"/>
          <w:sz w:val="22"/>
          <w:szCs w:val="22"/>
        </w:rPr>
        <w:t>3,</w:t>
      </w:r>
      <w:r>
        <w:rPr>
          <w:rFonts w:ascii="Times New Roman" w:eastAsia="Times New Roman" w:hAnsi="Times New Roman" w:cs="Times New Roman"/>
          <w:color w:val="000000"/>
          <w:spacing w:val="0"/>
          <w:w w:val="100"/>
          <w:position w:val="0"/>
          <w:sz w:val="22"/>
          <w:szCs w:val="22"/>
          <w:vertAlign w:val="superscript"/>
        </w:rPr>
        <w:t>21</w:t>
      </w:r>
      <w:r>
        <w:rPr>
          <w:rFonts w:ascii="Times New Roman" w:eastAsia="Times New Roman" w:hAnsi="Times New Roman" w:cs="Times New Roman"/>
          <w:color w:val="000000"/>
          <w:spacing w:val="0"/>
          <w:w w:val="100"/>
          <w:position w:val="0"/>
          <w:sz w:val="22"/>
          <w:szCs w:val="22"/>
        </w:rPr>
        <w:t>9,000.00</w:t>
        <w:tab/>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月以货币资金形</w:t>
      </w:r>
      <w:r>
        <w:br w:type="page"/>
      </w:r>
    </w:p>
    <w:tbl>
      <w:tblPr>
        <w:tblOverlap w:val="never"/>
        <w:jc w:val="center"/>
        <w:tblLayout w:type="fixed"/>
      </w:tblPr>
      <w:tblGrid>
        <w:gridCol w:w="3672"/>
        <w:gridCol w:w="2894"/>
        <w:gridCol w:w="2794"/>
      </w:tblGrid>
      <w:tr>
        <w:trPr>
          <w:trHeight w:val="437"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式全部回款</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93" w:lineRule="exact"/>
              <w:ind w:left="500" w:right="0" w:firstLine="0"/>
              <w:jc w:val="left"/>
              <w:rPr>
                <w:sz w:val="20"/>
                <w:szCs w:val="20"/>
              </w:rPr>
            </w:pPr>
            <w:r>
              <w:rPr>
                <w:color w:val="000000"/>
                <w:spacing w:val="0"/>
                <w:w w:val="100"/>
                <w:position w:val="0"/>
                <w:sz w:val="20"/>
                <w:szCs w:val="20"/>
              </w:rPr>
              <w:t>内蒙古浩普瑞新能源材料有限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债权债务互抵</w:t>
            </w:r>
          </w:p>
        </w:tc>
      </w:tr>
      <w:tr>
        <w:trPr>
          <w:trHeight w:val="52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b/>
                <w:bCs/>
                <w:color w:val="000000"/>
                <w:spacing w:val="0"/>
                <w:w w:val="100"/>
                <w:position w:val="0"/>
              </w:rPr>
              <w:t>4,219,000.00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44"/>
        <w:keepNext w:val="0"/>
        <w:keepLines w:val="0"/>
        <w:widowControl w:val="0"/>
        <w:shd w:val="clear" w:color="auto" w:fill="auto"/>
        <w:bidi w:val="0"/>
        <w:spacing w:before="0" w:after="0" w:line="470" w:lineRule="exact"/>
        <w:ind w:left="0" w:right="0" w:firstLine="60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）成都国民天成半导体产业发展有限公司于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日更名为成都国芯天成半 导体产业发展有限公司。通过诉讼手段，成都国民天成半导体产业发展有限公司款项于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月以货币资金形式全部收回。</w:t>
      </w:r>
    </w:p>
    <w:p>
      <w:pPr>
        <w:pStyle w:val="Style44"/>
        <w:keepNext w:val="0"/>
        <w:keepLines w:val="0"/>
        <w:widowControl w:val="0"/>
        <w:shd w:val="clear" w:color="auto" w:fill="auto"/>
        <w:bidi w:val="0"/>
        <w:spacing w:before="0" w:after="240" w:line="475" w:lineRule="exact"/>
        <w:ind w:left="0" w:right="0" w:firstLine="600"/>
        <w:jc w:val="both"/>
      </w:pPr>
      <w:bookmarkStart w:id="967" w:name="bookmark967"/>
      <w:r>
        <w:rPr>
          <w:color w:val="000000"/>
          <w:spacing w:val="0"/>
          <w:w w:val="100"/>
          <w:position w:val="0"/>
        </w:rPr>
        <w:t>（</w:t>
      </w:r>
      <w:bookmarkEnd w:id="967"/>
      <w:r>
        <w:rPr>
          <w:rFonts w:ascii="Times New Roman" w:eastAsia="Times New Roman" w:hAnsi="Times New Roman" w:cs="Times New Roman"/>
          <w:color w:val="000000"/>
          <w:spacing w:val="0"/>
          <w:w w:val="100"/>
          <w:position w:val="0"/>
        </w:rPr>
        <w:t>2</w:t>
      </w:r>
      <w:r>
        <w:rPr>
          <w:color w:val="000000"/>
          <w:spacing w:val="0"/>
          <w:w w:val="100"/>
          <w:position w:val="0"/>
        </w:rPr>
        <w:t>）内蒙古浩普瑞新能源材料有限公司债务与深圳市斯诺实业发展有限公司永丰县分公司 债权人江西本一科技有限公司三方债权债务互抵。</w:t>
      </w:r>
    </w:p>
    <w:p>
      <w:pPr>
        <w:pStyle w:val="Style44"/>
        <w:keepNext w:val="0"/>
        <w:keepLines w:val="0"/>
        <w:widowControl w:val="0"/>
        <w:numPr>
          <w:ilvl w:val="0"/>
          <w:numId w:val="47"/>
        </w:numPr>
        <w:pBdr>
          <w:bottom w:val="single" w:sz="4" w:space="0" w:color="auto"/>
        </w:pBdr>
        <w:shd w:val="clear" w:color="auto" w:fill="auto"/>
        <w:bidi w:val="0"/>
        <w:spacing w:before="0" w:after="240" w:line="240" w:lineRule="auto"/>
        <w:ind w:left="0" w:right="0" w:firstLine="600"/>
        <w:jc w:val="both"/>
      </w:pPr>
      <w:bookmarkStart w:id="968" w:name="bookmark968"/>
      <w:bookmarkEnd w:id="968"/>
      <w:r>
        <w:rPr>
          <w:color w:val="000000"/>
          <w:spacing w:val="0"/>
          <w:w w:val="100"/>
          <w:position w:val="0"/>
        </w:rPr>
        <w:t>其他应收款按账龄披露：</w:t>
      </w:r>
    </w:p>
    <w:p>
      <w:pPr>
        <w:pStyle w:val="Style128"/>
        <w:keepNext w:val="0"/>
        <w:keepLines w:val="0"/>
        <w:widowControl w:val="0"/>
        <w:shd w:val="clear" w:color="auto" w:fill="auto"/>
        <w:tabs>
          <w:tab w:pos="5146" w:val="left"/>
          <w:tab w:pos="8076" w:val="left"/>
        </w:tabs>
        <w:bidi w:val="0"/>
        <w:spacing w:before="0" w:after="80" w:line="240" w:lineRule="auto"/>
        <w:ind w:left="0" w:right="0" w:firstLine="600"/>
        <w:jc w:val="left"/>
      </w:pPr>
      <w:r>
        <w:rPr>
          <w:rFonts w:ascii="SimSun" w:eastAsia="SimSun" w:hAnsi="SimSun" w:cs="SimSun"/>
          <w:b/>
          <w:bCs/>
          <w:color w:val="000000"/>
          <w:spacing w:val="0"/>
          <w:w w:val="100"/>
          <w:position w:val="0"/>
          <w:sz w:val="20"/>
          <w:szCs w:val="20"/>
        </w:rPr>
        <w:t>账龄</w:t>
        <w:tab/>
      </w:r>
      <w:r>
        <w:rPr>
          <w:b/>
          <w:bCs/>
          <w:color w:val="000000"/>
          <w:spacing w:val="0"/>
          <w:w w:val="100"/>
          <w:position w:val="0"/>
        </w:rPr>
        <w:t>2020.12.31</w:t>
        <w:tab/>
        <w:t>2019.12.31</w:t>
      </w:r>
    </w:p>
    <w:tbl>
      <w:tblPr>
        <w:tblOverlap w:val="never"/>
        <w:jc w:val="center"/>
        <w:tblLayout w:type="fixed"/>
      </w:tblPr>
      <w:tblGrid>
        <w:gridCol w:w="3168"/>
        <w:gridCol w:w="2976"/>
        <w:gridCol w:w="3010"/>
      </w:tblGrid>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14,501,475.22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8,166,725.57</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4,331,512.17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35,249,064.32</w:t>
            </w: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33,427,461.69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105,068,756.27</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103,400,316.24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122,785.50</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122,785.50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33,500.00</w:t>
            </w: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313,610.92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2,869,216.29</w:t>
            </w:r>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156,097,161.74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b/>
                <w:bCs/>
                <w:color w:val="000000"/>
                <w:spacing w:val="0"/>
                <w:w w:val="100"/>
                <w:position w:val="0"/>
              </w:rPr>
              <w:t>151,510,047.95</w:t>
            </w:r>
          </w:p>
        </w:tc>
      </w:tr>
    </w:tbl>
    <w:p>
      <w:pPr>
        <w:widowControl w:val="0"/>
        <w:spacing w:after="139" w:line="1" w:lineRule="exact"/>
      </w:pPr>
    </w:p>
    <w:p>
      <w:pPr>
        <w:pStyle w:val="Style44"/>
        <w:keepNext w:val="0"/>
        <w:keepLines w:val="0"/>
        <w:widowControl w:val="0"/>
        <w:numPr>
          <w:ilvl w:val="0"/>
          <w:numId w:val="47"/>
        </w:numPr>
        <w:pBdr>
          <w:bottom w:val="single" w:sz="4" w:space="0" w:color="auto"/>
        </w:pBdr>
        <w:shd w:val="clear" w:color="auto" w:fill="auto"/>
        <w:bidi w:val="0"/>
        <w:spacing w:before="0" w:after="240" w:line="240" w:lineRule="auto"/>
        <w:ind w:left="0" w:right="0" w:firstLine="600"/>
        <w:jc w:val="left"/>
      </w:pPr>
      <w:bookmarkStart w:id="969" w:name="bookmark969"/>
      <w:bookmarkEnd w:id="969"/>
      <w:r>
        <w:rPr>
          <w:color w:val="000000"/>
          <w:spacing w:val="0"/>
          <w:w w:val="100"/>
          <w:position w:val="0"/>
        </w:rPr>
        <w:t>其他应收款按款项性质分类情况</w:t>
      </w:r>
    </w:p>
    <w:p>
      <w:pPr>
        <w:pStyle w:val="Style128"/>
        <w:keepNext w:val="0"/>
        <w:keepLines w:val="0"/>
        <w:widowControl w:val="0"/>
        <w:shd w:val="clear" w:color="auto" w:fill="auto"/>
        <w:tabs>
          <w:tab w:pos="5146" w:val="left"/>
          <w:tab w:pos="8076" w:val="left"/>
        </w:tabs>
        <w:bidi w:val="0"/>
        <w:spacing w:before="0" w:after="80" w:line="240" w:lineRule="auto"/>
        <w:ind w:left="0" w:right="0" w:firstLine="500"/>
        <w:jc w:val="left"/>
      </w:pPr>
      <w:r>
        <w:rPr>
          <w:rFonts w:ascii="SimSun" w:eastAsia="SimSun" w:hAnsi="SimSun" w:cs="SimSun"/>
          <w:b/>
          <w:bCs/>
          <w:color w:val="000000"/>
          <w:spacing w:val="0"/>
          <w:w w:val="100"/>
          <w:position w:val="0"/>
          <w:sz w:val="20"/>
          <w:szCs w:val="20"/>
        </w:rPr>
        <w:t>款项性质</w:t>
        <w:tab/>
      </w:r>
      <w:r>
        <w:rPr>
          <w:b/>
          <w:bCs/>
          <w:color w:val="000000"/>
          <w:spacing w:val="0"/>
          <w:w w:val="100"/>
          <w:position w:val="0"/>
        </w:rPr>
        <w:t>2020.12.31</w:t>
        <w:tab/>
        <w:t>2019.12.31</w:t>
      </w:r>
    </w:p>
    <w:tbl>
      <w:tblPr>
        <w:tblOverlap w:val="never"/>
        <w:jc w:val="center"/>
        <w:tblLayout w:type="fixed"/>
      </w:tblPr>
      <w:tblGrid>
        <w:gridCol w:w="3624"/>
        <w:gridCol w:w="2693"/>
        <w:gridCol w:w="2866"/>
      </w:tblGrid>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131,587,293.63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133,465,602.30</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6,155,475.98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8,423,412.01</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待退回投资款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15,781,832.00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6,438,000.00</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代垫款项及其他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1,804,367.29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2,870,867.83</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应收补助款及出口退税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507,197.79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151,139.24</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260,995.05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161,026.57</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b/>
                <w:bCs/>
                <w:color w:val="000000"/>
                <w:spacing w:val="0"/>
                <w:w w:val="100"/>
                <w:position w:val="0"/>
              </w:rPr>
              <w:t>156,097,161.74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b/>
                <w:bCs/>
                <w:color w:val="000000"/>
                <w:spacing w:val="0"/>
                <w:w w:val="100"/>
                <w:position w:val="0"/>
              </w:rPr>
              <w:t>151,510,047.95</w:t>
            </w:r>
          </w:p>
        </w:tc>
      </w:tr>
    </w:tbl>
    <w:p>
      <w:pPr>
        <w:widowControl w:val="0"/>
        <w:spacing w:after="139" w:line="1" w:lineRule="exact"/>
      </w:pPr>
    </w:p>
    <w:p>
      <w:pPr>
        <w:pStyle w:val="Style44"/>
        <w:keepNext w:val="0"/>
        <w:keepLines w:val="0"/>
        <w:widowControl w:val="0"/>
        <w:numPr>
          <w:ilvl w:val="0"/>
          <w:numId w:val="47"/>
        </w:numPr>
        <w:pBdr>
          <w:bottom w:val="single" w:sz="4" w:space="0" w:color="auto"/>
        </w:pBdr>
        <w:shd w:val="clear" w:color="auto" w:fill="auto"/>
        <w:bidi w:val="0"/>
        <w:spacing w:before="0" w:after="140" w:line="240" w:lineRule="auto"/>
        <w:ind w:left="0" w:right="0" w:firstLine="600"/>
        <w:jc w:val="left"/>
      </w:pPr>
      <w:bookmarkStart w:id="970" w:name="bookmark970"/>
      <w:bookmarkEnd w:id="970"/>
      <w:r>
        <w:rPr>
          <w:color w:val="000000"/>
          <w:spacing w:val="0"/>
          <w:w w:val="100"/>
          <w:position w:val="0"/>
        </w:rPr>
        <w:t>其他应收款期末余额前五名单位情况:</w:t>
      </w:r>
    </w:p>
    <w:p>
      <w:pPr>
        <w:widowControl w:val="0"/>
        <w:spacing w:line="1" w:lineRule="exact"/>
      </w:pPr>
      <w:r>
        <mc:AlternateContent>
          <mc:Choice Requires="wps">
            <w:drawing>
              <wp:anchor distT="166370" distB="97790" distL="0" distR="0" simplePos="0" relativeHeight="125829402" behindDoc="0" locked="0" layoutInCell="1" allowOverlap="1">
                <wp:simplePos x="0" y="0"/>
                <wp:positionH relativeFrom="page">
                  <wp:posOffset>950595</wp:posOffset>
                </wp:positionH>
                <wp:positionV relativeFrom="paragraph">
                  <wp:posOffset>166370</wp:posOffset>
                </wp:positionV>
                <wp:extent cx="1249680" cy="374650"/>
                <wp:wrapTopAndBottom/>
                <wp:docPr id="286" name="Shape 286"/>
                <a:graphic xmlns:a="http://schemas.openxmlformats.org/drawingml/2006/main">
                  <a:graphicData uri="http://schemas.microsoft.com/office/word/2010/wordprocessingShape">
                    <wps:wsp>
                      <wps:cNvSpPr txBox="1"/>
                      <wps:spPr>
                        <a:xfrm>
                          <a:ext cx="1249680" cy="3746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单位名称是否为</w:t>
                            </w:r>
                          </w:p>
                          <w:p>
                            <w:pPr>
                              <w:pStyle w:val="Style4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关联万</w:t>
                            </w:r>
                          </w:p>
                        </w:txbxContent>
                      </wps:txbx>
                      <wps:bodyPr lIns="0" tIns="0" rIns="0" bIns="0">
                        <a:noAutoFit/>
                      </wps:bodyPr>
                    </wps:wsp>
                  </a:graphicData>
                </a:graphic>
              </wp:anchor>
            </w:drawing>
          </mc:Choice>
          <mc:Fallback>
            <w:pict>
              <v:shape id="_x0000_s1312" type="#_x0000_t202" style="position:absolute;margin-left:74.850000000000009pt;margin-top:13.1pt;width:98.400000000000006pt;height:29.5pt;z-index:-125829351;mso-wrap-distance-left:0;mso-wrap-distance-top:13.1pt;mso-wrap-distance-right:0;mso-wrap-distance-bottom:7.7000000000000002pt;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单位名称是否为</w:t>
                      </w:r>
                    </w:p>
                    <w:p>
                      <w:pPr>
                        <w:pStyle w:val="Style4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关联万</w:t>
                      </w:r>
                    </w:p>
                  </w:txbxContent>
                </v:textbox>
                <w10:wrap type="topAndBottom" anchorx="page"/>
              </v:shape>
            </w:pict>
          </mc:Fallback>
        </mc:AlternateContent>
      </w:r>
      <w:r>
        <mc:AlternateContent>
          <mc:Choice Requires="wps">
            <w:drawing>
              <wp:anchor distT="263525" distB="195580" distL="0" distR="0" simplePos="0" relativeHeight="125829404" behindDoc="0" locked="0" layoutInCell="1" allowOverlap="1">
                <wp:simplePos x="0" y="0"/>
                <wp:positionH relativeFrom="page">
                  <wp:posOffset>2450465</wp:posOffset>
                </wp:positionH>
                <wp:positionV relativeFrom="paragraph">
                  <wp:posOffset>263525</wp:posOffset>
                </wp:positionV>
                <wp:extent cx="585470" cy="179705"/>
                <wp:wrapTopAndBottom/>
                <wp:docPr id="288" name="Shape 288"/>
                <a:graphic xmlns:a="http://schemas.openxmlformats.org/drawingml/2006/main">
                  <a:graphicData uri="http://schemas.microsoft.com/office/word/2010/wordprocessingShape">
                    <wps:wsp>
                      <wps:cNvSpPr txBox="1"/>
                      <wps:spPr>
                        <a:xfrm>
                          <a:ext cx="585470" cy="17970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款项性质</w:t>
                            </w:r>
                          </w:p>
                        </w:txbxContent>
                      </wps:txbx>
                      <wps:bodyPr wrap="none" lIns="0" tIns="0" rIns="0" bIns="0">
                        <a:noAutoFit/>
                      </wps:bodyPr>
                    </wps:wsp>
                  </a:graphicData>
                </a:graphic>
              </wp:anchor>
            </w:drawing>
          </mc:Choice>
          <mc:Fallback>
            <w:pict>
              <v:shape id="_x0000_s1314" type="#_x0000_t202" style="position:absolute;margin-left:192.95000000000002pt;margin-top:20.75pt;width:46.100000000000001pt;height:14.15pt;z-index:-125829349;mso-wrap-distance-left:0;mso-wrap-distance-top:20.75pt;mso-wrap-distance-right:0;mso-wrap-distance-bottom:15.4pt;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款项性质</w:t>
                      </w:r>
                    </w:p>
                  </w:txbxContent>
                </v:textbox>
                <w10:wrap type="topAndBottom" anchorx="page"/>
              </v:shape>
            </w:pict>
          </mc:Fallback>
        </mc:AlternateContent>
      </w:r>
      <w:r>
        <mc:AlternateContent>
          <mc:Choice Requires="wps">
            <w:drawing>
              <wp:anchor distT="263525" distB="195580" distL="0" distR="0" simplePos="0" relativeHeight="125829406" behindDoc="0" locked="0" layoutInCell="1" allowOverlap="1">
                <wp:simplePos x="0" y="0"/>
                <wp:positionH relativeFrom="page">
                  <wp:posOffset>3483610</wp:posOffset>
                </wp:positionH>
                <wp:positionV relativeFrom="paragraph">
                  <wp:posOffset>263525</wp:posOffset>
                </wp:positionV>
                <wp:extent cx="1207135" cy="179705"/>
                <wp:wrapTopAndBottom/>
                <wp:docPr id="290" name="Shape 290"/>
                <a:graphic xmlns:a="http://schemas.openxmlformats.org/drawingml/2006/main">
                  <a:graphicData uri="http://schemas.microsoft.com/office/word/2010/wordprocessingShape">
                    <wps:wsp>
                      <wps:cNvSpPr txBox="1"/>
                      <wps:spPr>
                        <a:xfrm>
                          <a:ext cx="1207135" cy="179705"/>
                        </a:xfrm>
                        <a:prstGeom prst="rect"/>
                        <a:noFill/>
                      </wps:spPr>
                      <wps:txbx>
                        <w:txbxContent>
                          <w:p>
                            <w:pPr>
                              <w:pStyle w:val="Style44"/>
                              <w:keepNext w:val="0"/>
                              <w:keepLines w:val="0"/>
                              <w:widowControl w:val="0"/>
                              <w:shd w:val="clear" w:color="auto" w:fill="auto"/>
                              <w:tabs>
                                <w:tab w:pos="1416" w:val="left"/>
                              </w:tabs>
                              <w:bidi w:val="0"/>
                              <w:spacing w:before="0" w:after="0" w:line="240" w:lineRule="auto"/>
                              <w:ind w:left="0" w:right="0" w:firstLine="0"/>
                              <w:jc w:val="center"/>
                              <w:rPr>
                                <w:sz w:val="20"/>
                                <w:szCs w:val="20"/>
                              </w:rPr>
                            </w:pPr>
                            <w:r>
                              <w:rPr>
                                <w:b/>
                                <w:bCs/>
                                <w:color w:val="000000"/>
                                <w:spacing w:val="0"/>
                                <w:w w:val="100"/>
                                <w:position w:val="0"/>
                                <w:sz w:val="20"/>
                                <w:szCs w:val="20"/>
                              </w:rPr>
                              <w:t>期末余额</w:t>
                              <w:tab/>
                              <w:t>账龄</w:t>
                            </w:r>
                          </w:p>
                        </w:txbxContent>
                      </wps:txbx>
                      <wps:bodyPr wrap="none" lIns="0" tIns="0" rIns="0" bIns="0">
                        <a:noAutoFit/>
                      </wps:bodyPr>
                    </wps:wsp>
                  </a:graphicData>
                </a:graphic>
              </wp:anchor>
            </w:drawing>
          </mc:Choice>
          <mc:Fallback>
            <w:pict>
              <v:shape id="_x0000_s1316" type="#_x0000_t202" style="position:absolute;margin-left:274.30000000000001pt;margin-top:20.75pt;width:95.049999999999997pt;height:14.15pt;z-index:-125829347;mso-wrap-distance-left:0;mso-wrap-distance-top:20.75pt;mso-wrap-distance-right:0;mso-wrap-distance-bottom:15.4pt;mso-position-horizontal-relative:page" filled="f" stroked="f">
                <v:textbox inset="0,0,0,0">
                  <w:txbxContent>
                    <w:p>
                      <w:pPr>
                        <w:pStyle w:val="Style44"/>
                        <w:keepNext w:val="0"/>
                        <w:keepLines w:val="0"/>
                        <w:widowControl w:val="0"/>
                        <w:shd w:val="clear" w:color="auto" w:fill="auto"/>
                        <w:tabs>
                          <w:tab w:pos="1416" w:val="left"/>
                        </w:tabs>
                        <w:bidi w:val="0"/>
                        <w:spacing w:before="0" w:after="0" w:line="240" w:lineRule="auto"/>
                        <w:ind w:left="0" w:right="0" w:firstLine="0"/>
                        <w:jc w:val="center"/>
                        <w:rPr>
                          <w:sz w:val="20"/>
                          <w:szCs w:val="20"/>
                        </w:rPr>
                      </w:pPr>
                      <w:r>
                        <w:rPr>
                          <w:b/>
                          <w:bCs/>
                          <w:color w:val="000000"/>
                          <w:spacing w:val="0"/>
                          <w:w w:val="100"/>
                          <w:position w:val="0"/>
                          <w:sz w:val="20"/>
                          <w:szCs w:val="20"/>
                        </w:rPr>
                        <w:t>期末余额</w:t>
                        <w:tab/>
                        <w:t>账龄</w:t>
                      </w:r>
                    </w:p>
                  </w:txbxContent>
                </v:textbox>
                <w10:wrap type="topAndBottom" anchorx="page"/>
              </v:shape>
            </w:pict>
          </mc:Fallback>
        </mc:AlternateContent>
      </w:r>
      <w:r>
        <mc:AlternateContent>
          <mc:Choice Requires="wps">
            <w:drawing>
              <wp:anchor distT="38100" distB="0" distL="0" distR="0" simplePos="0" relativeHeight="125829408" behindDoc="0" locked="0" layoutInCell="1" allowOverlap="1">
                <wp:simplePos x="0" y="0"/>
                <wp:positionH relativeFrom="page">
                  <wp:posOffset>5041265</wp:posOffset>
                </wp:positionH>
                <wp:positionV relativeFrom="paragraph">
                  <wp:posOffset>38100</wp:posOffset>
                </wp:positionV>
                <wp:extent cx="963295" cy="600710"/>
                <wp:wrapTopAndBottom/>
                <wp:docPr id="292" name="Shape 292"/>
                <a:graphic xmlns:a="http://schemas.openxmlformats.org/drawingml/2006/main">
                  <a:graphicData uri="http://schemas.microsoft.com/office/word/2010/wordprocessingShape">
                    <wps:wsp>
                      <wps:cNvSpPr txBox="1"/>
                      <wps:spPr>
                        <a:xfrm>
                          <a:ext cx="963295" cy="600710"/>
                        </a:xfrm>
                        <a:prstGeom prst="rect"/>
                        <a:noFill/>
                      </wps:spPr>
                      <wps:txbx>
                        <w:txbxContent>
                          <w:p>
                            <w:pPr>
                              <w:pStyle w:val="Style44"/>
                              <w:keepNext w:val="0"/>
                              <w:keepLines w:val="0"/>
                              <w:widowControl w:val="0"/>
                              <w:pBdr>
                                <w:bottom w:val="single" w:sz="4" w:space="0" w:color="auto"/>
                              </w:pBdr>
                              <w:shd w:val="clear" w:color="auto" w:fill="auto"/>
                              <w:bidi w:val="0"/>
                              <w:spacing w:before="0" w:after="0" w:line="305" w:lineRule="exact"/>
                              <w:ind w:left="0" w:right="0" w:firstLine="0"/>
                              <w:jc w:val="left"/>
                              <w:rPr>
                                <w:sz w:val="20"/>
                                <w:szCs w:val="20"/>
                              </w:rPr>
                            </w:pPr>
                            <w:r>
                              <w:rPr>
                                <w:b/>
                                <w:bCs/>
                                <w:color w:val="000000"/>
                                <w:spacing w:val="0"/>
                                <w:w w:val="100"/>
                                <w:position w:val="0"/>
                                <w:sz w:val="20"/>
                                <w:szCs w:val="20"/>
                              </w:rPr>
                              <w:t>占其他应收款 期末余额合计 数的比例（%）</w:t>
                            </w:r>
                          </w:p>
                        </w:txbxContent>
                      </wps:txbx>
                      <wps:bodyPr lIns="0" tIns="0" rIns="0" bIns="0">
                        <a:noAutoFit/>
                      </wps:bodyPr>
                    </wps:wsp>
                  </a:graphicData>
                </a:graphic>
              </wp:anchor>
            </w:drawing>
          </mc:Choice>
          <mc:Fallback>
            <w:pict>
              <v:shape id="_x0000_s1318" type="#_x0000_t202" style="position:absolute;margin-left:396.94999999999999pt;margin-top:3.pt;width:75.850000000000009pt;height:47.300000000000004pt;z-index:-125829345;mso-wrap-distance-left:0;mso-wrap-distance-top:3.pt;mso-wrap-distance-right:0;mso-position-horizontal-relative:page" filled="f" stroked="f">
                <v:textbox inset="0,0,0,0">
                  <w:txbxContent>
                    <w:p>
                      <w:pPr>
                        <w:pStyle w:val="Style44"/>
                        <w:keepNext w:val="0"/>
                        <w:keepLines w:val="0"/>
                        <w:widowControl w:val="0"/>
                        <w:pBdr>
                          <w:bottom w:val="single" w:sz="4" w:space="0" w:color="auto"/>
                        </w:pBdr>
                        <w:shd w:val="clear" w:color="auto" w:fill="auto"/>
                        <w:bidi w:val="0"/>
                        <w:spacing w:before="0" w:after="0" w:line="305" w:lineRule="exact"/>
                        <w:ind w:left="0" w:right="0" w:firstLine="0"/>
                        <w:jc w:val="left"/>
                        <w:rPr>
                          <w:sz w:val="20"/>
                          <w:szCs w:val="20"/>
                        </w:rPr>
                      </w:pPr>
                      <w:r>
                        <w:rPr>
                          <w:b/>
                          <w:bCs/>
                          <w:color w:val="000000"/>
                          <w:spacing w:val="0"/>
                          <w:w w:val="100"/>
                          <w:position w:val="0"/>
                          <w:sz w:val="20"/>
                          <w:szCs w:val="20"/>
                        </w:rPr>
                        <w:t>占其他应收款 期末余额合计 数的比例（%）</w:t>
                      </w:r>
                    </w:p>
                  </w:txbxContent>
                </v:textbox>
                <w10:wrap type="topAndBottom" anchorx="page"/>
              </v:shape>
            </w:pict>
          </mc:Fallback>
        </mc:AlternateContent>
      </w:r>
      <w:r>
        <mc:AlternateContent>
          <mc:Choice Requires="wps">
            <w:drawing>
              <wp:anchor distT="92710" distB="82550" distL="0" distR="0" simplePos="0" relativeHeight="125829410" behindDoc="0" locked="0" layoutInCell="1" allowOverlap="1">
                <wp:simplePos x="0" y="0"/>
                <wp:positionH relativeFrom="page">
                  <wp:posOffset>6150610</wp:posOffset>
                </wp:positionH>
                <wp:positionV relativeFrom="paragraph">
                  <wp:posOffset>92710</wp:posOffset>
                </wp:positionV>
                <wp:extent cx="588010" cy="463550"/>
                <wp:wrapTopAndBottom/>
                <wp:docPr id="294" name="Shape 294"/>
                <a:graphic xmlns:a="http://schemas.openxmlformats.org/drawingml/2006/main">
                  <a:graphicData uri="http://schemas.microsoft.com/office/word/2010/wordprocessingShape">
                    <wps:wsp>
                      <wps:cNvSpPr txBox="1"/>
                      <wps:spPr>
                        <a:xfrm>
                          <a:ext cx="588010" cy="463550"/>
                        </a:xfrm>
                        <a:prstGeom prst="rect"/>
                        <a:noFill/>
                      </wps:spPr>
                      <wps:txbx>
                        <w:txbxContent>
                          <w:p>
                            <w:pPr>
                              <w:pStyle w:val="Style44"/>
                              <w:keepNext w:val="0"/>
                              <w:keepLines w:val="0"/>
                              <w:widowControl w:val="0"/>
                              <w:shd w:val="clear" w:color="auto" w:fill="auto"/>
                              <w:bidi w:val="0"/>
                              <w:spacing w:before="0" w:after="0" w:line="355" w:lineRule="exact"/>
                              <w:ind w:left="0" w:right="0" w:firstLine="0"/>
                              <w:jc w:val="left"/>
                              <w:rPr>
                                <w:sz w:val="20"/>
                                <w:szCs w:val="20"/>
                              </w:rPr>
                            </w:pPr>
                            <w:r>
                              <w:rPr>
                                <w:b/>
                                <w:bCs/>
                                <w:color w:val="000000"/>
                                <w:spacing w:val="0"/>
                                <w:w w:val="100"/>
                                <w:position w:val="0"/>
                                <w:sz w:val="20"/>
                                <w:szCs w:val="20"/>
                              </w:rPr>
                              <w:t>坏账准备 期末余额</w:t>
                            </w:r>
                          </w:p>
                        </w:txbxContent>
                      </wps:txbx>
                      <wps:bodyPr lIns="0" tIns="0" rIns="0" bIns="0">
                        <a:noAutoFit/>
                      </wps:bodyPr>
                    </wps:wsp>
                  </a:graphicData>
                </a:graphic>
              </wp:anchor>
            </w:drawing>
          </mc:Choice>
          <mc:Fallback>
            <w:pict>
              <v:shape id="_x0000_s1320" type="#_x0000_t202" style="position:absolute;margin-left:484.30000000000001pt;margin-top:7.2999999999999998pt;width:46.300000000000004pt;height:36.5pt;z-index:-125829343;mso-wrap-distance-left:0;mso-wrap-distance-top:7.2999999999999998pt;mso-wrap-distance-right:0;mso-wrap-distance-bottom:6.5pt;mso-position-horizontal-relative:page" filled="f" stroked="f">
                <v:textbox inset="0,0,0,0">
                  <w:txbxContent>
                    <w:p>
                      <w:pPr>
                        <w:pStyle w:val="Style44"/>
                        <w:keepNext w:val="0"/>
                        <w:keepLines w:val="0"/>
                        <w:widowControl w:val="0"/>
                        <w:shd w:val="clear" w:color="auto" w:fill="auto"/>
                        <w:bidi w:val="0"/>
                        <w:spacing w:before="0" w:after="0" w:line="355" w:lineRule="exact"/>
                        <w:ind w:left="0" w:right="0" w:firstLine="0"/>
                        <w:jc w:val="left"/>
                        <w:rPr>
                          <w:sz w:val="20"/>
                          <w:szCs w:val="20"/>
                        </w:rPr>
                      </w:pPr>
                      <w:r>
                        <w:rPr>
                          <w:b/>
                          <w:bCs/>
                          <w:color w:val="000000"/>
                          <w:spacing w:val="0"/>
                          <w:w w:val="100"/>
                          <w:position w:val="0"/>
                          <w:sz w:val="20"/>
                          <w:szCs w:val="20"/>
                        </w:rPr>
                        <w:t>坏账准备 期末余额</w:t>
                      </w:r>
                    </w:p>
                  </w:txbxContent>
                </v:textbox>
                <w10:wrap type="topAndBottom" anchorx="page"/>
              </v:shape>
            </w:pict>
          </mc:Fallback>
        </mc:AlternateContent>
      </w:r>
      <w:r>
        <w:br w:type="page"/>
      </w:r>
    </w:p>
    <w:tbl>
      <w:tblPr>
        <w:tblOverlap w:val="never"/>
        <w:jc w:val="center"/>
        <w:tblLayout w:type="fixed"/>
      </w:tblPr>
      <w:tblGrid>
        <w:gridCol w:w="2563"/>
        <w:gridCol w:w="7320"/>
      </w:tblGrid>
      <w:tr>
        <w:trPr>
          <w:trHeight w:val="89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单位名称是否为</w:t>
            </w:r>
          </w:p>
          <w:p>
            <w:pPr>
              <w:pStyle w:val="Style2"/>
              <w:keepNext w:val="0"/>
              <w:keepLines w:val="0"/>
              <w:widowControl w:val="0"/>
              <w:shd w:val="clear" w:color="auto" w:fill="auto"/>
              <w:bidi w:val="0"/>
              <w:spacing w:before="0" w:after="0" w:line="240" w:lineRule="auto"/>
              <w:ind w:left="0" w:right="200" w:firstLine="0"/>
              <w:jc w:val="right"/>
              <w:rPr>
                <w:sz w:val="20"/>
                <w:szCs w:val="20"/>
              </w:rPr>
            </w:pPr>
            <w:r>
              <w:rPr>
                <w:b/>
                <w:bCs/>
                <w:color w:val="000000"/>
                <w:spacing w:val="0"/>
                <w:w w:val="100"/>
                <w:position w:val="0"/>
                <w:sz w:val="20"/>
                <w:szCs w:val="20"/>
              </w:rPr>
              <w:t>关联方</w:t>
            </w:r>
          </w:p>
        </w:tc>
        <w:tc>
          <w:tcPr>
            <w:tcBorders>
              <w:top w:val="single" w:sz="4"/>
              <w:bottom w:val="single" w:sz="4"/>
            </w:tcBorders>
            <w:shd w:val="clear" w:color="auto" w:fill="FFFFFF"/>
            <w:vAlign w:val="top"/>
          </w:tcPr>
          <w:p>
            <w:pPr>
              <w:pStyle w:val="Style2"/>
              <w:keepNext w:val="0"/>
              <w:keepLines w:val="0"/>
              <w:widowControl w:val="0"/>
              <w:shd w:val="clear" w:color="auto" w:fill="auto"/>
              <w:tabs>
                <w:tab w:pos="1608" w:val="left"/>
                <w:tab w:pos="3034" w:val="left"/>
                <w:tab w:pos="4099" w:val="left"/>
              </w:tabs>
              <w:bidi w:val="0"/>
              <w:spacing w:before="0" w:after="0" w:line="278" w:lineRule="exact"/>
              <w:ind w:left="0" w:right="380" w:firstLine="0"/>
              <w:jc w:val="right"/>
              <w:rPr>
                <w:sz w:val="20"/>
                <w:szCs w:val="20"/>
              </w:rPr>
            </w:pPr>
            <w:r>
              <w:rPr>
                <w:b/>
                <w:bCs/>
                <w:color w:val="000000"/>
                <w:spacing w:val="0"/>
                <w:w w:val="100"/>
                <w:position w:val="0"/>
                <w:sz w:val="20"/>
                <w:szCs w:val="20"/>
              </w:rPr>
              <w:t>占其他应收款坏账准备 款项性质</w:t>
              <w:tab/>
              <w:t>期末余额</w:t>
              <w:tab/>
              <w:t>账龄</w:t>
              <w:tab/>
              <w:t>期末余额合计</w:t>
            </w:r>
          </w:p>
          <w:p>
            <w:pPr>
              <w:pStyle w:val="Style2"/>
              <w:keepNext w:val="0"/>
              <w:keepLines w:val="0"/>
              <w:widowControl w:val="0"/>
              <w:shd w:val="clear" w:color="auto" w:fill="auto"/>
              <w:bidi w:val="0"/>
              <w:spacing w:before="0" w:after="0" w:line="278" w:lineRule="exact"/>
              <w:ind w:left="4300" w:right="0" w:firstLine="0"/>
              <w:jc w:val="left"/>
              <w:rPr>
                <w:sz w:val="20"/>
                <w:szCs w:val="20"/>
              </w:rPr>
            </w:pPr>
            <w:r>
              <w:rPr>
                <w:b/>
                <w:bCs/>
                <w:color w:val="000000"/>
                <w:spacing w:val="0"/>
                <w:w w:val="100"/>
                <w:position w:val="0"/>
                <w:sz w:val="20"/>
                <w:szCs w:val="20"/>
              </w:rPr>
              <w:t>数的比例（%）期末余额</w:t>
            </w:r>
          </w:p>
        </w:tc>
      </w:tr>
    </w:tbl>
    <w:p>
      <w:pPr>
        <w:widowControl w:val="0"/>
        <w:spacing w:line="1" w:lineRule="exact"/>
      </w:pPr>
    </w:p>
    <w:tbl>
      <w:tblPr>
        <w:tblOverlap w:val="never"/>
        <w:jc w:val="center"/>
        <w:tblLayout w:type="fixed"/>
      </w:tblPr>
      <w:tblGrid>
        <w:gridCol w:w="1594"/>
        <w:gridCol w:w="850"/>
        <w:gridCol w:w="1560"/>
        <w:gridCol w:w="1699"/>
        <w:gridCol w:w="1133"/>
        <w:gridCol w:w="1421"/>
        <w:gridCol w:w="1627"/>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102,136,275.96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102,136,275.96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29,327,638.85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29,327,638.85</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待退回投资款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15,781,832.00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10.11</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w:t>
            </w:r>
          </w:p>
        </w:tc>
      </w:tr>
      <w:tr>
        <w:trPr>
          <w:trHeight w:val="46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第五名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331,902.68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10,288.98</w:t>
            </w:r>
          </w:p>
        </w:tc>
      </w:tr>
      <w:tr>
        <w:trPr>
          <w:trHeight w:val="46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696,995.64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年</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150,074,645.13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b/>
                <w:bCs/>
                <w:color w:val="000000"/>
                <w:spacing w:val="0"/>
                <w:w w:val="100"/>
                <w:position w:val="0"/>
              </w:rPr>
              <w:t>96.14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bCs/>
                <w:color w:val="000000"/>
                <w:spacing w:val="0"/>
                <w:w w:val="100"/>
                <w:position w:val="0"/>
              </w:rPr>
              <w:t>131,492,203.79</w:t>
            </w:r>
          </w:p>
        </w:tc>
      </w:tr>
    </w:tbl>
    <w:p>
      <w:pPr>
        <w:widowControl w:val="0"/>
        <w:spacing w:after="319" w:line="1" w:lineRule="exact"/>
      </w:pPr>
    </w:p>
    <w:p>
      <w:pPr>
        <w:pStyle w:val="Style52"/>
        <w:keepNext/>
        <w:keepLines/>
        <w:widowControl w:val="0"/>
        <w:shd w:val="clear" w:color="auto" w:fill="auto"/>
        <w:bidi w:val="0"/>
        <w:spacing w:before="0" w:after="400" w:line="240" w:lineRule="auto"/>
        <w:ind w:left="0" w:right="0" w:firstLine="0"/>
        <w:jc w:val="left"/>
        <w:rPr>
          <w:sz w:val="24"/>
          <w:szCs w:val="24"/>
        </w:rPr>
      </w:pPr>
      <w:bookmarkStart w:id="971" w:name="bookmark971"/>
      <w:bookmarkStart w:id="972" w:name="bookmark972"/>
      <w:bookmarkStart w:id="973" w:name="bookmark973"/>
      <w:bookmarkStart w:id="974" w:name="bookmark974"/>
      <w:r>
        <w:rPr>
          <w:rFonts w:ascii="Times New Roman" w:eastAsia="Times New Roman" w:hAnsi="Times New Roman" w:cs="Times New Roman"/>
          <w:b w:val="0"/>
          <w:bCs w:val="0"/>
          <w:color w:val="000000"/>
          <w:spacing w:val="0"/>
          <w:w w:val="100"/>
          <w:position w:val="0"/>
          <w:sz w:val="24"/>
          <w:szCs w:val="24"/>
        </w:rPr>
        <w:t>8</w:t>
      </w:r>
      <w:bookmarkEnd w:id="973"/>
      <w:r>
        <w:rPr>
          <w:b w:val="0"/>
          <w:bCs w:val="0"/>
          <w:color w:val="000000"/>
          <w:spacing w:val="0"/>
          <w:w w:val="100"/>
          <w:position w:val="0"/>
          <w:sz w:val="24"/>
          <w:szCs w:val="24"/>
        </w:rPr>
        <w:t>、存货</w:t>
      </w:r>
      <w:bookmarkEnd w:id="971"/>
      <w:bookmarkEnd w:id="972"/>
      <w:bookmarkEnd w:id="974"/>
    </w:p>
    <w:p>
      <w:pPr>
        <w:pStyle w:val="Style52"/>
        <w:keepNext/>
        <w:keepLines/>
        <w:widowControl w:val="0"/>
        <w:shd w:val="clear" w:color="auto" w:fill="auto"/>
        <w:bidi w:val="0"/>
        <w:spacing w:before="0" w:after="120" w:line="240" w:lineRule="auto"/>
        <w:ind w:left="0" w:right="0" w:firstLine="640"/>
        <w:jc w:val="left"/>
      </w:pPr>
      <w:bookmarkStart w:id="971" w:name="bookmark971"/>
      <w:bookmarkStart w:id="972" w:name="bookmark972"/>
      <w:bookmarkStart w:id="975" w:name="bookmark975"/>
      <w:r>
        <w:rPr>
          <w:b w:val="0"/>
          <w:bCs w:val="0"/>
          <w:color w:val="000000"/>
          <w:spacing w:val="0"/>
          <w:w w:val="100"/>
          <w:position w:val="0"/>
        </w:rPr>
        <w:t>（</w:t>
      </w:r>
      <w:bookmarkEnd w:id="975"/>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）存货分类</w:t>
      </w:r>
      <w:bookmarkEnd w:id="971"/>
      <w:bookmarkEnd w:id="972"/>
    </w:p>
    <w:tbl>
      <w:tblPr>
        <w:tblOverlap w:val="never"/>
        <w:jc w:val="center"/>
        <w:tblLayout w:type="fixed"/>
      </w:tblPr>
      <w:tblGrid>
        <w:gridCol w:w="3739"/>
        <w:gridCol w:w="1910"/>
        <w:gridCol w:w="1896"/>
        <w:gridCol w:w="2002"/>
      </w:tblGrid>
      <w:tr>
        <w:trPr>
          <w:trHeight w:val="37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2020.12.31</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跌价准备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账面价值</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26,595,150.83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13,085,645.52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13,509,505.31</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82,961,204.05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22,054,773.86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60,906,430.19</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149,295,264.11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49,709,975.88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99,585,288.23</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3,830,993.75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3,280,772.25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550,221.50</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11,070,219.84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4,102,422.16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6,967,797.68</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716,124.82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216,349.85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499,774.97</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88" w:lineRule="exact"/>
              <w:ind w:left="500" w:right="0" w:firstLine="0"/>
              <w:jc w:val="left"/>
              <w:rPr>
                <w:sz w:val="20"/>
                <w:szCs w:val="20"/>
              </w:rPr>
            </w:pPr>
            <w:r>
              <w:rPr>
                <w:color w:val="000000"/>
                <w:spacing w:val="0"/>
                <w:w w:val="100"/>
                <w:position w:val="0"/>
                <w:sz w:val="20"/>
                <w:szCs w:val="20"/>
              </w:rPr>
              <w:t>未到结算期的分期销售收款商品 或提供的劳务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14,112,758.73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14,112,758.73</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bCs/>
                <w:color w:val="000000"/>
                <w:spacing w:val="0"/>
                <w:w w:val="100"/>
                <w:position w:val="0"/>
              </w:rPr>
              <w:t>288,581,716.13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106,562,698.25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bCs/>
                <w:color w:val="000000"/>
                <w:spacing w:val="0"/>
                <w:w w:val="100"/>
                <w:position w:val="0"/>
              </w:rPr>
              <w:t>182,019,017.88</w:t>
            </w:r>
          </w:p>
        </w:tc>
      </w:tr>
    </w:tbl>
    <w:p>
      <w:pPr>
        <w:widowControl w:val="0"/>
        <w:spacing w:after="119" w:line="1" w:lineRule="exact"/>
      </w:pPr>
    </w:p>
    <w:p>
      <w:pPr>
        <w:pStyle w:val="Style44"/>
        <w:keepNext w:val="0"/>
        <w:keepLines w:val="0"/>
        <w:widowControl w:val="0"/>
        <w:shd w:val="clear" w:color="auto" w:fill="auto"/>
        <w:bidi w:val="0"/>
        <w:spacing w:before="0" w:after="120" w:line="240" w:lineRule="auto"/>
        <w:ind w:left="0" w:right="0" w:firstLine="640"/>
        <w:jc w:val="left"/>
      </w:pPr>
      <w:r>
        <w:rPr>
          <w:color w:val="000000"/>
          <w:spacing w:val="0"/>
          <w:w w:val="100"/>
          <w:position w:val="0"/>
        </w:rPr>
        <w:t>（续）</w:t>
      </w:r>
    </w:p>
    <w:tbl>
      <w:tblPr>
        <w:tblOverlap w:val="never"/>
        <w:jc w:val="center"/>
        <w:tblLayout w:type="fixed"/>
      </w:tblPr>
      <w:tblGrid>
        <w:gridCol w:w="3701"/>
        <w:gridCol w:w="1987"/>
        <w:gridCol w:w="1843"/>
        <w:gridCol w:w="1982"/>
      </w:tblGrid>
      <w:tr>
        <w:trPr>
          <w:trHeight w:val="48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2019.12.31</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账面价值</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45,280,352.43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14,062,900.57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31,217,451.86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64,221,727.31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20,293,126.46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43,928,600.85</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121,964,614.11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44,309,848.67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77,654,765.44</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发出商品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10,161,032.10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10,161,032.10</w:t>
            </w:r>
          </w:p>
        </w:tc>
      </w:tr>
    </w:tbl>
    <w:p>
      <w:pPr>
        <w:widowControl w:val="0"/>
        <w:spacing w:line="1" w:lineRule="exact"/>
      </w:pPr>
      <w:r>
        <w:br w:type="page"/>
      </w:r>
    </w:p>
    <w:tbl>
      <w:tblPr>
        <w:tblOverlap w:val="never"/>
        <w:jc w:val="center"/>
        <w:tblLayout w:type="fixed"/>
      </w:tblPr>
      <w:tblGrid>
        <w:gridCol w:w="3701"/>
        <w:gridCol w:w="1987"/>
        <w:gridCol w:w="1843"/>
        <w:gridCol w:w="1982"/>
      </w:tblGrid>
      <w:tr>
        <w:trPr>
          <w:trHeight w:val="48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2019.12.31</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账面价值</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24,973,894.63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5,490,034.16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19,483,860.47</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236,212.08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209,204.24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27,007.84</w:t>
            </w:r>
          </w:p>
        </w:tc>
      </w:tr>
      <w:tr>
        <w:trPr>
          <w:trHeight w:val="62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88" w:lineRule="exact"/>
              <w:ind w:left="500" w:right="0" w:firstLine="0"/>
              <w:jc w:val="left"/>
              <w:rPr>
                <w:sz w:val="20"/>
                <w:szCs w:val="20"/>
              </w:rPr>
            </w:pPr>
            <w:r>
              <w:rPr>
                <w:color w:val="000000"/>
                <w:spacing w:val="0"/>
                <w:w w:val="100"/>
                <w:position w:val="0"/>
                <w:sz w:val="20"/>
                <w:szCs w:val="20"/>
              </w:rPr>
              <w:t>未到结算期的分期销售收款商 品或提供的劳务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14,112,758.73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14,112,758.73</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b/>
                <w:bCs/>
                <w:color w:val="000000"/>
                <w:spacing w:val="0"/>
                <w:w w:val="100"/>
                <w:position w:val="0"/>
              </w:rPr>
              <w:t>280,950,591.39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bCs/>
                <w:color w:val="000000"/>
                <w:spacing w:val="0"/>
                <w:w w:val="100"/>
                <w:position w:val="0"/>
              </w:rPr>
              <w:t>98,477,872.83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182,472,718.56</w:t>
            </w:r>
          </w:p>
        </w:tc>
      </w:tr>
    </w:tbl>
    <w:p>
      <w:pPr>
        <w:widowControl w:val="0"/>
        <w:spacing w:after="119" w:line="1" w:lineRule="exact"/>
      </w:pPr>
    </w:p>
    <w:p>
      <w:pPr>
        <w:pStyle w:val="Style44"/>
        <w:keepNext w:val="0"/>
        <w:keepLines w:val="0"/>
        <w:widowControl w:val="0"/>
        <w:shd w:val="clear" w:color="auto" w:fill="auto"/>
        <w:bidi w:val="0"/>
        <w:spacing w:before="0" w:after="120" w:line="240" w:lineRule="auto"/>
        <w:ind w:left="0" w:right="0" w:firstLine="640"/>
        <w:jc w:val="left"/>
      </w:pPr>
      <w:bookmarkStart w:id="976" w:name="bookmark976"/>
      <w:r>
        <w:rPr>
          <w:color w:val="000000"/>
          <w:spacing w:val="0"/>
          <w:w w:val="100"/>
          <w:position w:val="0"/>
        </w:rPr>
        <w:t>（</w:t>
      </w:r>
      <w:bookmarkEnd w:id="976"/>
      <w:r>
        <w:rPr>
          <w:rFonts w:ascii="Times New Roman" w:eastAsia="Times New Roman" w:hAnsi="Times New Roman" w:cs="Times New Roman"/>
          <w:color w:val="000000"/>
          <w:spacing w:val="0"/>
          <w:w w:val="100"/>
          <w:position w:val="0"/>
        </w:rPr>
        <w:t>2</w:t>
      </w:r>
      <w:r>
        <w:rPr>
          <w:color w:val="000000"/>
          <w:spacing w:val="0"/>
          <w:w w:val="100"/>
          <w:position w:val="0"/>
        </w:rPr>
        <w:t>）存货跌价准备</w:t>
      </w:r>
    </w:p>
    <w:tbl>
      <w:tblPr>
        <w:tblOverlap w:val="never"/>
        <w:jc w:val="center"/>
        <w:tblLayout w:type="fixed"/>
      </w:tblPr>
      <w:tblGrid>
        <w:gridCol w:w="2030"/>
        <w:gridCol w:w="1646"/>
        <w:gridCol w:w="1469"/>
        <w:gridCol w:w="634"/>
        <w:gridCol w:w="1454"/>
        <w:gridCol w:w="749"/>
        <w:gridCol w:w="1728"/>
      </w:tblGrid>
      <w:tr>
        <w:trPr>
          <w:trHeight w:val="46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2020.01.01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本年减少金额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2020.12.31</w:t>
            </w:r>
          </w:p>
        </w:tc>
      </w:tr>
      <w:tr>
        <w:trPr>
          <w:trHeight w:val="45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转回或转销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其他</w:t>
            </w:r>
          </w:p>
        </w:tc>
        <w:tc>
          <w:tcPr>
            <w:vMerge/>
            <w:tcBorders>
              <w:left w:val="single" w:sz="4"/>
            </w:tcBorders>
            <w:shd w:val="clear" w:color="auto" w:fill="FFFFFF"/>
            <w:vAlign w:val="center"/>
          </w:tcPr>
          <w:p>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14,062,900.57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1,042,342.31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2,019,597.36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13,085,645.52</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20,293,126.46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1,761,647.40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22,054,773.86</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44,309,848.67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19,863,445.92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14,463,318.71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49,709,975.88</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3,280,772.25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3,280,772.25</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5,490,034.16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1,387,612.00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4,102,422.16</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209,204.24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20,665.93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216,349.85</w:t>
            </w:r>
          </w:p>
        </w:tc>
      </w:tr>
      <w:tr>
        <w:trPr>
          <w:trHeight w:val="90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88" w:lineRule="exact"/>
              <w:ind w:left="420" w:right="0" w:firstLine="0"/>
              <w:jc w:val="left"/>
              <w:rPr>
                <w:sz w:val="20"/>
                <w:szCs w:val="20"/>
              </w:rPr>
            </w:pPr>
            <w:r>
              <w:rPr>
                <w:color w:val="000000"/>
                <w:spacing w:val="0"/>
                <w:w w:val="100"/>
                <w:position w:val="0"/>
                <w:sz w:val="20"/>
                <w:szCs w:val="20"/>
              </w:rPr>
              <w:t>未到结算期的分 期销售收款商品 或提供的劳务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14,112,758.73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14,112,758.73</w:t>
            </w: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bCs/>
                <w:color w:val="000000"/>
                <w:spacing w:val="0"/>
                <w:w w:val="100"/>
                <w:position w:val="0"/>
              </w:rPr>
              <w:t>98,477,872.83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25,968,873.81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17,884,048.39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106,562,698.25</w:t>
            </w:r>
          </w:p>
        </w:tc>
      </w:tr>
    </w:tbl>
    <w:p>
      <w:pPr>
        <w:widowControl w:val="0"/>
        <w:spacing w:after="119" w:line="1" w:lineRule="exact"/>
      </w:pPr>
    </w:p>
    <w:p>
      <w:pPr>
        <w:pStyle w:val="Style44"/>
        <w:keepNext w:val="0"/>
        <w:keepLines w:val="0"/>
        <w:widowControl w:val="0"/>
        <w:pBdr>
          <w:bottom w:val="single" w:sz="4" w:space="0" w:color="auto"/>
        </w:pBdr>
        <w:shd w:val="clear" w:color="auto" w:fill="auto"/>
        <w:bidi w:val="0"/>
        <w:spacing w:before="0" w:after="220" w:line="240" w:lineRule="auto"/>
        <w:ind w:left="0" w:right="0" w:firstLine="640"/>
        <w:jc w:val="left"/>
      </w:pPr>
      <w:bookmarkStart w:id="977" w:name="bookmark977"/>
      <w:r>
        <w:rPr>
          <w:color w:val="000000"/>
          <w:spacing w:val="0"/>
          <w:w w:val="100"/>
          <w:position w:val="0"/>
        </w:rPr>
        <w:t>（</w:t>
      </w:r>
      <w:bookmarkEnd w:id="977"/>
      <w:r>
        <w:rPr>
          <w:rFonts w:ascii="Times New Roman" w:eastAsia="Times New Roman" w:hAnsi="Times New Roman" w:cs="Times New Roman"/>
          <w:color w:val="000000"/>
          <w:spacing w:val="0"/>
          <w:w w:val="100"/>
          <w:position w:val="0"/>
        </w:rPr>
        <w:t>3</w:t>
      </w:r>
      <w:r>
        <w:rPr>
          <w:color w:val="000000"/>
          <w:spacing w:val="0"/>
          <w:w w:val="100"/>
          <w:position w:val="0"/>
        </w:rPr>
        <w:t>）存货跌价准备计提依据及本年转回或转销原因</w:t>
      </w:r>
    </w:p>
    <w:tbl>
      <w:tblPr>
        <w:tblOverlap w:val="never"/>
        <w:jc w:val="left"/>
        <w:tblLayout w:type="fixed"/>
      </w:tblPr>
      <w:tblGrid>
        <w:gridCol w:w="1906"/>
        <w:gridCol w:w="2837"/>
        <w:gridCol w:w="2554"/>
        <w:gridCol w:w="2155"/>
      </w:tblGrid>
      <w:tr>
        <w:trPr>
          <w:trHeight w:val="413" w:hRule="exact"/>
        </w:trPr>
        <w:tc>
          <w:tcPr>
            <w:tcBorders>
              <w:top w:val="single" w:sz="4"/>
            </w:tcBorders>
            <w:shd w:val="clear" w:color="auto" w:fill="FFFFFF"/>
            <w:vAlign w:val="center"/>
          </w:tcPr>
          <w:p>
            <w:pPr>
              <w:pStyle w:val="Style2"/>
              <w:keepNext w:val="0"/>
              <w:keepLines w:val="0"/>
              <w:framePr w:w="9451" w:h="2467" w:vSpace="634" w:wrap="notBeside" w:vAnchor="text" w:hAnchor="text" w:x="382" w:y="635"/>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center"/>
          </w:tcPr>
          <w:p>
            <w:pPr>
              <w:pStyle w:val="Style2"/>
              <w:keepNext w:val="0"/>
              <w:keepLines w:val="0"/>
              <w:framePr w:w="9451" w:h="2467" w:vSpace="634" w:wrap="notBeside" w:vAnchor="text" w:hAnchor="text" w:x="382" w:y="63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可变现净值低于成本</w:t>
            </w:r>
          </w:p>
        </w:tc>
        <w:tc>
          <w:tcPr>
            <w:tcBorders>
              <w:top w:val="single" w:sz="4"/>
              <w:left w:val="single" w:sz="4"/>
            </w:tcBorders>
            <w:shd w:val="clear" w:color="auto" w:fill="FFFFFF"/>
            <w:vAlign w:val="center"/>
          </w:tcPr>
          <w:p>
            <w:pPr>
              <w:pStyle w:val="Style2"/>
              <w:keepNext w:val="0"/>
              <w:keepLines w:val="0"/>
              <w:framePr w:w="9451" w:h="2467" w:vSpace="634" w:wrap="notBeside" w:vAnchor="text" w:hAnchor="text" w:x="382" w:y="63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可变现净值高于成本</w:t>
            </w:r>
          </w:p>
        </w:tc>
        <w:tc>
          <w:tcPr>
            <w:tcBorders>
              <w:top w:val="single" w:sz="4"/>
              <w:left w:val="single" w:sz="4"/>
            </w:tcBorders>
            <w:shd w:val="clear" w:color="auto" w:fill="FFFFFF"/>
            <w:vAlign w:val="center"/>
          </w:tcPr>
          <w:p>
            <w:pPr>
              <w:pStyle w:val="Style2"/>
              <w:keepNext w:val="0"/>
              <w:keepLines w:val="0"/>
              <w:framePr w:w="9451" w:h="2467" w:vSpace="634" w:wrap="notBeside" w:vAnchor="text" w:hAnchor="text" w:x="382" w:y="63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本期已售出</w:t>
            </w:r>
          </w:p>
        </w:tc>
      </w:tr>
      <w:tr>
        <w:trPr>
          <w:trHeight w:val="408" w:hRule="exact"/>
        </w:trPr>
        <w:tc>
          <w:tcPr>
            <w:tcBorders>
              <w:top w:val="single" w:sz="4"/>
            </w:tcBorders>
            <w:shd w:val="clear" w:color="auto" w:fill="FFFFFF"/>
            <w:vAlign w:val="center"/>
          </w:tcPr>
          <w:p>
            <w:pPr>
              <w:pStyle w:val="Style2"/>
              <w:keepNext w:val="0"/>
              <w:keepLines w:val="0"/>
              <w:framePr w:w="9451" w:h="2467" w:vSpace="634" w:wrap="notBeside" w:vAnchor="text" w:hAnchor="text" w:x="382" w:y="635"/>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在产品</w:t>
            </w:r>
          </w:p>
        </w:tc>
        <w:tc>
          <w:tcPr>
            <w:tcBorders>
              <w:top w:val="single" w:sz="4"/>
              <w:left w:val="single" w:sz="4"/>
            </w:tcBorders>
            <w:shd w:val="clear" w:color="auto" w:fill="FFFFFF"/>
            <w:vAlign w:val="center"/>
          </w:tcPr>
          <w:p>
            <w:pPr>
              <w:pStyle w:val="Style2"/>
              <w:keepNext w:val="0"/>
              <w:keepLines w:val="0"/>
              <w:framePr w:w="9451" w:h="2467" w:vSpace="634" w:wrap="notBeside" w:vAnchor="text" w:hAnchor="text" w:x="382" w:y="63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可变现净值低于成本</w:t>
            </w:r>
          </w:p>
        </w:tc>
        <w:tc>
          <w:tcPr>
            <w:tcBorders>
              <w:top w:val="single" w:sz="4"/>
              <w:left w:val="single" w:sz="4"/>
            </w:tcBorders>
            <w:shd w:val="clear" w:color="auto" w:fill="FFFFFF"/>
            <w:vAlign w:val="top"/>
          </w:tcPr>
          <w:p>
            <w:pPr>
              <w:framePr w:w="9451" w:h="2467" w:vSpace="634" w:wrap="notBeside" w:vAnchor="text" w:hAnchor="text" w:x="382" w:y="635"/>
              <w:widowControl w:val="0"/>
              <w:rPr>
                <w:sz w:val="10"/>
                <w:szCs w:val="10"/>
              </w:rPr>
            </w:pPr>
          </w:p>
        </w:tc>
        <w:tc>
          <w:tcPr>
            <w:tcBorders>
              <w:top w:val="single" w:sz="4"/>
              <w:left w:val="single" w:sz="4"/>
            </w:tcBorders>
            <w:shd w:val="clear" w:color="auto" w:fill="FFFFFF"/>
            <w:vAlign w:val="top"/>
          </w:tcPr>
          <w:p>
            <w:pPr>
              <w:framePr w:w="9451" w:h="2467" w:vSpace="634" w:wrap="notBeside" w:vAnchor="text" w:hAnchor="text" w:x="382" w:y="635"/>
              <w:widowControl w:val="0"/>
              <w:rPr>
                <w:sz w:val="10"/>
                <w:szCs w:val="10"/>
              </w:rPr>
            </w:pPr>
          </w:p>
        </w:tc>
      </w:tr>
      <w:tr>
        <w:trPr>
          <w:trHeight w:val="408" w:hRule="exact"/>
        </w:trPr>
        <w:tc>
          <w:tcPr>
            <w:tcBorders>
              <w:top w:val="single" w:sz="4"/>
            </w:tcBorders>
            <w:shd w:val="clear" w:color="auto" w:fill="FFFFFF"/>
            <w:vAlign w:val="center"/>
          </w:tcPr>
          <w:p>
            <w:pPr>
              <w:pStyle w:val="Style2"/>
              <w:keepNext w:val="0"/>
              <w:keepLines w:val="0"/>
              <w:framePr w:w="9451" w:h="2467" w:vSpace="634" w:wrap="notBeside" w:vAnchor="text" w:hAnchor="text" w:x="382" w:y="635"/>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center"/>
          </w:tcPr>
          <w:p>
            <w:pPr>
              <w:pStyle w:val="Style2"/>
              <w:keepNext w:val="0"/>
              <w:keepLines w:val="0"/>
              <w:framePr w:w="9451" w:h="2467" w:vSpace="634" w:wrap="notBeside" w:vAnchor="text" w:hAnchor="text" w:x="382" w:y="63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可变现净值低于成本</w:t>
            </w:r>
          </w:p>
        </w:tc>
        <w:tc>
          <w:tcPr>
            <w:tcBorders>
              <w:top w:val="single" w:sz="4"/>
              <w:left w:val="single" w:sz="4"/>
            </w:tcBorders>
            <w:shd w:val="clear" w:color="auto" w:fill="FFFFFF"/>
            <w:vAlign w:val="top"/>
          </w:tcPr>
          <w:p>
            <w:pPr>
              <w:framePr w:w="9451" w:h="2467" w:vSpace="634" w:wrap="notBeside" w:vAnchor="text" w:hAnchor="text" w:x="382" w:y="635"/>
              <w:widowControl w:val="0"/>
              <w:rPr>
                <w:sz w:val="10"/>
                <w:szCs w:val="10"/>
              </w:rPr>
            </w:pPr>
          </w:p>
        </w:tc>
        <w:tc>
          <w:tcPr>
            <w:tcBorders>
              <w:top w:val="single" w:sz="4"/>
              <w:left w:val="single" w:sz="4"/>
            </w:tcBorders>
            <w:shd w:val="clear" w:color="auto" w:fill="FFFFFF"/>
            <w:vAlign w:val="center"/>
          </w:tcPr>
          <w:p>
            <w:pPr>
              <w:pStyle w:val="Style2"/>
              <w:keepNext w:val="0"/>
              <w:keepLines w:val="0"/>
              <w:framePr w:w="9451" w:h="2467" w:vSpace="634" w:wrap="notBeside" w:vAnchor="text" w:hAnchor="text" w:x="382" w:y="63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本期已售出</w:t>
            </w:r>
          </w:p>
        </w:tc>
      </w:tr>
      <w:tr>
        <w:trPr>
          <w:trHeight w:val="403" w:hRule="exact"/>
        </w:trPr>
        <w:tc>
          <w:tcPr>
            <w:tcBorders>
              <w:top w:val="single" w:sz="4"/>
            </w:tcBorders>
            <w:shd w:val="clear" w:color="auto" w:fill="FFFFFF"/>
            <w:vAlign w:val="center"/>
          </w:tcPr>
          <w:p>
            <w:pPr>
              <w:pStyle w:val="Style2"/>
              <w:keepNext w:val="0"/>
              <w:keepLines w:val="0"/>
              <w:framePr w:w="9451" w:h="2467" w:vSpace="634" w:wrap="notBeside" w:vAnchor="text" w:hAnchor="text" w:x="382" w:y="635"/>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发出商品</w:t>
            </w:r>
          </w:p>
        </w:tc>
        <w:tc>
          <w:tcPr>
            <w:tcBorders>
              <w:top w:val="single" w:sz="4"/>
              <w:left w:val="single" w:sz="4"/>
            </w:tcBorders>
            <w:shd w:val="clear" w:color="auto" w:fill="FFFFFF"/>
            <w:vAlign w:val="center"/>
          </w:tcPr>
          <w:p>
            <w:pPr>
              <w:pStyle w:val="Style2"/>
              <w:keepNext w:val="0"/>
              <w:keepLines w:val="0"/>
              <w:framePr w:w="9451" w:h="2467" w:vSpace="634" w:wrap="notBeside" w:vAnchor="text" w:hAnchor="text" w:x="382" w:y="63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可变现净值低于成本</w:t>
            </w:r>
          </w:p>
        </w:tc>
        <w:tc>
          <w:tcPr>
            <w:tcBorders>
              <w:top w:val="single" w:sz="4"/>
              <w:left w:val="single" w:sz="4"/>
            </w:tcBorders>
            <w:shd w:val="clear" w:color="auto" w:fill="FFFFFF"/>
            <w:vAlign w:val="top"/>
          </w:tcPr>
          <w:p>
            <w:pPr>
              <w:framePr w:w="9451" w:h="2467" w:vSpace="634" w:wrap="notBeside" w:vAnchor="text" w:hAnchor="text" w:x="382" w:y="635"/>
              <w:widowControl w:val="0"/>
              <w:rPr>
                <w:sz w:val="10"/>
                <w:szCs w:val="10"/>
              </w:rPr>
            </w:pPr>
          </w:p>
        </w:tc>
        <w:tc>
          <w:tcPr>
            <w:tcBorders>
              <w:top w:val="single" w:sz="4"/>
              <w:left w:val="single" w:sz="4"/>
            </w:tcBorders>
            <w:shd w:val="clear" w:color="auto" w:fill="FFFFFF"/>
            <w:vAlign w:val="top"/>
          </w:tcPr>
          <w:p>
            <w:pPr>
              <w:framePr w:w="9451" w:h="2467" w:vSpace="634" w:wrap="notBeside" w:vAnchor="text" w:hAnchor="text" w:x="382" w:y="635"/>
              <w:widowControl w:val="0"/>
              <w:rPr>
                <w:sz w:val="10"/>
                <w:szCs w:val="10"/>
              </w:rPr>
            </w:pPr>
          </w:p>
        </w:tc>
      </w:tr>
      <w:tr>
        <w:trPr>
          <w:trHeight w:val="408" w:hRule="exact"/>
        </w:trPr>
        <w:tc>
          <w:tcPr>
            <w:tcBorders>
              <w:top w:val="single" w:sz="4"/>
            </w:tcBorders>
            <w:shd w:val="clear" w:color="auto" w:fill="FFFFFF"/>
            <w:vAlign w:val="center"/>
          </w:tcPr>
          <w:p>
            <w:pPr>
              <w:pStyle w:val="Style2"/>
              <w:keepNext w:val="0"/>
              <w:keepLines w:val="0"/>
              <w:framePr w:w="9451" w:h="2467" w:vSpace="634" w:wrap="notBeside" w:vAnchor="text" w:hAnchor="text" w:x="382" w:y="635"/>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委托加工物资</w:t>
            </w:r>
          </w:p>
        </w:tc>
        <w:tc>
          <w:tcPr>
            <w:tcBorders>
              <w:top w:val="single" w:sz="4"/>
              <w:left w:val="single" w:sz="4"/>
            </w:tcBorders>
            <w:shd w:val="clear" w:color="auto" w:fill="FFFFFF"/>
            <w:vAlign w:val="center"/>
          </w:tcPr>
          <w:p>
            <w:pPr>
              <w:pStyle w:val="Style2"/>
              <w:keepNext w:val="0"/>
              <w:keepLines w:val="0"/>
              <w:framePr w:w="9451" w:h="2467" w:vSpace="634" w:wrap="notBeside" w:vAnchor="text" w:hAnchor="text" w:x="382" w:y="63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可变现净值低于成本</w:t>
            </w:r>
          </w:p>
        </w:tc>
        <w:tc>
          <w:tcPr>
            <w:tcBorders>
              <w:top w:val="single" w:sz="4"/>
              <w:left w:val="single" w:sz="4"/>
            </w:tcBorders>
            <w:shd w:val="clear" w:color="auto" w:fill="FFFFFF"/>
            <w:vAlign w:val="center"/>
          </w:tcPr>
          <w:p>
            <w:pPr>
              <w:pStyle w:val="Style2"/>
              <w:keepNext w:val="0"/>
              <w:keepLines w:val="0"/>
              <w:framePr w:w="9451" w:h="2467" w:vSpace="634" w:wrap="notBeside" w:vAnchor="text" w:hAnchor="text" w:x="382" w:y="63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可变现净值高于成本</w:t>
            </w:r>
          </w:p>
        </w:tc>
        <w:tc>
          <w:tcPr>
            <w:tcBorders>
              <w:top w:val="single" w:sz="4"/>
              <w:left w:val="single" w:sz="4"/>
            </w:tcBorders>
            <w:shd w:val="clear" w:color="auto" w:fill="FFFFFF"/>
            <w:vAlign w:val="center"/>
          </w:tcPr>
          <w:p>
            <w:pPr>
              <w:pStyle w:val="Style2"/>
              <w:keepNext w:val="0"/>
              <w:keepLines w:val="0"/>
              <w:framePr w:w="9451" w:h="2467" w:vSpace="634" w:wrap="notBeside" w:vAnchor="text" w:hAnchor="text" w:x="382" w:y="63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本期已售出</w:t>
            </w:r>
          </w:p>
        </w:tc>
      </w:tr>
      <w:tr>
        <w:trPr>
          <w:trHeight w:val="427" w:hRule="exact"/>
        </w:trPr>
        <w:tc>
          <w:tcPr>
            <w:tcBorders>
              <w:top w:val="single" w:sz="4"/>
              <w:bottom w:val="single" w:sz="4"/>
            </w:tcBorders>
            <w:shd w:val="clear" w:color="auto" w:fill="FFFFFF"/>
            <w:vAlign w:val="center"/>
          </w:tcPr>
          <w:p>
            <w:pPr>
              <w:pStyle w:val="Style2"/>
              <w:keepNext w:val="0"/>
              <w:keepLines w:val="0"/>
              <w:framePr w:w="9451" w:h="2467" w:vSpace="634" w:wrap="notBeside" w:vAnchor="text" w:hAnchor="text" w:x="382" w:y="635"/>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周转材料</w:t>
            </w:r>
          </w:p>
        </w:tc>
        <w:tc>
          <w:tcPr>
            <w:tcBorders>
              <w:top w:val="single" w:sz="4"/>
              <w:left w:val="single" w:sz="4"/>
              <w:bottom w:val="single" w:sz="4"/>
            </w:tcBorders>
            <w:shd w:val="clear" w:color="auto" w:fill="FFFFFF"/>
            <w:vAlign w:val="center"/>
          </w:tcPr>
          <w:p>
            <w:pPr>
              <w:pStyle w:val="Style2"/>
              <w:keepNext w:val="0"/>
              <w:keepLines w:val="0"/>
              <w:framePr w:w="9451" w:h="2467" w:vSpace="634" w:wrap="notBeside" w:vAnchor="text" w:hAnchor="text" w:x="382" w:y="63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可变现净值低于成本</w:t>
            </w:r>
          </w:p>
        </w:tc>
        <w:tc>
          <w:tcPr>
            <w:tcBorders>
              <w:top w:val="single" w:sz="4"/>
              <w:left w:val="single" w:sz="4"/>
              <w:bottom w:val="single" w:sz="4"/>
            </w:tcBorders>
            <w:shd w:val="clear" w:color="auto" w:fill="FFFFFF"/>
            <w:vAlign w:val="top"/>
          </w:tcPr>
          <w:p>
            <w:pPr>
              <w:framePr w:w="9451" w:h="2467" w:vSpace="634" w:wrap="notBeside" w:vAnchor="text" w:hAnchor="text" w:x="382" w:y="635"/>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9451" w:h="2467" w:vSpace="634" w:wrap="notBeside" w:vAnchor="text" w:hAnchor="text" w:x="382" w:y="63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本期已售出</w:t>
            </w:r>
          </w:p>
        </w:tc>
      </w:tr>
    </w:tbl>
    <w:p>
      <w:pPr>
        <w:pStyle w:val="Style38"/>
        <w:keepNext w:val="0"/>
        <w:keepLines w:val="0"/>
        <w:framePr w:w="701" w:h="283" w:hSpace="381" w:wrap="notBeside" w:vAnchor="text" w:hAnchor="text" w:x="881" w:y="174"/>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p>
      <w:pPr>
        <w:pStyle w:val="Style38"/>
        <w:keepNext w:val="0"/>
        <w:keepLines w:val="0"/>
        <w:framePr w:w="6850" w:h="614" w:hSpace="381" w:wrap="notBeside" w:vAnchor="text" w:hAnchor="text" w:x="2811" w:y="1"/>
        <w:widowControl w:val="0"/>
        <w:shd w:val="clear" w:color="auto" w:fill="auto"/>
        <w:tabs>
          <w:tab w:pos="2462" w:val="left"/>
        </w:tabs>
        <w:bidi w:val="0"/>
        <w:spacing w:before="0" w:after="60" w:line="240" w:lineRule="auto"/>
        <w:ind w:left="0" w:right="0" w:firstLine="0"/>
        <w:jc w:val="left"/>
        <w:rPr>
          <w:sz w:val="20"/>
          <w:szCs w:val="20"/>
        </w:rPr>
      </w:pPr>
      <w:r>
        <w:rPr>
          <w:b/>
          <w:bCs/>
          <w:color w:val="000000"/>
          <w:spacing w:val="0"/>
          <w:w w:val="100"/>
          <w:position w:val="0"/>
          <w:sz w:val="20"/>
          <w:szCs w:val="20"/>
        </w:rPr>
        <w:t>计提存货跌价准备</w:t>
        <w:tab/>
        <w:t>本年转回存货跌价准备本年转销存货跌价</w:t>
      </w:r>
    </w:p>
    <w:p>
      <w:pPr>
        <w:pStyle w:val="Style38"/>
        <w:keepNext w:val="0"/>
        <w:keepLines w:val="0"/>
        <w:framePr w:w="6850" w:h="614" w:hSpace="381" w:wrap="notBeside" w:vAnchor="text" w:hAnchor="text" w:x="2811" w:y="1"/>
        <w:widowControl w:val="0"/>
        <w:shd w:val="clear" w:color="auto" w:fill="auto"/>
        <w:tabs>
          <w:tab w:pos="2914" w:val="left"/>
          <w:tab w:pos="5016" w:val="left"/>
        </w:tabs>
        <w:bidi w:val="0"/>
        <w:spacing w:before="0" w:after="0" w:line="240" w:lineRule="auto"/>
        <w:ind w:left="0" w:right="0" w:firstLine="0"/>
        <w:jc w:val="center"/>
        <w:rPr>
          <w:sz w:val="20"/>
          <w:szCs w:val="20"/>
        </w:rPr>
      </w:pPr>
      <w:r>
        <w:rPr>
          <w:b/>
          <w:bCs/>
          <w:color w:val="000000"/>
          <w:spacing w:val="0"/>
          <w:w w:val="100"/>
          <w:position w:val="0"/>
          <w:sz w:val="20"/>
          <w:szCs w:val="20"/>
        </w:rPr>
        <w:t>的具体依据</w:t>
        <w:tab/>
        <w:t>的原因</w:t>
        <w:tab/>
        <w:t>准备的原因</w:t>
      </w:r>
    </w:p>
    <w:p>
      <w:pPr>
        <w:widowControl w:val="0"/>
        <w:spacing w:line="1" w:lineRule="exact"/>
      </w:pPr>
    </w:p>
    <w:p>
      <w:pPr>
        <w:pStyle w:val="Style52"/>
        <w:keepNext/>
        <w:keepLines/>
        <w:widowControl w:val="0"/>
        <w:shd w:val="clear" w:color="auto" w:fill="auto"/>
        <w:bidi w:val="0"/>
        <w:spacing w:before="0" w:after="420" w:line="240" w:lineRule="auto"/>
        <w:ind w:left="0" w:right="0" w:firstLine="0"/>
        <w:jc w:val="left"/>
        <w:rPr>
          <w:sz w:val="24"/>
          <w:szCs w:val="24"/>
        </w:rPr>
      </w:pPr>
      <w:bookmarkStart w:id="978" w:name="bookmark978"/>
      <w:bookmarkStart w:id="979" w:name="bookmark979"/>
      <w:bookmarkStart w:id="980" w:name="bookmark980"/>
      <w:bookmarkStart w:id="981" w:name="bookmark981"/>
      <w:r>
        <w:rPr>
          <w:rFonts w:ascii="Times New Roman" w:eastAsia="Times New Roman" w:hAnsi="Times New Roman" w:cs="Times New Roman"/>
          <w:b w:val="0"/>
          <w:bCs w:val="0"/>
          <w:color w:val="000000"/>
          <w:spacing w:val="0"/>
          <w:w w:val="100"/>
          <w:position w:val="0"/>
          <w:sz w:val="24"/>
          <w:szCs w:val="24"/>
        </w:rPr>
        <w:t>9</w:t>
      </w:r>
      <w:bookmarkEnd w:id="980"/>
      <w:r>
        <w:rPr>
          <w:b w:val="0"/>
          <w:bCs w:val="0"/>
          <w:color w:val="000000"/>
          <w:spacing w:val="0"/>
          <w:w w:val="100"/>
          <w:position w:val="0"/>
          <w:sz w:val="24"/>
          <w:szCs w:val="24"/>
        </w:rPr>
        <w:t>、持有待售资产</w:t>
      </w:r>
      <w:bookmarkEnd w:id="978"/>
      <w:bookmarkEnd w:id="979"/>
      <w:bookmarkEnd w:id="981"/>
    </w:p>
    <w:p>
      <w:pPr>
        <w:pStyle w:val="Style52"/>
        <w:keepNext/>
        <w:keepLines/>
        <w:widowControl w:val="0"/>
        <w:shd w:val="clear" w:color="auto" w:fill="auto"/>
        <w:bidi w:val="0"/>
        <w:spacing w:before="0" w:after="180" w:line="240" w:lineRule="auto"/>
        <w:ind w:left="0" w:right="0" w:firstLine="640"/>
        <w:jc w:val="left"/>
      </w:pPr>
      <w:bookmarkStart w:id="978" w:name="bookmark978"/>
      <w:bookmarkStart w:id="979" w:name="bookmark979"/>
      <w:bookmarkStart w:id="982" w:name="bookmark982"/>
      <w:r>
        <w:rPr>
          <w:b w:val="0"/>
          <w:bCs w:val="0"/>
          <w:color w:val="000000"/>
          <w:spacing w:val="0"/>
          <w:w w:val="100"/>
          <w:position w:val="0"/>
        </w:rPr>
        <w:t>（</w:t>
      </w:r>
      <w:bookmarkEnd w:id="982"/>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）持有待售资产</w:t>
      </w:r>
      <w:bookmarkEnd w:id="978"/>
      <w:bookmarkEnd w:id="979"/>
      <w:r>
        <w:br w:type="page"/>
      </w:r>
    </w:p>
    <w:tbl>
      <w:tblPr>
        <w:tblOverlap w:val="never"/>
        <w:jc w:val="left"/>
        <w:tblLayout w:type="fixed"/>
      </w:tblPr>
      <w:tblGrid>
        <w:gridCol w:w="2203"/>
        <w:gridCol w:w="1560"/>
        <w:gridCol w:w="1560"/>
        <w:gridCol w:w="1277"/>
        <w:gridCol w:w="1277"/>
        <w:gridCol w:w="1306"/>
      </w:tblGrid>
      <w:tr>
        <w:trPr>
          <w:trHeight w:val="768" w:hRule="exact"/>
        </w:trPr>
        <w:tc>
          <w:tcPr>
            <w:tcBorders>
              <w:top w:val="single" w:sz="4"/>
            </w:tcBorders>
            <w:shd w:val="clear" w:color="auto" w:fill="FFFFFF"/>
            <w:vAlign w:val="center"/>
          </w:tcPr>
          <w:p>
            <w:pPr>
              <w:pStyle w:val="Style2"/>
              <w:keepNext w:val="0"/>
              <w:keepLines w:val="0"/>
              <w:framePr w:w="9182" w:h="1690" w:vSpace="552" w:wrap="notBeside" w:vAnchor="text" w:hAnchor="text" w:x="517" w:y="553"/>
              <w:widowControl w:val="0"/>
              <w:shd w:val="clear" w:color="auto" w:fill="auto"/>
              <w:bidi w:val="0"/>
              <w:spacing w:before="0" w:after="0" w:line="365" w:lineRule="exact"/>
              <w:ind w:left="0" w:right="0" w:firstLine="0"/>
              <w:jc w:val="left"/>
              <w:rPr>
                <w:sz w:val="20"/>
                <w:szCs w:val="20"/>
              </w:rPr>
            </w:pPr>
            <w:r>
              <w:rPr>
                <w:color w:val="000000"/>
                <w:spacing w:val="0"/>
                <w:w w:val="100"/>
                <w:position w:val="0"/>
                <w:sz w:val="20"/>
                <w:szCs w:val="20"/>
              </w:rPr>
              <w:t>持有待售的非流动资 产</w:t>
            </w:r>
          </w:p>
        </w:tc>
        <w:tc>
          <w:tcPr>
            <w:tcBorders>
              <w:top w:val="single" w:sz="4"/>
              <w:left w:val="single" w:sz="4"/>
            </w:tcBorders>
            <w:shd w:val="clear" w:color="auto" w:fill="FFFFFF"/>
            <w:vAlign w:val="center"/>
          </w:tcPr>
          <w:p>
            <w:pPr>
              <w:pStyle w:val="Style2"/>
              <w:keepNext w:val="0"/>
              <w:keepLines w:val="0"/>
              <w:framePr w:w="9182" w:h="1690" w:vSpace="552" w:wrap="notBeside" w:vAnchor="text" w:hAnchor="text" w:x="517" w:y="553"/>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101,967,376.78</w:t>
            </w:r>
          </w:p>
        </w:tc>
        <w:tc>
          <w:tcPr>
            <w:tcBorders>
              <w:top w:val="single" w:sz="4"/>
              <w:left w:val="single" w:sz="4"/>
            </w:tcBorders>
            <w:shd w:val="clear" w:color="auto" w:fill="FFFFFF"/>
            <w:vAlign w:val="center"/>
          </w:tcPr>
          <w:p>
            <w:pPr>
              <w:pStyle w:val="Style2"/>
              <w:keepNext w:val="0"/>
              <w:keepLines w:val="0"/>
              <w:framePr w:w="9182" w:h="1690" w:vSpace="552" w:wrap="notBeside" w:vAnchor="text" w:hAnchor="text" w:x="517" w:y="553"/>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169,213,700.00</w:t>
            </w:r>
          </w:p>
        </w:tc>
        <w:tc>
          <w:tcPr>
            <w:tcBorders>
              <w:top w:val="single" w:sz="4"/>
              <w:left w:val="single" w:sz="4"/>
            </w:tcBorders>
            <w:shd w:val="clear" w:color="auto" w:fill="FFFFFF"/>
            <w:vAlign w:val="center"/>
          </w:tcPr>
          <w:p>
            <w:pPr>
              <w:pStyle w:val="Style2"/>
              <w:keepNext w:val="0"/>
              <w:keepLines w:val="0"/>
              <w:framePr w:w="9182" w:h="1690" w:vSpace="552" w:wrap="notBeside" w:vAnchor="text" w:hAnchor="text" w:x="517" w:y="55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7,699,223.35</w:t>
            </w:r>
          </w:p>
        </w:tc>
        <w:tc>
          <w:tcPr>
            <w:tcBorders>
              <w:top w:val="single" w:sz="4"/>
              <w:left w:val="single" w:sz="4"/>
            </w:tcBorders>
            <w:shd w:val="clear" w:color="auto" w:fill="FFFFFF"/>
            <w:vAlign w:val="top"/>
          </w:tcPr>
          <w:p>
            <w:pPr>
              <w:framePr w:w="9182" w:h="1690" w:vSpace="552" w:wrap="notBeside" w:vAnchor="text" w:hAnchor="text" w:x="517" w:y="553"/>
              <w:widowControl w:val="0"/>
              <w:rPr>
                <w:sz w:val="10"/>
                <w:szCs w:val="10"/>
              </w:rPr>
            </w:pPr>
          </w:p>
        </w:tc>
        <w:tc>
          <w:tcPr>
            <w:tcBorders>
              <w:top w:val="single" w:sz="4"/>
              <w:left w:val="single" w:sz="4"/>
            </w:tcBorders>
            <w:shd w:val="clear" w:color="auto" w:fill="FFFFFF"/>
            <w:vAlign w:val="top"/>
          </w:tcPr>
          <w:p>
            <w:pPr>
              <w:framePr w:w="9182" w:h="1690" w:vSpace="552" w:wrap="notBeside" w:vAnchor="text" w:hAnchor="text" w:x="517" w:y="553"/>
              <w:widowControl w:val="0"/>
              <w:rPr>
                <w:sz w:val="10"/>
                <w:szCs w:val="10"/>
              </w:rPr>
            </w:pPr>
          </w:p>
        </w:tc>
      </w:tr>
      <w:tr>
        <w:trPr>
          <w:trHeight w:val="451" w:hRule="exact"/>
        </w:trPr>
        <w:tc>
          <w:tcPr>
            <w:tcBorders>
              <w:top w:val="single" w:sz="4"/>
            </w:tcBorders>
            <w:shd w:val="clear" w:color="auto" w:fill="FFFFFF"/>
            <w:vAlign w:val="center"/>
          </w:tcPr>
          <w:p>
            <w:pPr>
              <w:pStyle w:val="Style2"/>
              <w:keepNext w:val="0"/>
              <w:keepLines w:val="0"/>
              <w:framePr w:w="9182" w:h="1690" w:vSpace="552" w:wrap="notBeside" w:vAnchor="text" w:hAnchor="text" w:x="517" w:y="55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其中：长期股权投资</w:t>
            </w:r>
          </w:p>
        </w:tc>
        <w:tc>
          <w:tcPr>
            <w:tcBorders>
              <w:top w:val="single" w:sz="4"/>
              <w:left w:val="single" w:sz="4"/>
            </w:tcBorders>
            <w:shd w:val="clear" w:color="auto" w:fill="FFFFFF"/>
            <w:vAlign w:val="center"/>
          </w:tcPr>
          <w:p>
            <w:pPr>
              <w:pStyle w:val="Style2"/>
              <w:keepNext w:val="0"/>
              <w:keepLines w:val="0"/>
              <w:framePr w:w="9182" w:h="1690" w:vSpace="552" w:wrap="notBeside" w:vAnchor="text" w:hAnchor="text" w:x="517" w:y="553"/>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101,967,376.78</w:t>
            </w:r>
          </w:p>
        </w:tc>
        <w:tc>
          <w:tcPr>
            <w:tcBorders>
              <w:top w:val="single" w:sz="4"/>
              <w:left w:val="single" w:sz="4"/>
            </w:tcBorders>
            <w:shd w:val="clear" w:color="auto" w:fill="FFFFFF"/>
            <w:vAlign w:val="center"/>
          </w:tcPr>
          <w:p>
            <w:pPr>
              <w:pStyle w:val="Style2"/>
              <w:keepNext w:val="0"/>
              <w:keepLines w:val="0"/>
              <w:framePr w:w="9182" w:h="1690" w:vSpace="552" w:wrap="notBeside" w:vAnchor="text" w:hAnchor="text" w:x="517" w:y="553"/>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169,213,700.00</w:t>
            </w:r>
          </w:p>
        </w:tc>
        <w:tc>
          <w:tcPr>
            <w:tcBorders>
              <w:top w:val="single" w:sz="4"/>
              <w:left w:val="single" w:sz="4"/>
            </w:tcBorders>
            <w:shd w:val="clear" w:color="auto" w:fill="FFFFFF"/>
            <w:vAlign w:val="center"/>
          </w:tcPr>
          <w:p>
            <w:pPr>
              <w:pStyle w:val="Style2"/>
              <w:keepNext w:val="0"/>
              <w:keepLines w:val="0"/>
              <w:framePr w:w="9182" w:h="1690" w:vSpace="552" w:wrap="notBeside" w:vAnchor="text" w:hAnchor="text" w:x="517" w:y="55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7,699,223.35</w:t>
            </w:r>
          </w:p>
        </w:tc>
        <w:tc>
          <w:tcPr>
            <w:tcBorders>
              <w:top w:val="single" w:sz="4"/>
              <w:left w:val="single" w:sz="4"/>
            </w:tcBorders>
            <w:shd w:val="clear" w:color="auto" w:fill="FFFFFF"/>
            <w:vAlign w:val="center"/>
          </w:tcPr>
          <w:p>
            <w:pPr>
              <w:pStyle w:val="Style2"/>
              <w:keepNext w:val="0"/>
              <w:keepLines w:val="0"/>
              <w:framePr w:w="9182" w:h="1690" w:vSpace="552" w:wrap="notBeside" w:vAnchor="text" w:hAnchor="text" w:x="517" w:y="553"/>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股权转让</w:t>
            </w:r>
          </w:p>
        </w:tc>
        <w:tc>
          <w:tcPr>
            <w:tcBorders>
              <w:top w:val="single" w:sz="4"/>
              <w:left w:val="single" w:sz="4"/>
            </w:tcBorders>
            <w:shd w:val="clear" w:color="auto" w:fill="FFFFFF"/>
            <w:vAlign w:val="center"/>
          </w:tcPr>
          <w:p>
            <w:pPr>
              <w:pStyle w:val="Style2"/>
              <w:keepNext w:val="0"/>
              <w:keepLines w:val="0"/>
              <w:framePr w:w="9182" w:h="1690" w:vSpace="552" w:wrap="notBeside" w:vAnchor="text" w:hAnchor="text" w:x="517" w:y="553"/>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 xml:space="preserve">2021 </w:t>
            </w:r>
            <w:r>
              <w:rPr>
                <w:color w:val="000000"/>
                <w:spacing w:val="0"/>
                <w:w w:val="100"/>
                <w:position w:val="0"/>
                <w:sz w:val="20"/>
                <w:szCs w:val="20"/>
              </w:rPr>
              <w:t>年</w:t>
            </w:r>
          </w:p>
        </w:tc>
      </w:tr>
      <w:tr>
        <w:trPr>
          <w:trHeight w:val="470" w:hRule="exact"/>
        </w:trPr>
        <w:tc>
          <w:tcPr>
            <w:tcBorders>
              <w:top w:val="single" w:sz="4"/>
              <w:bottom w:val="single" w:sz="4"/>
            </w:tcBorders>
            <w:shd w:val="clear" w:color="auto" w:fill="FFFFFF"/>
            <w:vAlign w:val="center"/>
          </w:tcPr>
          <w:p>
            <w:pPr>
              <w:pStyle w:val="Style2"/>
              <w:keepNext w:val="0"/>
              <w:keepLines w:val="0"/>
              <w:framePr w:w="9182" w:h="1690" w:vSpace="552" w:wrap="notBeside" w:vAnchor="text" w:hAnchor="text" w:x="517" w:y="553"/>
              <w:widowControl w:val="0"/>
              <w:shd w:val="clear" w:color="auto" w:fill="auto"/>
              <w:tabs>
                <w:tab w:pos="1073" w:val="left"/>
              </w:tabs>
              <w:bidi w:val="0"/>
              <w:spacing w:before="0" w:after="0" w:line="240" w:lineRule="auto"/>
              <w:ind w:left="0" w:right="0" w:firstLine="420"/>
              <w:jc w:val="left"/>
              <w:rPr>
                <w:sz w:val="20"/>
                <w:szCs w:val="20"/>
              </w:rPr>
            </w:pPr>
            <w:r>
              <w:rPr>
                <w:b/>
                <w:bCs/>
                <w:color w:val="000000"/>
                <w:spacing w:val="0"/>
                <w:w w:val="100"/>
                <w:position w:val="0"/>
                <w:sz w:val="20"/>
                <w:szCs w:val="20"/>
              </w:rPr>
              <w:t>合</w:t>
              <w:tab/>
              <w:t>计</w:t>
            </w:r>
          </w:p>
        </w:tc>
        <w:tc>
          <w:tcPr>
            <w:tcBorders>
              <w:top w:val="single" w:sz="4"/>
              <w:left w:val="single" w:sz="4"/>
              <w:bottom w:val="single" w:sz="4"/>
            </w:tcBorders>
            <w:shd w:val="clear" w:color="auto" w:fill="FFFFFF"/>
            <w:vAlign w:val="center"/>
          </w:tcPr>
          <w:p>
            <w:pPr>
              <w:pStyle w:val="Style2"/>
              <w:keepNext w:val="0"/>
              <w:keepLines w:val="0"/>
              <w:framePr w:w="9182" w:h="1690" w:vSpace="552" w:wrap="notBeside" w:vAnchor="text" w:hAnchor="text" w:x="517" w:y="553"/>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101,967,376.78</w:t>
            </w:r>
          </w:p>
        </w:tc>
        <w:tc>
          <w:tcPr>
            <w:tcBorders>
              <w:top w:val="single" w:sz="4"/>
              <w:left w:val="single" w:sz="4"/>
              <w:bottom w:val="single" w:sz="4"/>
            </w:tcBorders>
            <w:shd w:val="clear" w:color="auto" w:fill="FFFFFF"/>
            <w:vAlign w:val="center"/>
          </w:tcPr>
          <w:p>
            <w:pPr>
              <w:pStyle w:val="Style2"/>
              <w:keepNext w:val="0"/>
              <w:keepLines w:val="0"/>
              <w:framePr w:w="9182" w:h="1690" w:vSpace="552" w:wrap="notBeside" w:vAnchor="text" w:hAnchor="text" w:x="517" w:y="553"/>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169,213,700.00</w:t>
            </w:r>
          </w:p>
        </w:tc>
        <w:tc>
          <w:tcPr>
            <w:tcBorders>
              <w:top w:val="single" w:sz="4"/>
              <w:left w:val="single" w:sz="4"/>
              <w:bottom w:val="single" w:sz="4"/>
            </w:tcBorders>
            <w:shd w:val="clear" w:color="auto" w:fill="FFFFFF"/>
            <w:vAlign w:val="center"/>
          </w:tcPr>
          <w:p>
            <w:pPr>
              <w:pStyle w:val="Style2"/>
              <w:keepNext w:val="0"/>
              <w:keepLines w:val="0"/>
              <w:framePr w:w="9182" w:h="1690" w:vSpace="552" w:wrap="notBeside" w:vAnchor="text" w:hAnchor="text" w:x="517" w:y="553"/>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7,699,223.35</w:t>
            </w:r>
          </w:p>
        </w:tc>
        <w:tc>
          <w:tcPr>
            <w:tcBorders>
              <w:top w:val="single" w:sz="4"/>
              <w:left w:val="single" w:sz="4"/>
              <w:bottom w:val="single" w:sz="4"/>
            </w:tcBorders>
            <w:shd w:val="clear" w:color="auto" w:fill="FFFFFF"/>
            <w:vAlign w:val="top"/>
          </w:tcPr>
          <w:p>
            <w:pPr>
              <w:framePr w:w="9182" w:h="1690" w:vSpace="552" w:wrap="notBeside" w:vAnchor="text" w:hAnchor="text" w:x="517" w:y="553"/>
              <w:widowControl w:val="0"/>
              <w:rPr>
                <w:sz w:val="10"/>
                <w:szCs w:val="10"/>
              </w:rPr>
            </w:pPr>
          </w:p>
        </w:tc>
        <w:tc>
          <w:tcPr>
            <w:tcBorders>
              <w:top w:val="single" w:sz="4"/>
              <w:left w:val="single" w:sz="4"/>
              <w:bottom w:val="single" w:sz="4"/>
            </w:tcBorders>
            <w:shd w:val="clear" w:color="auto" w:fill="FFFFFF"/>
            <w:vAlign w:val="top"/>
          </w:tcPr>
          <w:p>
            <w:pPr>
              <w:framePr w:w="9182" w:h="1690" w:vSpace="552" w:wrap="notBeside" w:vAnchor="text" w:hAnchor="text" w:x="517" w:y="553"/>
              <w:widowControl w:val="0"/>
              <w:rPr>
                <w:sz w:val="10"/>
                <w:szCs w:val="10"/>
              </w:rPr>
            </w:pPr>
          </w:p>
        </w:tc>
      </w:tr>
    </w:tbl>
    <w:p>
      <w:pPr>
        <w:pStyle w:val="Style38"/>
        <w:keepNext w:val="0"/>
        <w:keepLines w:val="0"/>
        <w:framePr w:w="2707" w:h="269" w:hSpace="516" w:wrap="notBeside" w:vAnchor="text" w:hAnchor="text" w:x="2816"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期末账面价值 公允价值</w:t>
      </w:r>
    </w:p>
    <w:p>
      <w:pPr>
        <w:pStyle w:val="Style38"/>
        <w:keepNext w:val="0"/>
        <w:keepLines w:val="0"/>
        <w:framePr w:w="3475" w:h="254" w:hSpace="516" w:wrap="notBeside" w:vAnchor="text" w:hAnchor="text" w:x="6018" w:y="246"/>
        <w:widowControl w:val="0"/>
        <w:shd w:val="clear" w:color="auto" w:fill="auto"/>
        <w:tabs>
          <w:tab w:pos="1258" w:val="left"/>
          <w:tab w:pos="2544" w:val="left"/>
        </w:tabs>
        <w:bidi w:val="0"/>
        <w:spacing w:before="0" w:after="0" w:line="240" w:lineRule="auto"/>
        <w:ind w:left="0" w:right="0" w:firstLine="0"/>
        <w:jc w:val="center"/>
        <w:rPr>
          <w:sz w:val="20"/>
          <w:szCs w:val="20"/>
        </w:rPr>
      </w:pPr>
      <w:r>
        <w:rPr>
          <w:b/>
          <w:bCs/>
          <w:color w:val="000000"/>
          <w:spacing w:val="0"/>
          <w:w w:val="100"/>
          <w:position w:val="0"/>
          <w:sz w:val="20"/>
          <w:szCs w:val="20"/>
        </w:rPr>
        <w:t>费用</w:t>
        <w:tab/>
        <w:t>方式</w:t>
        <w:tab/>
        <w:t>时间</w:t>
      </w:r>
    </w:p>
    <w:p>
      <w:pPr>
        <w:widowControl w:val="0"/>
        <w:spacing w:line="1" w:lineRule="exact"/>
      </w:pPr>
    </w:p>
    <w:p>
      <w:pPr>
        <w:pStyle w:val="Style44"/>
        <w:keepNext w:val="0"/>
        <w:keepLines w:val="0"/>
        <w:widowControl w:val="0"/>
        <w:shd w:val="clear" w:color="auto" w:fill="auto"/>
        <w:bidi w:val="0"/>
        <w:spacing w:before="0" w:after="400" w:line="240" w:lineRule="auto"/>
        <w:ind w:left="0" w:right="0" w:firstLine="640"/>
        <w:jc w:val="left"/>
      </w:pPr>
      <w:r>
        <mc:AlternateContent>
          <mc:Choice Requires="wps">
            <w:drawing>
              <wp:anchor distT="0" distB="0" distL="0" distR="0" simplePos="0" relativeHeight="125829412" behindDoc="0" locked="0" layoutInCell="1" allowOverlap="1">
                <wp:simplePos x="0" y="0"/>
                <wp:positionH relativeFrom="page">
                  <wp:posOffset>4173855</wp:posOffset>
                </wp:positionH>
                <wp:positionV relativeFrom="margin">
                  <wp:posOffset>300355</wp:posOffset>
                </wp:positionV>
                <wp:extent cx="2206625" cy="149225"/>
                <wp:wrapSquare wrapText="bothSides"/>
                <wp:docPr id="296" name="Shape 296"/>
                <a:graphic xmlns:a="http://schemas.openxmlformats.org/drawingml/2006/main">
                  <a:graphicData uri="http://schemas.microsoft.com/office/word/2010/wordprocessingShape">
                    <wps:wsp>
                      <wps:cNvSpPr txBox="1"/>
                      <wps:spPr>
                        <a:xfrm>
                          <a:ext cx="2206625" cy="1492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预计出售出售原因、预计出售</w:t>
                            </w:r>
                          </w:p>
                        </w:txbxContent>
                      </wps:txbx>
                      <wps:bodyPr wrap="none" lIns="0" tIns="0" rIns="0" bIns="0">
                        <a:noAutoFit/>
                      </wps:bodyPr>
                    </wps:wsp>
                  </a:graphicData>
                </a:graphic>
              </wp:anchor>
            </w:drawing>
          </mc:Choice>
          <mc:Fallback>
            <w:pict>
              <v:shape id="_x0000_s1322" type="#_x0000_t202" style="position:absolute;margin-left:328.65000000000003pt;margin-top:23.650000000000002pt;width:173.75pt;height:11.75pt;z-index:-125829341;mso-wrap-distance-left:0;mso-wrap-distance-right:0;mso-position-horizontal-relative:page;mso-position-vertical-relative:margin" filled="f" stroked="f">
                <v:textbox inset="0,0,0,0">
                  <w:txbxContent>
                    <w:p>
                      <w:pPr>
                        <w:pStyle w:val="Style4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预计出售出售原因、预计出售</w:t>
                      </w:r>
                    </w:p>
                  </w:txbxContent>
                </v:textbox>
                <w10:wrap type="square" anchorx="page" anchory="margin"/>
              </v:shape>
            </w:pict>
          </mc:Fallback>
        </mc:AlternateContent>
      </w:r>
      <w:r>
        <w:rPr>
          <w:color w:val="000000"/>
          <w:spacing w:val="0"/>
          <w:w w:val="100"/>
          <w:position w:val="0"/>
        </w:rPr>
        <w:t>注：持有待售资产的形成详见附注五、</w:t>
      </w:r>
      <w:r>
        <w:rPr>
          <w:rFonts w:ascii="Times New Roman" w:eastAsia="Times New Roman" w:hAnsi="Times New Roman" w:cs="Times New Roman"/>
          <w:color w:val="000000"/>
          <w:spacing w:val="0"/>
          <w:w w:val="100"/>
          <w:position w:val="0"/>
        </w:rPr>
        <w:t>11</w:t>
      </w:r>
      <w:r>
        <w:rPr>
          <w:color w:val="000000"/>
          <w:spacing w:val="0"/>
          <w:w w:val="100"/>
          <w:position w:val="0"/>
        </w:rPr>
        <w:t>之说明。</w:t>
      </w:r>
    </w:p>
    <w:p>
      <w:pPr>
        <w:pStyle w:val="Style52"/>
        <w:keepNext/>
        <w:keepLines/>
        <w:widowControl w:val="0"/>
        <w:shd w:val="clear" w:color="auto" w:fill="auto"/>
        <w:bidi w:val="0"/>
        <w:spacing w:before="0" w:line="240" w:lineRule="auto"/>
        <w:ind w:left="0" w:right="0" w:firstLine="180"/>
        <w:jc w:val="left"/>
        <w:rPr>
          <w:sz w:val="24"/>
          <w:szCs w:val="24"/>
        </w:rPr>
      </w:pPr>
      <w:bookmarkStart w:id="983" w:name="bookmark983"/>
      <w:bookmarkStart w:id="984" w:name="bookmark984"/>
      <w:bookmarkStart w:id="985" w:name="bookmark985"/>
      <w:bookmarkStart w:id="986" w:name="bookmark986"/>
      <w:r>
        <w:rPr>
          <w:rFonts w:ascii="Times New Roman" w:eastAsia="Times New Roman" w:hAnsi="Times New Roman" w:cs="Times New Roman"/>
          <w:b w:val="0"/>
          <w:bCs w:val="0"/>
          <w:color w:val="000000"/>
          <w:spacing w:val="0"/>
          <w:w w:val="100"/>
          <w:position w:val="0"/>
          <w:sz w:val="24"/>
          <w:szCs w:val="24"/>
        </w:rPr>
        <w:t>1</w:t>
      </w:r>
      <w:bookmarkEnd w:id="985"/>
      <w:r>
        <w:rPr>
          <w:rFonts w:ascii="Times New Roman" w:eastAsia="Times New Roman" w:hAnsi="Times New Roman" w:cs="Times New Roman"/>
          <w:b w:val="0"/>
          <w:bCs w:val="0"/>
          <w:color w:val="000000"/>
          <w:spacing w:val="0"/>
          <w:w w:val="100"/>
          <w:position w:val="0"/>
          <w:sz w:val="24"/>
          <w:szCs w:val="24"/>
        </w:rPr>
        <w:t>0</w:t>
      </w:r>
      <w:r>
        <w:rPr>
          <w:b w:val="0"/>
          <w:bCs w:val="0"/>
          <w:color w:val="000000"/>
          <w:spacing w:val="0"/>
          <w:w w:val="100"/>
          <w:position w:val="0"/>
          <w:sz w:val="24"/>
          <w:szCs w:val="24"/>
        </w:rPr>
        <w:t>、其他流动资产</w:t>
      </w:r>
      <w:bookmarkEnd w:id="983"/>
      <w:bookmarkEnd w:id="984"/>
      <w:bookmarkEnd w:id="986"/>
    </w:p>
    <w:tbl>
      <w:tblPr>
        <w:tblOverlap w:val="never"/>
        <w:jc w:val="center"/>
        <w:tblLayout w:type="fixed"/>
      </w:tblPr>
      <w:tblGrid>
        <w:gridCol w:w="3058"/>
        <w:gridCol w:w="3062"/>
        <w:gridCol w:w="3101"/>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tabs>
                <w:tab w:pos="914" w:val="left"/>
              </w:tabs>
              <w:bidi w:val="0"/>
              <w:spacing w:before="0" w:after="0" w:line="240" w:lineRule="auto"/>
              <w:ind w:left="0" w:right="0"/>
              <w:jc w:val="left"/>
              <w:rPr>
                <w:sz w:val="20"/>
                <w:szCs w:val="20"/>
              </w:rPr>
            </w:pPr>
            <w:r>
              <w:rPr>
                <w:b/>
                <w:bCs/>
                <w:color w:val="000000"/>
                <w:spacing w:val="0"/>
                <w:w w:val="100"/>
                <w:position w:val="0"/>
                <w:sz w:val="20"/>
                <w:szCs w:val="20"/>
              </w:rPr>
              <w:t>项</w:t>
              <w:tab/>
              <w:t>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2020.12.31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2019.12.31</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增值税留抵税额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24,423,239.37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40,414,625.17</w:t>
            </w: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99,166.66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99,166.66</w:t>
            </w:r>
          </w:p>
        </w:tc>
      </w:tr>
      <w:tr>
        <w:trPr>
          <w:trHeight w:val="64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24,522,406.03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40,513,791.83</w:t>
            </w:r>
          </w:p>
        </w:tc>
      </w:tr>
    </w:tbl>
    <w:p>
      <w:pPr>
        <w:widowControl w:val="0"/>
        <w:spacing w:after="299" w:line="1" w:lineRule="exact"/>
      </w:pPr>
    </w:p>
    <w:p>
      <w:pPr>
        <w:pStyle w:val="Style52"/>
        <w:keepNext/>
        <w:keepLines/>
        <w:widowControl w:val="0"/>
        <w:shd w:val="clear" w:color="auto" w:fill="auto"/>
        <w:bidi w:val="0"/>
        <w:spacing w:before="0" w:after="400" w:line="240" w:lineRule="auto"/>
        <w:ind w:left="0" w:right="0" w:firstLine="180"/>
        <w:jc w:val="left"/>
        <w:rPr>
          <w:sz w:val="24"/>
          <w:szCs w:val="24"/>
        </w:rPr>
      </w:pPr>
      <w:bookmarkStart w:id="987" w:name="bookmark987"/>
      <w:bookmarkStart w:id="988" w:name="bookmark988"/>
      <w:bookmarkStart w:id="989" w:name="bookmark989"/>
      <w:bookmarkStart w:id="990" w:name="bookmark990"/>
      <w:r>
        <w:rPr>
          <w:rFonts w:ascii="Times New Roman" w:eastAsia="Times New Roman" w:hAnsi="Times New Roman" w:cs="Times New Roman"/>
          <w:b w:val="0"/>
          <w:bCs w:val="0"/>
          <w:color w:val="000000"/>
          <w:spacing w:val="0"/>
          <w:w w:val="100"/>
          <w:position w:val="0"/>
          <w:sz w:val="24"/>
          <w:szCs w:val="24"/>
        </w:rPr>
        <w:t>1</w:t>
      </w:r>
      <w:bookmarkEnd w:id="989"/>
      <w:r>
        <w:rPr>
          <w:rFonts w:ascii="Times New Roman" w:eastAsia="Times New Roman" w:hAnsi="Times New Roman" w:cs="Times New Roman"/>
          <w:b w:val="0"/>
          <w:bCs w:val="0"/>
          <w:color w:val="000000"/>
          <w:spacing w:val="0"/>
          <w:w w:val="100"/>
          <w:position w:val="0"/>
          <w:sz w:val="24"/>
          <w:szCs w:val="24"/>
        </w:rPr>
        <w:t>1</w:t>
      </w:r>
      <w:r>
        <w:rPr>
          <w:b w:val="0"/>
          <w:bCs w:val="0"/>
          <w:color w:val="000000"/>
          <w:spacing w:val="0"/>
          <w:w w:val="100"/>
          <w:position w:val="0"/>
          <w:sz w:val="24"/>
          <w:szCs w:val="24"/>
        </w:rPr>
        <w:t>、长期股权投资</w:t>
      </w:r>
      <w:bookmarkEnd w:id="987"/>
      <w:bookmarkEnd w:id="988"/>
      <w:bookmarkEnd w:id="990"/>
    </w:p>
    <w:p>
      <w:pPr>
        <w:pStyle w:val="Style52"/>
        <w:keepNext/>
        <w:keepLines/>
        <w:widowControl w:val="0"/>
        <w:shd w:val="clear" w:color="auto" w:fill="auto"/>
        <w:bidi w:val="0"/>
        <w:spacing w:before="0" w:after="140" w:line="240" w:lineRule="auto"/>
        <w:ind w:left="0" w:right="0" w:firstLine="780"/>
        <w:jc w:val="left"/>
      </w:pPr>
      <w:bookmarkStart w:id="987" w:name="bookmark987"/>
      <w:bookmarkStart w:id="988" w:name="bookmark988"/>
      <w:bookmarkStart w:id="991" w:name="bookmark991"/>
      <w:r>
        <w:rPr>
          <w:rFonts w:ascii="Times New Roman" w:eastAsia="Times New Roman" w:hAnsi="Times New Roman" w:cs="Times New Roman"/>
          <w:b w:val="0"/>
          <w:bCs w:val="0"/>
          <w:color w:val="000000"/>
          <w:spacing w:val="0"/>
          <w:w w:val="100"/>
          <w:position w:val="0"/>
        </w:rPr>
        <w:t>（</w:t>
      </w:r>
      <w:bookmarkEnd w:id="991"/>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）长期股权投资</w:t>
      </w:r>
      <w:bookmarkEnd w:id="987"/>
      <w:bookmarkEnd w:id="988"/>
    </w:p>
    <w:tbl>
      <w:tblPr>
        <w:tblOverlap w:val="never"/>
        <w:jc w:val="center"/>
        <w:tblLayout w:type="fixed"/>
      </w:tblPr>
      <w:tblGrid>
        <w:gridCol w:w="2141"/>
        <w:gridCol w:w="1560"/>
        <w:gridCol w:w="994"/>
        <w:gridCol w:w="1022"/>
        <w:gridCol w:w="1555"/>
        <w:gridCol w:w="1277"/>
        <w:gridCol w:w="883"/>
      </w:tblGrid>
      <w:tr>
        <w:trPr>
          <w:trHeight w:val="46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被投资单位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期初余额</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本期增减变动</w:t>
            </w:r>
          </w:p>
        </w:tc>
      </w:tr>
      <w:tr>
        <w:trPr>
          <w:trHeight w:val="8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追加投资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减少投资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60" w:line="240" w:lineRule="auto"/>
              <w:ind w:left="0" w:right="0" w:firstLine="0"/>
              <w:jc w:val="center"/>
              <w:rPr>
                <w:sz w:val="20"/>
                <w:szCs w:val="20"/>
              </w:rPr>
            </w:pPr>
            <w:r>
              <w:rPr>
                <w:b/>
                <w:bCs/>
                <w:color w:val="000000"/>
                <w:spacing w:val="0"/>
                <w:w w:val="100"/>
                <w:position w:val="0"/>
                <w:sz w:val="20"/>
                <w:szCs w:val="20"/>
              </w:rPr>
              <w:t>权益法下确认</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的投资损益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40" w:line="240" w:lineRule="auto"/>
              <w:ind w:left="0" w:right="0" w:firstLine="0"/>
              <w:jc w:val="center"/>
              <w:rPr>
                <w:sz w:val="20"/>
                <w:szCs w:val="20"/>
              </w:rPr>
            </w:pPr>
            <w:r>
              <w:rPr>
                <w:b/>
                <w:bCs/>
                <w:color w:val="000000"/>
                <w:spacing w:val="0"/>
                <w:w w:val="100"/>
                <w:position w:val="0"/>
                <w:sz w:val="20"/>
                <w:szCs w:val="20"/>
              </w:rPr>
              <w:t>其他综合收</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益调整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98" w:lineRule="exact"/>
              <w:ind w:left="0" w:right="0" w:firstLine="0"/>
              <w:jc w:val="center"/>
              <w:rPr>
                <w:sz w:val="20"/>
                <w:szCs w:val="20"/>
              </w:rPr>
            </w:pPr>
            <w:r>
              <w:rPr>
                <w:b/>
                <w:bCs/>
                <w:color w:val="000000"/>
                <w:spacing w:val="0"/>
                <w:w w:val="100"/>
                <w:position w:val="0"/>
                <w:sz w:val="20"/>
                <w:szCs w:val="20"/>
              </w:rPr>
              <w:t>其他权 益变动</w:t>
            </w:r>
          </w:p>
        </w:tc>
      </w:tr>
      <w:tr>
        <w:trPr>
          <w:trHeight w:val="45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398" w:lineRule="exact"/>
              <w:ind w:left="0" w:right="0" w:firstLine="0"/>
              <w:jc w:val="left"/>
              <w:rPr>
                <w:sz w:val="20"/>
                <w:szCs w:val="20"/>
              </w:rPr>
            </w:pPr>
            <w:r>
              <w:rPr>
                <w:color w:val="000000"/>
                <w:spacing w:val="0"/>
                <w:w w:val="100"/>
                <w:position w:val="0"/>
                <w:sz w:val="20"/>
                <w:szCs w:val="20"/>
              </w:rPr>
              <w:t>华夏芯（北京）通用 处理器技术有限公司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111,326,274.32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-9,994,213.49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635,315.95</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111,326,274.32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-9,994,213.49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635,315.95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44"/>
        <w:keepNext w:val="0"/>
        <w:keepLines w:val="0"/>
        <w:widowControl w:val="0"/>
        <w:shd w:val="clear" w:color="auto" w:fill="auto"/>
        <w:bidi w:val="0"/>
        <w:spacing w:before="0" w:after="140" w:line="240" w:lineRule="auto"/>
        <w:ind w:left="0" w:right="0" w:firstLine="780"/>
        <w:jc w:val="left"/>
      </w:pPr>
      <w:r>
        <w:rPr>
          <w:color w:val="000000"/>
          <w:spacing w:val="0"/>
          <w:w w:val="100"/>
          <w:position w:val="0"/>
        </w:rPr>
        <w:t>（续）</w:t>
      </w:r>
    </w:p>
    <w:tbl>
      <w:tblPr>
        <w:tblOverlap w:val="never"/>
        <w:jc w:val="center"/>
        <w:tblLayout w:type="fixed"/>
      </w:tblPr>
      <w:tblGrid>
        <w:gridCol w:w="2141"/>
        <w:gridCol w:w="1733"/>
        <w:gridCol w:w="1670"/>
        <w:gridCol w:w="1704"/>
        <w:gridCol w:w="878"/>
        <w:gridCol w:w="1306"/>
      </w:tblGrid>
      <w:tr>
        <w:trPr>
          <w:trHeight w:val="53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被投资单位</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本期增减变动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20"/>
                <w:szCs w:val="20"/>
              </w:rPr>
            </w:pPr>
            <w:r>
              <w:rPr>
                <w:b/>
                <w:bCs/>
                <w:color w:val="000000"/>
                <w:spacing w:val="0"/>
                <w:w w:val="100"/>
                <w:position w:val="0"/>
                <w:sz w:val="20"/>
                <w:szCs w:val="20"/>
              </w:rPr>
              <w:t>期末</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center"/>
              <w:rPr>
                <w:sz w:val="20"/>
                <w:szCs w:val="20"/>
              </w:rPr>
            </w:pPr>
            <w:r>
              <w:rPr>
                <w:b/>
                <w:bCs/>
                <w:color w:val="000000"/>
                <w:spacing w:val="0"/>
                <w:w w:val="100"/>
                <w:position w:val="0"/>
                <w:sz w:val="20"/>
                <w:szCs w:val="20"/>
              </w:rPr>
              <w:t>减值准备</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r>
      <w:tr>
        <w:trPr>
          <w:trHeight w:val="893"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98" w:lineRule="exact"/>
              <w:ind w:left="0" w:right="0" w:firstLine="0"/>
              <w:jc w:val="center"/>
              <w:rPr>
                <w:sz w:val="20"/>
                <w:szCs w:val="20"/>
              </w:rPr>
            </w:pPr>
            <w:r>
              <w:rPr>
                <w:b/>
                <w:bCs/>
                <w:color w:val="000000"/>
                <w:spacing w:val="0"/>
                <w:w w:val="100"/>
                <w:position w:val="0"/>
                <w:sz w:val="20"/>
                <w:szCs w:val="20"/>
              </w:rPr>
              <w:t>宣告发放现金股 利或利润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center"/>
              <w:rPr>
                <w:sz w:val="20"/>
                <w:szCs w:val="20"/>
              </w:rPr>
            </w:pPr>
            <w:r>
              <w:rPr>
                <w:b/>
                <w:bCs/>
                <w:color w:val="000000"/>
                <w:spacing w:val="0"/>
                <w:w w:val="100"/>
                <w:position w:val="0"/>
                <w:sz w:val="20"/>
                <w:szCs w:val="20"/>
              </w:rPr>
              <w:t>计提减值</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64"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384" w:lineRule="exact"/>
              <w:ind w:left="0" w:right="0" w:firstLine="0"/>
              <w:jc w:val="left"/>
              <w:rPr>
                <w:sz w:val="20"/>
                <w:szCs w:val="20"/>
              </w:rPr>
            </w:pPr>
            <w:r>
              <w:rPr>
                <w:color w:val="000000"/>
                <w:spacing w:val="0"/>
                <w:w w:val="100"/>
                <w:position w:val="0"/>
                <w:sz w:val="20"/>
                <w:szCs w:val="20"/>
              </w:rPr>
              <w:t>华夏芯（北京）通用 处理器技术有限公司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-101,967,376.78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119"/>
          <w:footerReference w:type="default" r:id="rId120"/>
          <w:headerReference w:type="even" r:id="rId121"/>
          <w:footerReference w:type="even" r:id="rId122"/>
          <w:footnotePr>
            <w:pos w:val="pageBottom"/>
            <w:numFmt w:val="decimal"/>
            <w:numRestart w:val="continuous"/>
          </w:footnotePr>
          <w:pgSz w:w="11900" w:h="16840"/>
          <w:pgMar w:top="1136" w:right="885" w:bottom="1275" w:left="801" w:header="0" w:footer="3" w:gutter="0"/>
          <w:cols w:space="720"/>
          <w:noEndnote/>
          <w:rtlGutter w:val="0"/>
          <w:docGrid w:linePitch="360"/>
        </w:sectPr>
      </w:pPr>
    </w:p>
    <w:p>
      <w:pPr>
        <w:pStyle w:val="Style128"/>
        <w:keepNext w:val="0"/>
        <w:keepLines w:val="0"/>
        <w:widowControl w:val="0"/>
        <w:shd w:val="clear" w:color="auto" w:fill="auto"/>
        <w:tabs>
          <w:tab w:pos="5646" w:val="left"/>
        </w:tabs>
        <w:bidi w:val="0"/>
        <w:spacing w:before="0" w:after="0" w:line="469" w:lineRule="exact"/>
        <w:ind w:left="180" w:right="0"/>
        <w:jc w:val="both"/>
      </w:pPr>
      <w:r>
        <w:rPr>
          <w:rFonts w:ascii="SimSun" w:eastAsia="SimSun" w:hAnsi="SimSun" w:cs="SimSun"/>
          <w:b/>
          <w:bCs/>
          <w:color w:val="000000"/>
          <w:spacing w:val="0"/>
          <w:w w:val="100"/>
          <w:position w:val="0"/>
          <w:sz w:val="20"/>
          <w:szCs w:val="20"/>
        </w:rPr>
        <w:t>合计</w:t>
        <w:tab/>
      </w:r>
      <w:r>
        <w:rPr>
          <w:b/>
          <w:bCs/>
          <w:color w:val="000000"/>
          <w:spacing w:val="0"/>
          <w:w w:val="100"/>
          <w:position w:val="0"/>
        </w:rPr>
        <w:t>-101,967,376.78</w:t>
      </w:r>
    </w:p>
    <w:p>
      <w:pPr>
        <w:pStyle w:val="Style44"/>
        <w:keepNext w:val="0"/>
        <w:keepLines w:val="0"/>
        <w:widowControl w:val="0"/>
        <w:shd w:val="clear" w:color="auto" w:fill="auto"/>
        <w:bidi w:val="0"/>
        <w:spacing w:before="0" w:after="400" w:line="469" w:lineRule="exact"/>
        <w:ind w:left="18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日，公司与华夏芯（北京）通用处理器技术有限公司（以下简称“华夏 芯”）实控人李科奕签署《补偿及股权转让协议》，约定以</w:t>
      </w:r>
      <w:r>
        <w:rPr>
          <w:rFonts w:ascii="Times New Roman" w:eastAsia="Times New Roman" w:hAnsi="Times New Roman" w:cs="Times New Roman"/>
          <w:color w:val="000000"/>
          <w:spacing w:val="0"/>
          <w:w w:val="100"/>
          <w:position w:val="0"/>
        </w:rPr>
        <w:t>16,921.37</w:t>
      </w:r>
      <w:r>
        <w:rPr>
          <w:color w:val="000000"/>
          <w:spacing w:val="0"/>
          <w:w w:val="100"/>
          <w:position w:val="0"/>
        </w:rPr>
        <w:t xml:space="preserve">万元的对价将持有的华夏芯 </w:t>
      </w:r>
      <w:r>
        <w:rPr>
          <w:rFonts w:ascii="Times New Roman" w:eastAsia="Times New Roman" w:hAnsi="Times New Roman" w:cs="Times New Roman"/>
          <w:color w:val="000000"/>
          <w:spacing w:val="0"/>
          <w:w w:val="100"/>
          <w:position w:val="0"/>
        </w:rPr>
        <w:t>21.374%</w:t>
      </w:r>
      <w:r>
        <w:rPr>
          <w:color w:val="000000"/>
          <w:spacing w:val="0"/>
          <w:w w:val="100"/>
          <w:position w:val="0"/>
        </w:rPr>
        <w:t>股权转让给李科奕。截至财务报表批准报出日，公司已收到全部股权转让款，预计在</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年完成股权交割手续，</w:t>
      </w:r>
      <w:r>
        <w:rPr>
          <w:rFonts w:ascii="Times New Roman" w:eastAsia="Times New Roman" w:hAnsi="Times New Roman" w:cs="Times New Roman"/>
          <w:color w:val="000000"/>
          <w:spacing w:val="0"/>
          <w:w w:val="100"/>
          <w:position w:val="0"/>
        </w:rPr>
        <w:t>2020</w:t>
      </w:r>
      <w:r>
        <w:rPr>
          <w:color w:val="000000"/>
          <w:spacing w:val="0"/>
          <w:w w:val="100"/>
          <w:position w:val="0"/>
        </w:rPr>
        <w:t>年公司将长期股权投资转为持有待售资产。</w:t>
      </w:r>
    </w:p>
    <w:p>
      <w:pPr>
        <w:pStyle w:val="Style38"/>
        <w:keepNext w:val="0"/>
        <w:keepLines w:val="0"/>
        <w:widowControl w:val="0"/>
        <w:shd w:val="clear" w:color="auto" w:fill="auto"/>
        <w:bidi w:val="0"/>
        <w:spacing w:before="0" w:after="0" w:line="240" w:lineRule="auto"/>
        <w:ind w:left="154" w:right="0" w:firstLine="0"/>
        <w:jc w:val="left"/>
        <w:rPr>
          <w:sz w:val="24"/>
          <w:szCs w:val="24"/>
        </w:rPr>
      </w:pPr>
      <w:bookmarkStart w:id="992" w:name="bookmark992"/>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、其他权益工具投资</w:t>
      </w:r>
      <w:bookmarkEnd w:id="992"/>
    </w:p>
    <w:tbl>
      <w:tblPr>
        <w:tblOverlap w:val="never"/>
        <w:jc w:val="center"/>
        <w:tblLayout w:type="fixed"/>
      </w:tblPr>
      <w:tblGrid>
        <w:gridCol w:w="1603"/>
        <w:gridCol w:w="1594"/>
        <w:gridCol w:w="1560"/>
        <w:gridCol w:w="1416"/>
        <w:gridCol w:w="850"/>
        <w:gridCol w:w="960"/>
        <w:gridCol w:w="1877"/>
      </w:tblGrid>
      <w:tr>
        <w:trPr>
          <w:trHeight w:val="37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成本</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b/>
                <w:bCs/>
                <w:color w:val="000000"/>
                <w:spacing w:val="0"/>
                <w:w w:val="100"/>
                <w:position w:val="0"/>
                <w:sz w:val="20"/>
                <w:szCs w:val="20"/>
              </w:rPr>
              <w:t>累计计入其他 综合收益的公 允价值变动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公允价值</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本期股利收入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指定为以公允价 值计量且其变动 计入其他综合收</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益的原因</w:t>
            </w:r>
          </w:p>
        </w:tc>
      </w:tr>
      <w:tr>
        <w:trPr>
          <w:trHeight w:val="1363"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center"/>
              <w:rPr>
                <w:sz w:val="20"/>
                <w:szCs w:val="20"/>
              </w:rPr>
            </w:pPr>
            <w:r>
              <w:rPr>
                <w:b/>
                <w:bCs/>
                <w:color w:val="000000"/>
                <w:spacing w:val="0"/>
                <w:w w:val="100"/>
                <w:position w:val="0"/>
                <w:sz w:val="20"/>
                <w:szCs w:val="20"/>
              </w:rPr>
              <w:t>本期终 止确认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b/>
                <w:bCs/>
                <w:color w:val="000000"/>
                <w:spacing w:val="0"/>
                <w:w w:val="100"/>
                <w:position w:val="0"/>
                <w:sz w:val="20"/>
                <w:szCs w:val="20"/>
              </w:rPr>
              <w:t>期末仍</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持有</w:t>
            </w:r>
          </w:p>
        </w:tc>
        <w:tc>
          <w:tcPr>
            <w:vMerge/>
            <w:tcBorders>
              <w:left w:val="single" w:sz="4"/>
            </w:tcBorders>
            <w:shd w:val="clear" w:color="auto" w:fill="FFFFFF"/>
            <w:vAlign w:val="center"/>
          </w:tcPr>
          <w:p>
            <w:pPr/>
          </w:p>
        </w:tc>
      </w:tr>
      <w:tr>
        <w:trPr>
          <w:trHeight w:val="67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both"/>
              <w:rPr>
                <w:sz w:val="20"/>
                <w:szCs w:val="20"/>
              </w:rPr>
            </w:pPr>
            <w:r>
              <w:rPr>
                <w:color w:val="000000"/>
                <w:spacing w:val="0"/>
                <w:w w:val="100"/>
                <w:position w:val="0"/>
                <w:sz w:val="20"/>
                <w:szCs w:val="20"/>
              </w:rPr>
              <w:t>绵阳市绵州通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3,117,917.73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429,288.15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3,547,205.88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战略性持有</w:t>
            </w:r>
          </w:p>
        </w:tc>
      </w:tr>
      <w:tr>
        <w:trPr>
          <w:trHeight w:val="129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310" w:lineRule="exact"/>
              <w:ind w:left="140" w:right="0" w:firstLine="0"/>
              <w:jc w:val="both"/>
              <w:rPr>
                <w:sz w:val="20"/>
                <w:szCs w:val="20"/>
              </w:rPr>
            </w:pPr>
            <w:r>
              <w:rPr>
                <w:color w:val="000000"/>
                <w:spacing w:val="0"/>
                <w:w w:val="100"/>
                <w:position w:val="0"/>
                <w:sz w:val="20"/>
                <w:szCs w:val="20"/>
              </w:rPr>
              <w:t>南京瀚谟新能 源产业投资合 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战略性持有</w:t>
            </w:r>
          </w:p>
        </w:tc>
      </w:tr>
      <w:tr>
        <w:trPr>
          <w:trHeight w:val="98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4" w:lineRule="exact"/>
              <w:ind w:left="140" w:right="0" w:firstLine="0"/>
              <w:jc w:val="both"/>
              <w:rPr>
                <w:sz w:val="20"/>
                <w:szCs w:val="20"/>
              </w:rPr>
            </w:pPr>
            <w:r>
              <w:rPr>
                <w:color w:val="000000"/>
                <w:spacing w:val="0"/>
                <w:w w:val="100"/>
                <w:position w:val="0"/>
                <w:sz w:val="20"/>
                <w:szCs w:val="20"/>
              </w:rPr>
              <w:t>东莞市沃泰通 新能源有限公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65,855,140.00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65,855,140.00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战略性持有</w:t>
            </w:r>
          </w:p>
        </w:tc>
      </w:tr>
      <w:tr>
        <w:trPr>
          <w:trHeight w:val="129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0" w:lineRule="exact"/>
              <w:ind w:left="140" w:right="0" w:firstLine="0"/>
              <w:jc w:val="both"/>
              <w:rPr>
                <w:sz w:val="20"/>
                <w:szCs w:val="20"/>
              </w:rPr>
            </w:pPr>
            <w:r>
              <w:rPr>
                <w:color w:val="000000"/>
                <w:spacing w:val="0"/>
                <w:w w:val="100"/>
                <w:position w:val="0"/>
                <w:sz w:val="20"/>
                <w:szCs w:val="20"/>
              </w:rPr>
              <w:t>深圳国泰旗兴 产业投资基金 管理中心（有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战略性持有</w:t>
            </w:r>
          </w:p>
        </w:tc>
      </w:tr>
      <w:tr>
        <w:trPr>
          <w:trHeight w:val="44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83,973,057.73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-4,570,711.85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69,402,345.88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w:t>
            </w:r>
          </w:p>
        </w:tc>
      </w:tr>
    </w:tbl>
    <w:p>
      <w:pPr>
        <w:pStyle w:val="Style44"/>
        <w:keepNext w:val="0"/>
        <w:keepLines w:val="0"/>
        <w:widowControl w:val="0"/>
        <w:shd w:val="clear" w:color="auto" w:fill="auto"/>
        <w:bidi w:val="0"/>
        <w:spacing w:before="0" w:after="200" w:line="485" w:lineRule="exact"/>
        <w:ind w:left="18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日，本公司处置成都国民天成半导体产业发展有限公司股权投资，在持 有期间无公允价值变动，无累计利得和损失从其他综合收益转入留存收益。</w:t>
      </w:r>
    </w:p>
    <w:p>
      <w:pPr>
        <w:pStyle w:val="Style52"/>
        <w:keepNext/>
        <w:keepLines/>
        <w:widowControl w:val="0"/>
        <w:shd w:val="clear" w:color="auto" w:fill="auto"/>
        <w:bidi w:val="0"/>
        <w:spacing w:before="0" w:after="400" w:line="485" w:lineRule="exact"/>
        <w:ind w:left="0" w:right="0" w:firstLine="180"/>
        <w:jc w:val="both"/>
        <w:rPr>
          <w:sz w:val="24"/>
          <w:szCs w:val="24"/>
        </w:rPr>
      </w:pPr>
      <w:bookmarkStart w:id="993" w:name="bookmark993"/>
      <w:bookmarkStart w:id="994" w:name="bookmark994"/>
      <w:bookmarkStart w:id="995" w:name="bookmark995"/>
      <w:bookmarkStart w:id="996" w:name="bookmark996"/>
      <w:r>
        <w:rPr>
          <w:rFonts w:ascii="Times New Roman" w:eastAsia="Times New Roman" w:hAnsi="Times New Roman" w:cs="Times New Roman"/>
          <w:b w:val="0"/>
          <w:bCs w:val="0"/>
          <w:color w:val="000000"/>
          <w:spacing w:val="0"/>
          <w:w w:val="100"/>
          <w:position w:val="0"/>
          <w:sz w:val="24"/>
          <w:szCs w:val="24"/>
        </w:rPr>
        <w:t>1</w:t>
      </w:r>
      <w:bookmarkEnd w:id="995"/>
      <w:r>
        <w:rPr>
          <w:rFonts w:ascii="Times New Roman" w:eastAsia="Times New Roman" w:hAnsi="Times New Roman" w:cs="Times New Roman"/>
          <w:b w:val="0"/>
          <w:bCs w:val="0"/>
          <w:color w:val="000000"/>
          <w:spacing w:val="0"/>
          <w:w w:val="100"/>
          <w:position w:val="0"/>
          <w:sz w:val="24"/>
          <w:szCs w:val="24"/>
        </w:rPr>
        <w:t>3</w:t>
      </w:r>
      <w:r>
        <w:rPr>
          <w:b w:val="0"/>
          <w:bCs w:val="0"/>
          <w:color w:val="000000"/>
          <w:spacing w:val="0"/>
          <w:w w:val="100"/>
          <w:position w:val="0"/>
          <w:sz w:val="24"/>
          <w:szCs w:val="24"/>
        </w:rPr>
        <w:t>、投资性房地产</w:t>
      </w:r>
      <w:bookmarkEnd w:id="993"/>
      <w:bookmarkEnd w:id="994"/>
      <w:bookmarkEnd w:id="996"/>
    </w:p>
    <w:p>
      <w:pPr>
        <w:pStyle w:val="Style38"/>
        <w:keepNext w:val="0"/>
        <w:keepLines w:val="0"/>
        <w:widowControl w:val="0"/>
        <w:shd w:val="clear" w:color="auto" w:fill="auto"/>
        <w:bidi w:val="0"/>
        <w:spacing w:before="0" w:after="0" w:line="240" w:lineRule="auto"/>
        <w:ind w:left="754"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）投资性房地产情况</w:t>
      </w:r>
    </w:p>
    <w:tbl>
      <w:tblPr>
        <w:tblOverlap w:val="never"/>
        <w:jc w:val="left"/>
        <w:tblLayout w:type="fixed"/>
      </w:tblPr>
      <w:tblGrid>
        <w:gridCol w:w="4157"/>
        <w:gridCol w:w="2554"/>
        <w:gridCol w:w="2467"/>
      </w:tblGrid>
      <w:tr>
        <w:trPr>
          <w:trHeight w:val="50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房屋及建筑物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20"/>
                <w:szCs w:val="20"/>
              </w:rPr>
            </w:pPr>
            <w:r>
              <w:rPr>
                <w:b/>
                <w:bCs/>
                <w:color w:val="000000"/>
                <w:spacing w:val="0"/>
                <w:w w:val="100"/>
                <w:position w:val="0"/>
                <w:sz w:val="20"/>
                <w:szCs w:val="20"/>
              </w:rPr>
              <w:t>合计</w:t>
            </w: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一、年初余额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381,651,652.00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381,651,652.00</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其中：成本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188,905,299.75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188,905,299.75</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公允价值变动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192,746,352.25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192,746,352.25</w:t>
            </w:r>
          </w:p>
        </w:tc>
      </w:tr>
    </w:tbl>
    <w:p>
      <w:pPr>
        <w:widowControl w:val="0"/>
        <w:spacing w:line="1" w:lineRule="exact"/>
      </w:pPr>
      <w:r>
        <w:br w:type="page"/>
      </w:r>
    </w:p>
    <w:p>
      <w:pPr>
        <w:pStyle w:val="Style38"/>
        <w:keepNext w:val="0"/>
        <w:keepLines w:val="0"/>
        <w:widowControl w:val="0"/>
        <w:shd w:val="clear" w:color="auto" w:fill="auto"/>
        <w:tabs>
          <w:tab w:pos="2635" w:val="left"/>
          <w:tab w:pos="5736" w:val="left"/>
        </w:tabs>
        <w:bidi w:val="0"/>
        <w:spacing w:before="0" w:after="0" w:line="240" w:lineRule="auto"/>
        <w:ind w:left="0" w:right="0" w:firstLine="0"/>
        <w:jc w:val="center"/>
        <w:rPr>
          <w:sz w:val="20"/>
          <w:szCs w:val="20"/>
        </w:rPr>
      </w:pPr>
      <w:r>
        <w:rPr>
          <w:b/>
          <w:bCs/>
          <w:color w:val="000000"/>
          <w:spacing w:val="0"/>
          <w:w w:val="100"/>
          <w:position w:val="0"/>
          <w:sz w:val="20"/>
          <w:szCs w:val="20"/>
        </w:rPr>
        <w:t>项目</w:t>
        <w:tab/>
        <w:t>房屋及建筑物</w:t>
        <w:tab/>
        <w:t>合计</w:t>
      </w:r>
    </w:p>
    <w:tbl>
      <w:tblPr>
        <w:tblOverlap w:val="never"/>
        <w:jc w:val="center"/>
        <w:tblLayout w:type="fixed"/>
      </w:tblPr>
      <w:tblGrid>
        <w:gridCol w:w="4157"/>
        <w:gridCol w:w="2554"/>
        <w:gridCol w:w="2467"/>
      </w:tblGrid>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二、本年变动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-2,632,342.00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-2,632,342.00</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-2,632,342.00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-2,632,342.00</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三、年末余额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379,019,310.00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379,019,310.00</w:t>
            </w: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其中：成本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188,905,299.75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188,905,299.75</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公允价值变动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190,114,010.25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190,114,010.25</w:t>
            </w:r>
          </w:p>
        </w:tc>
      </w:tr>
    </w:tbl>
    <w:p>
      <w:pPr>
        <w:widowControl w:val="0"/>
        <w:spacing w:after="119" w:line="1" w:lineRule="exact"/>
      </w:pPr>
    </w:p>
    <w:p>
      <w:pPr>
        <w:pStyle w:val="Style44"/>
        <w:keepNext w:val="0"/>
        <w:keepLines w:val="0"/>
        <w:widowControl w:val="0"/>
        <w:pBdr>
          <w:bottom w:val="single" w:sz="4" w:space="0" w:color="auto"/>
        </w:pBdr>
        <w:shd w:val="clear" w:color="auto" w:fill="auto"/>
        <w:bidi w:val="0"/>
        <w:spacing w:before="0" w:after="220" w:line="240" w:lineRule="auto"/>
        <w:ind w:left="0" w:right="0" w:firstLine="780"/>
        <w:jc w:val="left"/>
      </w:pPr>
      <w:r>
        <mc:AlternateContent>
          <mc:Choice Requires="wps">
            <w:drawing>
              <wp:anchor distT="0" distB="0" distL="0" distR="0" simplePos="0" relativeHeight="125829414" behindDoc="0" locked="0" layoutInCell="1" allowOverlap="1">
                <wp:simplePos x="0" y="0"/>
                <wp:positionH relativeFrom="page">
                  <wp:posOffset>6363970</wp:posOffset>
                </wp:positionH>
                <wp:positionV relativeFrom="paragraph">
                  <wp:posOffset>292100</wp:posOffset>
                </wp:positionV>
                <wp:extent cx="295910" cy="804545"/>
                <wp:wrapSquare wrapText="bothSides"/>
                <wp:docPr id="312" name="Shape 312"/>
                <a:graphic xmlns:a="http://schemas.openxmlformats.org/drawingml/2006/main">
                  <a:graphicData uri="http://schemas.microsoft.com/office/word/2010/wordprocessingShape">
                    <wps:wsp>
                      <wps:cNvSpPr txBox="1"/>
                      <wps:spPr>
                        <a:xfrm>
                          <a:ext cx="295910" cy="804545"/>
                        </a:xfrm>
                        <a:prstGeom prst="rect"/>
                        <a:noFill/>
                      </wps:spPr>
                      <wps:txbx>
                        <w:txbxContent>
                          <w:p>
                            <w:pPr>
                              <w:pStyle w:val="Style44"/>
                              <w:keepNext w:val="0"/>
                              <w:keepLines w:val="0"/>
                              <w:widowControl w:val="0"/>
                              <w:shd w:val="clear" w:color="auto" w:fill="auto"/>
                              <w:bidi w:val="0"/>
                              <w:spacing w:before="0" w:after="0" w:line="312" w:lineRule="exact"/>
                              <w:ind w:left="0" w:right="0" w:firstLine="0"/>
                              <w:jc w:val="both"/>
                              <w:rPr>
                                <w:sz w:val="20"/>
                                <w:szCs w:val="20"/>
                              </w:rPr>
                            </w:pPr>
                            <w:r>
                              <w:rPr>
                                <w:b/>
                                <w:bCs/>
                                <w:color w:val="000000"/>
                                <w:spacing w:val="0"/>
                                <w:w w:val="100"/>
                                <w:position w:val="0"/>
                                <w:sz w:val="20"/>
                                <w:szCs w:val="20"/>
                              </w:rPr>
                              <w:t>公允 价值 变动 原因</w:t>
                            </w:r>
                          </w:p>
                        </w:txbxContent>
                      </wps:txbx>
                      <wps:bodyPr lIns="0" tIns="0" rIns="0" bIns="0">
                        <a:noAutoFit/>
                      </wps:bodyPr>
                    </wps:wsp>
                  </a:graphicData>
                </a:graphic>
              </wp:anchor>
            </w:drawing>
          </mc:Choice>
          <mc:Fallback>
            <w:pict>
              <v:shape id="_x0000_s1338" type="#_x0000_t202" style="position:absolute;margin-left:501.10000000000002pt;margin-top:23.pt;width:23.300000000000001pt;height:63.350000000000001pt;z-index:-125829339;mso-wrap-distance-left:0;mso-wrap-distance-right:0;mso-position-horizontal-relative:page" filled="f" stroked="f">
                <v:textbox inset="0,0,0,0">
                  <w:txbxContent>
                    <w:p>
                      <w:pPr>
                        <w:pStyle w:val="Style44"/>
                        <w:keepNext w:val="0"/>
                        <w:keepLines w:val="0"/>
                        <w:widowControl w:val="0"/>
                        <w:shd w:val="clear" w:color="auto" w:fill="auto"/>
                        <w:bidi w:val="0"/>
                        <w:spacing w:before="0" w:after="0" w:line="312" w:lineRule="exact"/>
                        <w:ind w:left="0" w:right="0" w:firstLine="0"/>
                        <w:jc w:val="both"/>
                        <w:rPr>
                          <w:sz w:val="20"/>
                          <w:szCs w:val="20"/>
                        </w:rPr>
                      </w:pPr>
                      <w:r>
                        <w:rPr>
                          <w:b/>
                          <w:bCs/>
                          <w:color w:val="000000"/>
                          <w:spacing w:val="0"/>
                          <w:w w:val="100"/>
                          <w:position w:val="0"/>
                          <w:sz w:val="20"/>
                          <w:szCs w:val="20"/>
                        </w:rPr>
                        <w:t>公允 价值 变动 原因</w:t>
                      </w:r>
                    </w:p>
                  </w:txbxContent>
                </v:textbox>
                <w10:wrap type="square" anchorx="page"/>
              </v:shape>
            </w:pict>
          </mc:Fallback>
        </mc:AlternateContent>
      </w:r>
      <w:bookmarkStart w:id="997" w:name="bookmark997"/>
      <w:r>
        <w:rPr>
          <w:color w:val="000000"/>
          <w:spacing w:val="0"/>
          <w:w w:val="100"/>
          <w:position w:val="0"/>
        </w:rPr>
        <w:t>（</w:t>
      </w:r>
      <w:bookmarkEnd w:id="997"/>
      <w:r>
        <w:rPr>
          <w:rFonts w:ascii="Times New Roman" w:eastAsia="Times New Roman" w:hAnsi="Times New Roman" w:cs="Times New Roman"/>
          <w:color w:val="000000"/>
          <w:spacing w:val="0"/>
          <w:w w:val="100"/>
          <w:position w:val="0"/>
        </w:rPr>
        <w:t>2</w:t>
      </w:r>
      <w:r>
        <w:rPr>
          <w:color w:val="000000"/>
          <w:spacing w:val="0"/>
          <w:w w:val="100"/>
          <w:position w:val="0"/>
        </w:rPr>
        <w:t>）投资性房地产主要项目情况</w:t>
      </w:r>
    </w:p>
    <w:p>
      <w:pPr>
        <w:pStyle w:val="Style44"/>
        <w:keepNext w:val="0"/>
        <w:keepLines w:val="0"/>
        <w:widowControl w:val="0"/>
        <w:shd w:val="clear" w:color="auto" w:fill="auto"/>
        <w:bidi w:val="0"/>
        <w:spacing w:before="0" w:after="120" w:line="264" w:lineRule="exact"/>
        <w:ind w:left="0" w:right="240" w:firstLine="0"/>
        <w:jc w:val="right"/>
        <w:rPr>
          <w:sz w:val="20"/>
          <w:szCs w:val="20"/>
        </w:rPr>
      </w:pPr>
      <w:r>
        <mc:AlternateContent>
          <mc:Choice Requires="wps">
            <w:drawing>
              <wp:anchor distT="0" distB="0" distL="114300" distR="732790" simplePos="0" relativeHeight="125829416" behindDoc="0" locked="0" layoutInCell="1" allowOverlap="1">
                <wp:simplePos x="0" y="0"/>
                <wp:positionH relativeFrom="page">
                  <wp:posOffset>835025</wp:posOffset>
                </wp:positionH>
                <wp:positionV relativeFrom="paragraph">
                  <wp:posOffset>203200</wp:posOffset>
                </wp:positionV>
                <wp:extent cx="292735" cy="396240"/>
                <wp:wrapSquare wrapText="right"/>
                <wp:docPr id="314" name="Shape 314"/>
                <a:graphic xmlns:a="http://schemas.openxmlformats.org/drawingml/2006/main">
                  <a:graphicData uri="http://schemas.microsoft.com/office/word/2010/wordprocessingShape">
                    <wps:wsp>
                      <wps:cNvSpPr txBox="1"/>
                      <wps:spPr>
                        <a:xfrm>
                          <a:ext cx="292735" cy="396240"/>
                        </a:xfrm>
                        <a:prstGeom prst="rect"/>
                        <a:noFill/>
                      </wps:spPr>
                      <wps:txbx>
                        <w:txbxContent>
                          <w:p>
                            <w:pPr>
                              <w:pStyle w:val="Style44"/>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rPr>
                              <w:t>项目</w:t>
                            </w:r>
                          </w:p>
                          <w:p>
                            <w:pPr>
                              <w:pStyle w:val="Style4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名称</w:t>
                            </w:r>
                          </w:p>
                        </w:txbxContent>
                      </wps:txbx>
                      <wps:bodyPr lIns="0" tIns="0" rIns="0" bIns="0">
                        <a:noAutoFit/>
                      </wps:bodyPr>
                    </wps:wsp>
                  </a:graphicData>
                </a:graphic>
              </wp:anchor>
            </w:drawing>
          </mc:Choice>
          <mc:Fallback>
            <w:pict>
              <v:shape id="_x0000_s1340" type="#_x0000_t202" style="position:absolute;margin-left:65.75pt;margin-top:16.pt;width:23.050000000000001pt;height:31.199999999999999pt;z-index:-125829337;mso-wrap-distance-left:9.pt;mso-wrap-distance-right:57.700000000000003pt;mso-position-horizontal-relative:page" filled="f" stroked="f">
                <v:textbox inset="0,0,0,0">
                  <w:txbxContent>
                    <w:p>
                      <w:pPr>
                        <w:pStyle w:val="Style44"/>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rPr>
                        <w:t>项目</w:t>
                      </w:r>
                    </w:p>
                    <w:p>
                      <w:pPr>
                        <w:pStyle w:val="Style4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名称</w:t>
                      </w:r>
                    </w:p>
                  </w:txbxContent>
                </v:textbox>
                <w10:wrap type="square" side="right" anchorx="page"/>
              </v:shape>
            </w:pict>
          </mc:Fallback>
        </mc:AlternateContent>
      </w:r>
      <w:r>
        <mc:AlternateContent>
          <mc:Choice Requires="wps">
            <w:drawing>
              <wp:anchor distT="0" distB="3175" distL="727075" distR="114300" simplePos="0" relativeHeight="125829418" behindDoc="0" locked="0" layoutInCell="1" allowOverlap="1">
                <wp:simplePos x="0" y="0"/>
                <wp:positionH relativeFrom="page">
                  <wp:posOffset>1447800</wp:posOffset>
                </wp:positionH>
                <wp:positionV relativeFrom="paragraph">
                  <wp:posOffset>203200</wp:posOffset>
                </wp:positionV>
                <wp:extent cx="298450" cy="393065"/>
                <wp:wrapSquare wrapText="right"/>
                <wp:docPr id="316" name="Shape 316"/>
                <a:graphic xmlns:a="http://schemas.openxmlformats.org/drawingml/2006/main">
                  <a:graphicData uri="http://schemas.microsoft.com/office/word/2010/wordprocessingShape">
                    <wps:wsp>
                      <wps:cNvSpPr txBox="1"/>
                      <wps:spPr>
                        <a:xfrm>
                          <a:ext cx="298450" cy="393065"/>
                        </a:xfrm>
                        <a:prstGeom prst="rect"/>
                        <a:noFill/>
                      </wps:spPr>
                      <wps:txbx>
                        <w:txbxContent>
                          <w:p>
                            <w:pPr>
                              <w:pStyle w:val="Style44"/>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rPr>
                              <w:t>地理</w:t>
                            </w:r>
                          </w:p>
                          <w:p>
                            <w:pPr>
                              <w:pStyle w:val="Style4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位置</w:t>
                            </w:r>
                          </w:p>
                        </w:txbxContent>
                      </wps:txbx>
                      <wps:bodyPr lIns="0" tIns="0" rIns="0" bIns="0">
                        <a:noAutoFit/>
                      </wps:bodyPr>
                    </wps:wsp>
                  </a:graphicData>
                </a:graphic>
              </wp:anchor>
            </w:drawing>
          </mc:Choice>
          <mc:Fallback>
            <w:pict>
              <v:shape id="_x0000_s1342" type="#_x0000_t202" style="position:absolute;margin-left:114.pt;margin-top:16.pt;width:23.5pt;height:30.949999999999999pt;z-index:-125829335;mso-wrap-distance-left:57.25pt;mso-wrap-distance-right:9.pt;mso-wrap-distance-bottom:0.25pt;mso-position-horizontal-relative:page" filled="f" stroked="f">
                <v:textbox inset="0,0,0,0">
                  <w:txbxContent>
                    <w:p>
                      <w:pPr>
                        <w:pStyle w:val="Style44"/>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rPr>
                        <w:t>地理</w:t>
                      </w:r>
                    </w:p>
                    <w:p>
                      <w:pPr>
                        <w:pStyle w:val="Style4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位置</w:t>
                      </w:r>
                    </w:p>
                  </w:txbxContent>
                </v:textbox>
                <w10:wrap type="square" side="right" anchorx="page"/>
              </v:shape>
            </w:pict>
          </mc:Fallback>
        </mc:AlternateContent>
      </w:r>
      <w:r>
        <w:rPr>
          <w:b/>
          <w:bCs/>
          <w:color w:val="000000"/>
          <w:spacing w:val="0"/>
          <w:w w:val="100"/>
          <w:position w:val="0"/>
          <w:sz w:val="20"/>
          <w:szCs w:val="20"/>
        </w:rPr>
        <w:t>公允价 建筑面积报告期租金收期末公允价值期初公允价值值变动 （平方米） 入 期末公允价值 期初公允价值 幅度</w:t>
      </w:r>
    </w:p>
    <w:tbl>
      <w:tblPr>
        <w:tblOverlap w:val="never"/>
        <w:jc w:val="left"/>
        <w:tblLayout w:type="fixed"/>
      </w:tblPr>
      <w:tblGrid>
        <w:gridCol w:w="1051"/>
        <w:gridCol w:w="926"/>
        <w:gridCol w:w="1186"/>
        <w:gridCol w:w="1526"/>
        <w:gridCol w:w="1594"/>
        <w:gridCol w:w="1685"/>
        <w:gridCol w:w="878"/>
        <w:gridCol w:w="754"/>
      </w:tblGrid>
      <w:tr>
        <w:trPr>
          <w:trHeight w:val="1925" w:hRule="exact"/>
        </w:trPr>
        <w:tc>
          <w:tcPr>
            <w:tcBorders>
              <w:top w:val="single" w:sz="4"/>
            </w:tcBorders>
            <w:shd w:val="clear" w:color="auto" w:fill="FFFFFF"/>
            <w:vAlign w:val="top"/>
          </w:tcPr>
          <w:p>
            <w:pPr>
              <w:pStyle w:val="Style2"/>
              <w:keepNext w:val="0"/>
              <w:keepLines w:val="0"/>
              <w:framePr w:w="9600" w:h="4229" w:vSpace="240" w:wrap="notBeside" w:vAnchor="text" w:hAnchor="text" w:x="308" w:y="241"/>
              <w:widowControl w:val="0"/>
              <w:shd w:val="clear" w:color="auto" w:fill="auto"/>
              <w:bidi w:val="0"/>
              <w:spacing w:before="100" w:after="80" w:line="240" w:lineRule="auto"/>
              <w:ind w:left="0" w:right="0" w:firstLine="140"/>
              <w:jc w:val="left"/>
              <w:rPr>
                <w:sz w:val="20"/>
                <w:szCs w:val="20"/>
              </w:rPr>
            </w:pPr>
            <w:r>
              <w:rPr>
                <w:color w:val="000000"/>
                <w:spacing w:val="0"/>
                <w:w w:val="100"/>
                <w:position w:val="0"/>
                <w:sz w:val="20"/>
                <w:szCs w:val="20"/>
              </w:rPr>
              <w:t>深圳软</w:t>
            </w:r>
          </w:p>
          <w:p>
            <w:pPr>
              <w:pStyle w:val="Style2"/>
              <w:keepNext w:val="0"/>
              <w:keepLines w:val="0"/>
              <w:framePr w:w="9600" w:h="4229" w:vSpace="240" w:wrap="notBeside" w:vAnchor="text" w:hAnchor="text" w:x="308" w:y="241"/>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件园</w:t>
            </w:r>
            <w:r>
              <w:rPr>
                <w:rFonts w:ascii="Times New Roman" w:eastAsia="Times New Roman" w:hAnsi="Times New Roman" w:cs="Times New Roman"/>
                <w:color w:val="000000"/>
                <w:spacing w:val="0"/>
                <w:w w:val="100"/>
                <w:position w:val="0"/>
                <w:sz w:val="20"/>
                <w:szCs w:val="20"/>
              </w:rPr>
              <w:t>3</w:t>
            </w:r>
          </w:p>
          <w:p>
            <w:pPr>
              <w:pStyle w:val="Style2"/>
              <w:keepNext w:val="0"/>
              <w:keepLines w:val="0"/>
              <w:framePr w:w="9600" w:h="4229" w:vSpace="240" w:wrap="notBeside" w:vAnchor="text" w:hAnchor="text" w:x="308" w:y="241"/>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 xml:space="preserve">栋 </w:t>
            </w:r>
            <w:r>
              <w:rPr>
                <w:rFonts w:ascii="Times New Roman" w:eastAsia="Times New Roman" w:hAnsi="Times New Roman" w:cs="Times New Roman"/>
                <w:color w:val="000000"/>
                <w:spacing w:val="0"/>
                <w:w w:val="100"/>
                <w:position w:val="0"/>
                <w:sz w:val="20"/>
                <w:szCs w:val="20"/>
              </w:rPr>
              <w:t>301</w:t>
            </w:r>
            <w:r>
              <w:rPr>
                <w:color w:val="000000"/>
                <w:spacing w:val="0"/>
                <w:w w:val="100"/>
                <w:position w:val="0"/>
                <w:sz w:val="20"/>
                <w:szCs w:val="20"/>
              </w:rPr>
              <w:t>、</w:t>
            </w:r>
          </w:p>
          <w:p>
            <w:pPr>
              <w:pStyle w:val="Style2"/>
              <w:keepNext w:val="0"/>
              <w:keepLines w:val="0"/>
              <w:framePr w:w="9600" w:h="4229" w:vSpace="240" w:wrap="notBeside" w:vAnchor="text" w:hAnchor="text" w:x="308" w:y="241"/>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302</w:t>
            </w:r>
          </w:p>
        </w:tc>
        <w:tc>
          <w:tcPr>
            <w:tcBorders>
              <w:top w:val="single" w:sz="4"/>
              <w:left w:val="single" w:sz="4"/>
            </w:tcBorders>
            <w:shd w:val="clear" w:color="auto" w:fill="FFFFFF"/>
            <w:vAlign w:val="center"/>
          </w:tcPr>
          <w:p>
            <w:pPr>
              <w:pStyle w:val="Style2"/>
              <w:keepNext w:val="0"/>
              <w:keepLines w:val="0"/>
              <w:framePr w:w="9600" w:h="4229" w:vSpace="240" w:wrap="notBeside" w:vAnchor="text" w:hAnchor="text" w:x="308" w:y="241"/>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深圳市 南山 区高新 科技产 业园 区</w:t>
            </w:r>
          </w:p>
        </w:tc>
        <w:tc>
          <w:tcPr>
            <w:tcBorders>
              <w:top w:val="single" w:sz="4"/>
              <w:left w:val="single" w:sz="4"/>
            </w:tcBorders>
            <w:shd w:val="clear" w:color="auto" w:fill="FFFFFF"/>
            <w:vAlign w:val="center"/>
          </w:tcPr>
          <w:p>
            <w:pPr>
              <w:pStyle w:val="Style2"/>
              <w:keepNext w:val="0"/>
              <w:keepLines w:val="0"/>
              <w:framePr w:w="9600" w:h="4229" w:vSpace="240" w:wrap="notBeside" w:vAnchor="text" w:hAnchor="text" w:x="308" w:y="241"/>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1,584.55</w:t>
            </w:r>
          </w:p>
        </w:tc>
        <w:tc>
          <w:tcPr>
            <w:tcBorders>
              <w:top w:val="single" w:sz="4"/>
              <w:left w:val="single" w:sz="4"/>
            </w:tcBorders>
            <w:shd w:val="clear" w:color="auto" w:fill="FFFFFF"/>
            <w:vAlign w:val="center"/>
          </w:tcPr>
          <w:p>
            <w:pPr>
              <w:pStyle w:val="Style2"/>
              <w:keepNext w:val="0"/>
              <w:keepLines w:val="0"/>
              <w:framePr w:w="9600" w:h="4229" w:vSpace="240" w:wrap="notBeside" w:vAnchor="text" w:hAnchor="text" w:x="308" w:y="241"/>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1,814,869.12</w:t>
            </w:r>
          </w:p>
        </w:tc>
        <w:tc>
          <w:tcPr>
            <w:tcBorders>
              <w:top w:val="single" w:sz="4"/>
              <w:left w:val="single" w:sz="4"/>
            </w:tcBorders>
            <w:shd w:val="clear" w:color="auto" w:fill="FFFFFF"/>
            <w:vAlign w:val="center"/>
          </w:tcPr>
          <w:p>
            <w:pPr>
              <w:pStyle w:val="Style2"/>
              <w:keepNext w:val="0"/>
              <w:keepLines w:val="0"/>
              <w:framePr w:w="9600" w:h="4229" w:vSpace="240" w:wrap="notBeside" w:vAnchor="text" w:hAnchor="text" w:x="308" w:y="24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40,406,025.00</w:t>
            </w:r>
          </w:p>
        </w:tc>
        <w:tc>
          <w:tcPr>
            <w:tcBorders>
              <w:top w:val="single" w:sz="4"/>
              <w:left w:val="single" w:sz="4"/>
            </w:tcBorders>
            <w:shd w:val="clear" w:color="auto" w:fill="FFFFFF"/>
            <w:vAlign w:val="center"/>
          </w:tcPr>
          <w:p>
            <w:pPr>
              <w:pStyle w:val="Style2"/>
              <w:keepNext w:val="0"/>
              <w:keepLines w:val="0"/>
              <w:framePr w:w="9600" w:h="4229" w:vSpace="240" w:wrap="notBeside" w:vAnchor="text" w:hAnchor="text" w:x="308" w:y="24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41,039,845.00</w:t>
            </w:r>
          </w:p>
        </w:tc>
        <w:tc>
          <w:tcPr>
            <w:tcBorders>
              <w:top w:val="single" w:sz="4"/>
              <w:left w:val="single" w:sz="4"/>
            </w:tcBorders>
            <w:shd w:val="clear" w:color="auto" w:fill="FFFFFF"/>
            <w:vAlign w:val="center"/>
          </w:tcPr>
          <w:p>
            <w:pPr>
              <w:pStyle w:val="Style2"/>
              <w:keepNext w:val="0"/>
              <w:keepLines w:val="0"/>
              <w:framePr w:w="9600" w:h="4229" w:vSpace="240" w:wrap="notBeside" w:vAnchor="text" w:hAnchor="text" w:x="308" w:y="241"/>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-1.54</w:t>
            </w:r>
          </w:p>
        </w:tc>
        <w:tc>
          <w:tcPr>
            <w:tcBorders>
              <w:top w:val="single" w:sz="4"/>
              <w:left w:val="single" w:sz="4"/>
            </w:tcBorders>
            <w:shd w:val="clear" w:color="auto" w:fill="FFFFFF"/>
            <w:vAlign w:val="center"/>
          </w:tcPr>
          <w:p>
            <w:pPr>
              <w:pStyle w:val="Style2"/>
              <w:keepNext w:val="0"/>
              <w:keepLines w:val="0"/>
              <w:framePr w:w="9600" w:h="4229" w:vSpace="240" w:wrap="notBeside" w:vAnchor="text" w:hAnchor="text" w:x="308" w:y="241"/>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市场 租金 波动 影响</w:t>
            </w:r>
          </w:p>
        </w:tc>
      </w:tr>
      <w:tr>
        <w:trPr>
          <w:trHeight w:val="1920" w:hRule="exact"/>
        </w:trPr>
        <w:tc>
          <w:tcPr>
            <w:tcBorders>
              <w:top w:val="single" w:sz="4"/>
            </w:tcBorders>
            <w:shd w:val="clear" w:color="auto" w:fill="FFFFFF"/>
            <w:vAlign w:val="top"/>
          </w:tcPr>
          <w:p>
            <w:pPr>
              <w:pStyle w:val="Style2"/>
              <w:keepNext w:val="0"/>
              <w:keepLines w:val="0"/>
              <w:framePr w:w="9600" w:h="4229" w:vSpace="240" w:wrap="notBeside" w:vAnchor="text" w:hAnchor="text" w:x="308" w:y="241"/>
              <w:widowControl w:val="0"/>
              <w:shd w:val="clear" w:color="auto" w:fill="auto"/>
              <w:bidi w:val="0"/>
              <w:spacing w:before="0" w:after="60" w:line="307" w:lineRule="exact"/>
              <w:ind w:left="140" w:right="0" w:firstLine="0"/>
              <w:jc w:val="left"/>
              <w:rPr>
                <w:sz w:val="20"/>
                <w:szCs w:val="20"/>
              </w:rPr>
            </w:pPr>
            <w:r>
              <w:rPr>
                <w:color w:val="000000"/>
                <w:spacing w:val="0"/>
                <w:w w:val="100"/>
                <w:position w:val="0"/>
                <w:sz w:val="20"/>
                <w:szCs w:val="20"/>
              </w:rPr>
              <w:t>国民技 术大厦</w:t>
            </w:r>
          </w:p>
          <w:p>
            <w:pPr>
              <w:pStyle w:val="Style2"/>
              <w:keepNext w:val="0"/>
              <w:keepLines w:val="0"/>
              <w:framePr w:w="9600" w:h="4229" w:vSpace="240" w:wrap="notBeside" w:vAnchor="text" w:hAnchor="text" w:x="308" w:y="241"/>
              <w:widowControl w:val="0"/>
              <w:shd w:val="clear" w:color="auto" w:fill="auto"/>
              <w:bidi w:val="0"/>
              <w:spacing w:before="0" w:after="0" w:line="322" w:lineRule="auto"/>
              <w:ind w:left="14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p>
          <w:p>
            <w:pPr>
              <w:pStyle w:val="Style2"/>
              <w:keepNext w:val="0"/>
              <w:keepLines w:val="0"/>
              <w:framePr w:w="9600" w:h="4229" w:vSpace="240" w:wrap="notBeside" w:vAnchor="text" w:hAnchor="text" w:x="308" w:y="241"/>
              <w:widowControl w:val="0"/>
              <w:shd w:val="clear" w:color="auto" w:fill="auto"/>
              <w:bidi w:val="0"/>
              <w:spacing w:before="0" w:after="40" w:line="322" w:lineRule="auto"/>
              <w:ind w:left="14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8-17 </w:t>
            </w:r>
            <w:r>
              <w:rPr>
                <w:color w:val="000000"/>
                <w:spacing w:val="0"/>
                <w:w w:val="100"/>
                <w:position w:val="0"/>
                <w:sz w:val="20"/>
                <w:szCs w:val="20"/>
              </w:rPr>
              <w:t>层</w:t>
            </w:r>
          </w:p>
        </w:tc>
        <w:tc>
          <w:tcPr>
            <w:tcBorders>
              <w:top w:val="single" w:sz="4"/>
              <w:left w:val="single" w:sz="4"/>
            </w:tcBorders>
            <w:shd w:val="clear" w:color="auto" w:fill="FFFFFF"/>
            <w:vAlign w:val="center"/>
          </w:tcPr>
          <w:p>
            <w:pPr>
              <w:pStyle w:val="Style2"/>
              <w:keepNext w:val="0"/>
              <w:keepLines w:val="0"/>
              <w:framePr w:w="9600" w:h="4229" w:vSpace="240" w:wrap="notBeside" w:vAnchor="text" w:hAnchor="text" w:x="308" w:y="241"/>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深圳市 西丽街 道宝</w:t>
            </w:r>
          </w:p>
          <w:p>
            <w:pPr>
              <w:pStyle w:val="Style2"/>
              <w:keepNext w:val="0"/>
              <w:keepLines w:val="0"/>
              <w:framePr w:w="9600" w:h="4229" w:vSpace="240" w:wrap="notBeside" w:vAnchor="text" w:hAnchor="text" w:x="308" w:y="241"/>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深路国 民技 术大厦</w:t>
            </w:r>
          </w:p>
        </w:tc>
        <w:tc>
          <w:tcPr>
            <w:tcBorders>
              <w:top w:val="single" w:sz="4"/>
              <w:left w:val="single" w:sz="4"/>
            </w:tcBorders>
            <w:shd w:val="clear" w:color="auto" w:fill="FFFFFF"/>
            <w:vAlign w:val="center"/>
          </w:tcPr>
          <w:p>
            <w:pPr>
              <w:pStyle w:val="Style2"/>
              <w:keepNext w:val="0"/>
              <w:keepLines w:val="0"/>
              <w:framePr w:w="9600" w:h="4229" w:vSpace="240" w:wrap="notBeside" w:vAnchor="text" w:hAnchor="text" w:x="308" w:y="241"/>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15,593.31</w:t>
            </w:r>
          </w:p>
        </w:tc>
        <w:tc>
          <w:tcPr>
            <w:tcBorders>
              <w:top w:val="single" w:sz="4"/>
              <w:left w:val="single" w:sz="4"/>
            </w:tcBorders>
            <w:shd w:val="clear" w:color="auto" w:fill="FFFFFF"/>
            <w:vAlign w:val="center"/>
          </w:tcPr>
          <w:p>
            <w:pPr>
              <w:pStyle w:val="Style2"/>
              <w:keepNext w:val="0"/>
              <w:keepLines w:val="0"/>
              <w:framePr w:w="9600" w:h="4229" w:vSpace="240" w:wrap="notBeside" w:vAnchor="text" w:hAnchor="text" w:x="308" w:y="241"/>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14,558,139.17</w:t>
            </w:r>
          </w:p>
        </w:tc>
        <w:tc>
          <w:tcPr>
            <w:tcBorders>
              <w:top w:val="single" w:sz="4"/>
              <w:left w:val="single" w:sz="4"/>
            </w:tcBorders>
            <w:shd w:val="clear" w:color="auto" w:fill="FFFFFF"/>
            <w:vAlign w:val="center"/>
          </w:tcPr>
          <w:p>
            <w:pPr>
              <w:pStyle w:val="Style2"/>
              <w:keepNext w:val="0"/>
              <w:keepLines w:val="0"/>
              <w:framePr w:w="9600" w:h="4229" w:vSpace="240" w:wrap="notBeside" w:vAnchor="text" w:hAnchor="text" w:x="308" w:y="241"/>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338,613,285.00</w:t>
            </w:r>
          </w:p>
        </w:tc>
        <w:tc>
          <w:tcPr>
            <w:tcBorders>
              <w:top w:val="single" w:sz="4"/>
              <w:left w:val="single" w:sz="4"/>
            </w:tcBorders>
            <w:shd w:val="clear" w:color="auto" w:fill="FFFFFF"/>
            <w:vAlign w:val="center"/>
          </w:tcPr>
          <w:p>
            <w:pPr>
              <w:pStyle w:val="Style2"/>
              <w:keepNext w:val="0"/>
              <w:keepLines w:val="0"/>
              <w:framePr w:w="9600" w:h="4229" w:vSpace="240" w:wrap="notBeside" w:vAnchor="text" w:hAnchor="text" w:x="308" w:y="24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340,611,807.00</w:t>
            </w:r>
          </w:p>
        </w:tc>
        <w:tc>
          <w:tcPr>
            <w:tcBorders>
              <w:top w:val="single" w:sz="4"/>
              <w:left w:val="single" w:sz="4"/>
            </w:tcBorders>
            <w:shd w:val="clear" w:color="auto" w:fill="FFFFFF"/>
            <w:vAlign w:val="center"/>
          </w:tcPr>
          <w:p>
            <w:pPr>
              <w:pStyle w:val="Style2"/>
              <w:keepNext w:val="0"/>
              <w:keepLines w:val="0"/>
              <w:framePr w:w="9600" w:h="4229" w:vSpace="240" w:wrap="notBeside" w:vAnchor="text" w:hAnchor="text" w:x="308" w:y="24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-0.59</w:t>
            </w:r>
          </w:p>
        </w:tc>
        <w:tc>
          <w:tcPr>
            <w:tcBorders>
              <w:top w:val="single" w:sz="4"/>
              <w:left w:val="single" w:sz="4"/>
            </w:tcBorders>
            <w:shd w:val="clear" w:color="auto" w:fill="FFFFFF"/>
            <w:vAlign w:val="center"/>
          </w:tcPr>
          <w:p>
            <w:pPr>
              <w:pStyle w:val="Style2"/>
              <w:keepNext w:val="0"/>
              <w:keepLines w:val="0"/>
              <w:framePr w:w="9600" w:h="4229" w:vSpace="240" w:wrap="notBeside" w:vAnchor="text" w:hAnchor="text" w:x="308" w:y="241"/>
              <w:widowControl w:val="0"/>
              <w:shd w:val="clear" w:color="auto" w:fill="auto"/>
              <w:bidi w:val="0"/>
              <w:spacing w:before="0" w:after="0" w:line="309" w:lineRule="exact"/>
              <w:ind w:left="0" w:right="0" w:firstLine="0"/>
              <w:jc w:val="both"/>
              <w:rPr>
                <w:sz w:val="20"/>
                <w:szCs w:val="20"/>
              </w:rPr>
            </w:pPr>
            <w:r>
              <w:rPr>
                <w:color w:val="000000"/>
                <w:spacing w:val="0"/>
                <w:w w:val="100"/>
                <w:position w:val="0"/>
                <w:sz w:val="20"/>
                <w:szCs w:val="20"/>
              </w:rPr>
              <w:t>市场 租金 波动 影响</w:t>
            </w:r>
          </w:p>
        </w:tc>
      </w:tr>
      <w:tr>
        <w:trPr>
          <w:trHeight w:val="384" w:hRule="exact"/>
        </w:trPr>
        <w:tc>
          <w:tcPr>
            <w:tcBorders>
              <w:top w:val="single" w:sz="4"/>
              <w:bottom w:val="single" w:sz="4"/>
            </w:tcBorders>
            <w:shd w:val="clear" w:color="auto" w:fill="FFFFFF"/>
            <w:vAlign w:val="center"/>
          </w:tcPr>
          <w:p>
            <w:pPr>
              <w:pStyle w:val="Style2"/>
              <w:keepNext w:val="0"/>
              <w:keepLines w:val="0"/>
              <w:framePr w:w="9600" w:h="4229" w:vSpace="240" w:wrap="notBeside" w:vAnchor="text" w:hAnchor="text" w:x="308" w:y="241"/>
              <w:widowControl w:val="0"/>
              <w:shd w:val="clear" w:color="auto" w:fill="auto"/>
              <w:bidi w:val="0"/>
              <w:spacing w:before="0" w:after="0" w:line="240" w:lineRule="auto"/>
              <w:ind w:left="14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framePr w:w="9600" w:h="4229" w:vSpace="240" w:wrap="notBeside" w:vAnchor="text" w:hAnchor="text" w:x="308" w:y="241"/>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9600" w:h="4229" w:vSpace="240" w:wrap="notBeside" w:vAnchor="text" w:hAnchor="text" w:x="308" w:y="241"/>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b/>
                <w:bCs/>
                <w:color w:val="000000"/>
                <w:spacing w:val="0"/>
                <w:w w:val="100"/>
                <w:position w:val="0"/>
                <w:sz w:val="20"/>
                <w:szCs w:val="20"/>
              </w:rPr>
              <w:t>17,177.86</w:t>
            </w:r>
          </w:p>
        </w:tc>
        <w:tc>
          <w:tcPr>
            <w:tcBorders>
              <w:top w:val="single" w:sz="4"/>
              <w:left w:val="single" w:sz="4"/>
              <w:bottom w:val="single" w:sz="4"/>
            </w:tcBorders>
            <w:shd w:val="clear" w:color="auto" w:fill="FFFFFF"/>
            <w:vAlign w:val="center"/>
          </w:tcPr>
          <w:p>
            <w:pPr>
              <w:pStyle w:val="Style2"/>
              <w:keepNext w:val="0"/>
              <w:keepLines w:val="0"/>
              <w:framePr w:w="9600" w:h="4229" w:vSpace="240" w:wrap="notBeside" w:vAnchor="text" w:hAnchor="text" w:x="308" w:y="241"/>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b/>
                <w:bCs/>
                <w:color w:val="000000"/>
                <w:spacing w:val="0"/>
                <w:w w:val="100"/>
                <w:position w:val="0"/>
                <w:sz w:val="20"/>
                <w:szCs w:val="20"/>
              </w:rPr>
              <w:t>16,373,008.29</w:t>
            </w:r>
          </w:p>
        </w:tc>
        <w:tc>
          <w:tcPr>
            <w:tcBorders>
              <w:top w:val="single" w:sz="4"/>
              <w:left w:val="single" w:sz="4"/>
              <w:bottom w:val="single" w:sz="4"/>
            </w:tcBorders>
            <w:shd w:val="clear" w:color="auto" w:fill="FFFFFF"/>
            <w:vAlign w:val="center"/>
          </w:tcPr>
          <w:p>
            <w:pPr>
              <w:pStyle w:val="Style2"/>
              <w:keepNext w:val="0"/>
              <w:keepLines w:val="0"/>
              <w:framePr w:w="9600" w:h="4229" w:vSpace="240" w:wrap="notBeside" w:vAnchor="text" w:hAnchor="text" w:x="308" w:y="241"/>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b/>
                <w:bCs/>
                <w:color w:val="000000"/>
                <w:spacing w:val="0"/>
                <w:w w:val="100"/>
                <w:position w:val="0"/>
                <w:sz w:val="20"/>
                <w:szCs w:val="20"/>
              </w:rPr>
              <w:t>379,019,310.00</w:t>
            </w:r>
          </w:p>
        </w:tc>
        <w:tc>
          <w:tcPr>
            <w:tcBorders>
              <w:top w:val="single" w:sz="4"/>
              <w:left w:val="single" w:sz="4"/>
              <w:bottom w:val="single" w:sz="4"/>
            </w:tcBorders>
            <w:shd w:val="clear" w:color="auto" w:fill="FFFFFF"/>
            <w:vAlign w:val="center"/>
          </w:tcPr>
          <w:p>
            <w:pPr>
              <w:pStyle w:val="Style2"/>
              <w:keepNext w:val="0"/>
              <w:keepLines w:val="0"/>
              <w:framePr w:w="9600" w:h="4229" w:vSpace="240" w:wrap="notBeside" w:vAnchor="text" w:hAnchor="text" w:x="308" w:y="24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381,651,652.00</w:t>
            </w:r>
          </w:p>
        </w:tc>
        <w:tc>
          <w:tcPr>
            <w:tcBorders>
              <w:top w:val="single" w:sz="4"/>
              <w:left w:val="single" w:sz="4"/>
              <w:bottom w:val="single" w:sz="4"/>
            </w:tcBorders>
            <w:shd w:val="clear" w:color="auto" w:fill="FFFFFF"/>
            <w:vAlign w:val="top"/>
          </w:tcPr>
          <w:p>
            <w:pPr>
              <w:framePr w:w="9600" w:h="4229" w:vSpace="240" w:wrap="notBeside" w:vAnchor="text" w:hAnchor="text" w:x="308" w:y="241"/>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9600" w:h="4229" w:vSpace="240" w:wrap="notBeside" w:vAnchor="text" w:hAnchor="text" w:x="308" w:y="241"/>
              <w:widowControl w:val="0"/>
              <w:shd w:val="clear" w:color="auto" w:fill="auto"/>
              <w:bidi w:val="0"/>
              <w:spacing w:before="0" w:after="0" w:line="240" w:lineRule="auto"/>
              <w:ind w:left="0" w:right="220" w:firstLine="0"/>
              <w:jc w:val="right"/>
              <w:rPr>
                <w:sz w:val="20"/>
                <w:szCs w:val="20"/>
              </w:rPr>
            </w:pPr>
            <w:r>
              <w:rPr>
                <w:rFonts w:ascii="Times New Roman" w:eastAsia="Times New Roman" w:hAnsi="Times New Roman" w:cs="Times New Roman"/>
                <w:color w:val="000000"/>
                <w:spacing w:val="0"/>
                <w:w w:val="100"/>
                <w:position w:val="0"/>
                <w:sz w:val="20"/>
                <w:szCs w:val="20"/>
              </w:rPr>
              <w:t>_</w:t>
            </w:r>
          </w:p>
        </w:tc>
      </w:tr>
    </w:tbl>
    <w:p>
      <w:pPr>
        <w:pStyle w:val="Style38"/>
        <w:keepNext w:val="0"/>
        <w:keepLines w:val="0"/>
        <w:framePr w:w="6619" w:h="226" w:hSpace="307" w:wrap="notBeside" w:vAnchor="text" w:hAnchor="text" w:x="2439" w:y="1"/>
        <w:widowControl w:val="0"/>
        <w:shd w:val="clear" w:color="auto" w:fill="auto"/>
        <w:bidi w:val="0"/>
        <w:spacing w:before="0" w:after="0" w:line="264" w:lineRule="exact"/>
        <w:ind w:left="0" w:right="0" w:firstLine="0"/>
        <w:jc w:val="righ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p>
    <w:p>
      <w:pPr>
        <w:widowControl w:val="0"/>
        <w:spacing w:line="1" w:lineRule="exact"/>
      </w:pPr>
    </w:p>
    <w:p>
      <w:pPr>
        <w:pStyle w:val="Style44"/>
        <w:keepNext w:val="0"/>
        <w:keepLines w:val="0"/>
        <w:widowControl w:val="0"/>
        <w:shd w:val="clear" w:color="auto" w:fill="auto"/>
        <w:bidi w:val="0"/>
        <w:spacing w:before="0" w:after="400" w:line="240" w:lineRule="auto"/>
        <w:ind w:left="0" w:right="0" w:firstLine="640"/>
        <w:jc w:val="left"/>
      </w:pPr>
      <w:r>
        <w:rPr>
          <w:color w:val="000000"/>
          <w:spacing w:val="0"/>
          <w:w w:val="100"/>
          <w:position w:val="0"/>
        </w:rPr>
        <w:t>注：截至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日投资性房地产所有权受限制情况详见本附注五、</w:t>
      </w:r>
      <w:r>
        <w:rPr>
          <w:rFonts w:ascii="Times New Roman" w:eastAsia="Times New Roman" w:hAnsi="Times New Roman" w:cs="Times New Roman"/>
          <w:color w:val="000000"/>
          <w:spacing w:val="0"/>
          <w:w w:val="100"/>
          <w:position w:val="0"/>
        </w:rPr>
        <w:t>56</w:t>
      </w:r>
      <w:r>
        <w:rPr>
          <w:color w:val="000000"/>
          <w:spacing w:val="0"/>
          <w:w w:val="100"/>
          <w:position w:val="0"/>
        </w:rPr>
        <w:t>之说明。</w:t>
      </w:r>
    </w:p>
    <w:p>
      <w:pPr>
        <w:pStyle w:val="Style52"/>
        <w:keepNext/>
        <w:keepLines/>
        <w:widowControl w:val="0"/>
        <w:shd w:val="clear" w:color="auto" w:fill="auto"/>
        <w:bidi w:val="0"/>
        <w:spacing w:before="0" w:line="240" w:lineRule="auto"/>
        <w:ind w:left="0" w:right="0" w:firstLine="180"/>
        <w:jc w:val="both"/>
        <w:rPr>
          <w:sz w:val="24"/>
          <w:szCs w:val="24"/>
        </w:rPr>
      </w:pPr>
      <w:bookmarkStart w:id="1000" w:name="bookmark1000"/>
      <w:bookmarkStart w:id="1001" w:name="bookmark1001"/>
      <w:bookmarkStart w:id="998" w:name="bookmark998"/>
      <w:bookmarkStart w:id="999" w:name="bookmark999"/>
      <w:r>
        <w:rPr>
          <w:rFonts w:ascii="Times New Roman" w:eastAsia="Times New Roman" w:hAnsi="Times New Roman" w:cs="Times New Roman"/>
          <w:b w:val="0"/>
          <w:bCs w:val="0"/>
          <w:color w:val="000000"/>
          <w:spacing w:val="0"/>
          <w:w w:val="100"/>
          <w:position w:val="0"/>
          <w:sz w:val="24"/>
          <w:szCs w:val="24"/>
        </w:rPr>
        <w:t>1</w:t>
      </w:r>
      <w:bookmarkEnd w:id="1000"/>
      <w:r>
        <w:rPr>
          <w:rFonts w:ascii="Times New Roman" w:eastAsia="Times New Roman" w:hAnsi="Times New Roman" w:cs="Times New Roman"/>
          <w:b w:val="0"/>
          <w:bCs w:val="0"/>
          <w:color w:val="000000"/>
          <w:spacing w:val="0"/>
          <w:w w:val="100"/>
          <w:position w:val="0"/>
          <w:sz w:val="24"/>
          <w:szCs w:val="24"/>
        </w:rPr>
        <w:t>4</w:t>
      </w:r>
      <w:r>
        <w:rPr>
          <w:b w:val="0"/>
          <w:bCs w:val="0"/>
          <w:color w:val="000000"/>
          <w:spacing w:val="0"/>
          <w:w w:val="100"/>
          <w:position w:val="0"/>
          <w:sz w:val="24"/>
          <w:szCs w:val="24"/>
        </w:rPr>
        <w:t>、固定资产</w:t>
      </w:r>
      <w:bookmarkEnd w:id="1001"/>
      <w:bookmarkEnd w:id="998"/>
      <w:bookmarkEnd w:id="999"/>
    </w:p>
    <w:tbl>
      <w:tblPr>
        <w:tblOverlap w:val="never"/>
        <w:jc w:val="center"/>
        <w:tblLayout w:type="fixed"/>
      </w:tblPr>
      <w:tblGrid>
        <w:gridCol w:w="3326"/>
        <w:gridCol w:w="2976"/>
        <w:gridCol w:w="2592"/>
      </w:tblGrid>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2020.12.31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2019.12.31</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363,036,571.69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352,554,075.12</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8" w:hRule="exact"/>
        </w:trPr>
        <w:tc>
          <w:tcPr>
            <w:tcBorders>
              <w:top w:val="single" w:sz="4"/>
              <w:bottom w:val="single" w:sz="4"/>
            </w:tcBorders>
            <w:shd w:val="clear" w:color="auto" w:fill="FFFFFF"/>
            <w:vAlign w:val="center"/>
          </w:tcPr>
          <w:p>
            <w:pPr>
              <w:pStyle w:val="Style2"/>
              <w:keepNext w:val="0"/>
              <w:keepLines w:val="0"/>
              <w:widowControl w:val="0"/>
              <w:shd w:val="clear" w:color="auto" w:fill="auto"/>
              <w:tabs>
                <w:tab w:pos="1133" w:val="left"/>
              </w:tabs>
              <w:bidi w:val="0"/>
              <w:spacing w:before="0" w:after="0" w:line="240" w:lineRule="auto"/>
              <w:ind w:left="0" w:right="0" w:firstLine="480"/>
              <w:jc w:val="left"/>
              <w:rPr>
                <w:sz w:val="20"/>
                <w:szCs w:val="20"/>
              </w:rPr>
            </w:pPr>
            <w:r>
              <w:rPr>
                <w:b/>
                <w:bCs/>
                <w:color w:val="000000"/>
                <w:spacing w:val="0"/>
                <w:w w:val="100"/>
                <w:position w:val="0"/>
                <w:sz w:val="20"/>
                <w:szCs w:val="20"/>
              </w:rPr>
              <w:t>合</w:t>
              <w:tab/>
              <w:t>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363,036,571.69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b/>
                <w:bCs/>
                <w:color w:val="000000"/>
                <w:spacing w:val="0"/>
                <w:w w:val="100"/>
                <w:position w:val="0"/>
              </w:rPr>
              <w:t>352,554,075.12</w:t>
            </w:r>
          </w:p>
        </w:tc>
      </w:tr>
    </w:tbl>
    <w:p>
      <w:pPr>
        <w:widowControl w:val="0"/>
        <w:spacing w:after="119" w:line="1" w:lineRule="exact"/>
      </w:pPr>
    </w:p>
    <w:p>
      <w:pPr>
        <w:pStyle w:val="Style44"/>
        <w:keepNext w:val="0"/>
        <w:keepLines w:val="0"/>
        <w:widowControl w:val="0"/>
        <w:numPr>
          <w:ilvl w:val="0"/>
          <w:numId w:val="49"/>
        </w:numPr>
        <w:shd w:val="clear" w:color="auto" w:fill="auto"/>
        <w:bidi w:val="0"/>
        <w:spacing w:before="0" w:after="120" w:line="240" w:lineRule="auto"/>
        <w:ind w:left="0" w:right="0" w:firstLine="640"/>
        <w:jc w:val="left"/>
      </w:pPr>
      <w:bookmarkStart w:id="1002" w:name="bookmark1002"/>
      <w:bookmarkEnd w:id="1002"/>
      <w:r>
        <w:rPr>
          <w:color w:val="000000"/>
          <w:spacing w:val="0"/>
          <w:w w:val="100"/>
          <w:position w:val="0"/>
        </w:rPr>
        <w:t>固定资产情况</w:t>
      </w:r>
    </w:p>
    <w:tbl>
      <w:tblPr>
        <w:tblOverlap w:val="never"/>
        <w:jc w:val="center"/>
        <w:tblLayout w:type="fixed"/>
      </w:tblPr>
      <w:tblGrid>
        <w:gridCol w:w="2294"/>
        <w:gridCol w:w="2045"/>
        <w:gridCol w:w="1934"/>
        <w:gridCol w:w="1632"/>
        <w:gridCol w:w="1704"/>
      </w:tblGrid>
      <w:tr>
        <w:trPr>
          <w:trHeight w:val="63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房屋及建筑物</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center"/>
              <w:rPr>
                <w:sz w:val="20"/>
                <w:szCs w:val="20"/>
              </w:rPr>
            </w:pPr>
            <w:r>
              <w:rPr>
                <w:b/>
                <w:bCs/>
                <w:color w:val="000000"/>
                <w:spacing w:val="0"/>
                <w:w w:val="100"/>
                <w:position w:val="0"/>
                <w:sz w:val="20"/>
                <w:szCs w:val="20"/>
              </w:rPr>
              <w:t>机器设备及工具 设备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运输工具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0" w:right="0" w:firstLine="0"/>
              <w:jc w:val="center"/>
              <w:rPr>
                <w:sz w:val="20"/>
                <w:szCs w:val="20"/>
              </w:rPr>
            </w:pPr>
            <w:r>
              <w:rPr>
                <w:b/>
                <w:bCs/>
                <w:color w:val="000000"/>
                <w:spacing w:val="0"/>
                <w:w w:val="100"/>
                <w:position w:val="0"/>
                <w:sz w:val="20"/>
                <w:szCs w:val="20"/>
              </w:rPr>
              <w:t>合计</w:t>
            </w:r>
          </w:p>
        </w:tc>
      </w:tr>
      <w:tr>
        <w:trPr>
          <w:trHeight w:val="33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一、账面原值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8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、年初余额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276,663,691.79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163,782,861.13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13,902,573.65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454,349,126.57</w:t>
            </w:r>
          </w:p>
        </w:tc>
      </w:tr>
    </w:tbl>
    <w:p>
      <w:pPr>
        <w:widowControl w:val="0"/>
        <w:spacing w:line="1" w:lineRule="exact"/>
      </w:pPr>
      <w:r>
        <w:br w:type="page"/>
      </w:r>
    </w:p>
    <w:tbl>
      <w:tblPr>
        <w:tblOverlap w:val="never"/>
        <w:jc w:val="center"/>
        <w:tblLayout w:type="fixed"/>
      </w:tblPr>
      <w:tblGrid>
        <w:gridCol w:w="2006"/>
        <w:gridCol w:w="4306"/>
        <w:gridCol w:w="1613"/>
        <w:gridCol w:w="1838"/>
      </w:tblGrid>
      <w:tr>
        <w:trPr>
          <w:trHeight w:val="302" w:hRule="exact"/>
        </w:trPr>
        <w:tc>
          <w:tcPr>
            <w:gridSpan w:val="4"/>
            <w:tcBorders>
              <w:top w:val="single" w:sz="4"/>
            </w:tcBorders>
            <w:shd w:val="clear" w:color="auto" w:fill="FFFFFF"/>
            <w:vAlign w:val="top"/>
          </w:tcPr>
          <w:p>
            <w:pPr>
              <w:widowControl w:val="0"/>
              <w:rPr>
                <w:sz w:val="10"/>
                <w:szCs w:val="10"/>
              </w:rPr>
            </w:pPr>
          </w:p>
        </w:tc>
      </w:tr>
      <w:tr>
        <w:trPr>
          <w:trHeight w:val="63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项目</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b/>
                <w:bCs/>
                <w:color w:val="000000"/>
                <w:spacing w:val="0"/>
                <w:w w:val="100"/>
                <w:position w:val="0"/>
                <w:sz w:val="20"/>
                <w:szCs w:val="20"/>
              </w:rPr>
              <w:t>房屋及建筑物机器设备及工具</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运输工具</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合计</w:t>
            </w:r>
          </w:p>
        </w:tc>
      </w:tr>
    </w:tbl>
    <w:p>
      <w:pPr>
        <w:widowControl w:val="0"/>
        <w:spacing w:line="1" w:lineRule="exact"/>
      </w:pPr>
    </w:p>
    <w:tbl>
      <w:tblPr>
        <w:tblOverlap w:val="never"/>
        <w:jc w:val="center"/>
        <w:tblLayout w:type="fixed"/>
      </w:tblPr>
      <w:tblGrid>
        <w:gridCol w:w="2554"/>
        <w:gridCol w:w="1882"/>
        <w:gridCol w:w="1834"/>
        <w:gridCol w:w="1637"/>
        <w:gridCol w:w="1690"/>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、本年增加金额</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35,305,877.60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942,830.39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36,248,707.99</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)购置</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8,362,354.08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942,830.39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9,305,184.47</w:t>
            </w:r>
          </w:p>
        </w:tc>
      </w:tr>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)在建工程转入</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26,943,523.52</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26,943,523.52</w:t>
            </w:r>
          </w:p>
        </w:tc>
      </w:tr>
      <w:tr>
        <w:trPr>
          <w:trHeight w:val="33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、本年减少金额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2,802,972.41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317,094.07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3,120,066.48</w:t>
            </w:r>
          </w:p>
        </w:tc>
      </w:tr>
      <w:tr>
        <w:trPr>
          <w:trHeight w:val="36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处置或报废</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2,802,972.41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317,094.07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3,120,066.48</w:t>
            </w:r>
          </w:p>
        </w:tc>
      </w:tr>
      <w:tr>
        <w:trPr>
          <w:trHeight w:val="341"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、年末余额</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276,663,691.79</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196,285,766.32</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14,528,309.97</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487,477,768.08</w:t>
            </w:r>
          </w:p>
        </w:tc>
      </w:tr>
    </w:tbl>
    <w:p>
      <w:pPr>
        <w:widowControl w:val="0"/>
        <w:spacing w:after="3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638" w:right="0" w:firstLine="0"/>
        <w:jc w:val="left"/>
        <w:rPr>
          <w:sz w:val="20"/>
          <w:szCs w:val="20"/>
        </w:rPr>
      </w:pPr>
      <w:r>
        <w:rPr>
          <w:color w:val="000000"/>
          <w:spacing w:val="0"/>
          <w:w w:val="100"/>
          <w:position w:val="0"/>
          <w:sz w:val="20"/>
          <w:szCs w:val="20"/>
        </w:rPr>
        <w:t>、累计折旧</w:t>
      </w:r>
    </w:p>
    <w:tbl>
      <w:tblPr>
        <w:tblOverlap w:val="never"/>
        <w:jc w:val="center"/>
        <w:tblLayout w:type="fixed"/>
      </w:tblPr>
      <w:tblGrid>
        <w:gridCol w:w="2506"/>
        <w:gridCol w:w="1982"/>
        <w:gridCol w:w="1781"/>
        <w:gridCol w:w="1651"/>
        <w:gridCol w:w="1675"/>
      </w:tblGrid>
      <w:tr>
        <w:trPr>
          <w:trHeight w:val="3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、年初余额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13,732,957.37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72,098,537.28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11,693,447.32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97,524,941.97</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、本年增加金额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10,053,817.57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13,982,783.89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638,359.05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24,674,960.51</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计提</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10,053,817.57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13,982,783.89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638,359.05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24,674,960.51</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、本年减少金额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2,391,344.48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251,799.09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2,643,143.57</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处置或报废</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2,391,344.48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251,799.09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2,643,143.57</w:t>
            </w:r>
          </w:p>
        </w:tc>
      </w:tr>
      <w:tr>
        <w:trPr>
          <w:trHeight w:val="336"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、年末余额</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23,786,774.94</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83,689,976.69</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12,080,007.28</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119,556,758.91</w:t>
            </w:r>
          </w:p>
        </w:tc>
      </w:tr>
    </w:tbl>
    <w:p>
      <w:pPr>
        <w:widowControl w:val="0"/>
        <w:spacing w:line="1" w:lineRule="exact"/>
      </w:pPr>
    </w:p>
    <w:tbl>
      <w:tblPr>
        <w:tblOverlap w:val="never"/>
        <w:jc w:val="center"/>
        <w:tblLayout w:type="fixed"/>
      </w:tblPr>
      <w:tblGrid>
        <w:gridCol w:w="667"/>
        <w:gridCol w:w="1795"/>
        <w:gridCol w:w="1843"/>
        <w:gridCol w:w="2021"/>
        <w:gridCol w:w="1589"/>
        <w:gridCol w:w="1694"/>
      </w:tblGrid>
      <w:tr>
        <w:trPr>
          <w:trHeight w:val="341" w:hRule="exact"/>
        </w:trPr>
        <w:tc>
          <w:tcPr>
            <w:gridSpan w:val="6"/>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三、减值准备</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年初余额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309,026.81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3,938,975.92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22,106.75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4,270,109.48</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本年增加金额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172,124.93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443,218.03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615,342.96</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计提</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172,124.93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443,218.03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615,342.96</w:t>
            </w: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本年减少金额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1,014.96</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1,014.96</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处置或报废</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1,014.96</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1,014.96</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年末余额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309,026.81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4,110,085.89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465,324.78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4,884,437.48</w:t>
            </w:r>
          </w:p>
        </w:tc>
      </w:tr>
      <w:tr>
        <w:trPr>
          <w:trHeight w:val="33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四</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、账面价值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年末账面价值</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252,567,890.04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108,485,703.74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1,982,977.91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363,036,571.69</w:t>
            </w: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年初账面价值</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262,621,707.61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87,745,347.93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2,187,019.58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352,554,075.12</w:t>
            </w:r>
          </w:p>
        </w:tc>
      </w:tr>
      <w:tr>
        <w:trPr>
          <w:trHeight w:val="566"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②暂时闲置的固定资产情况</w:t>
            </w:r>
          </w:p>
        </w:tc>
      </w:tr>
      <w:tr>
        <w:trPr>
          <w:trHeight w:val="33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账面原值</w:t>
            </w:r>
          </w:p>
        </w:tc>
        <w:tc>
          <w:tcPr>
            <w:gridSpan w:val="3"/>
            <w:tcBorders>
              <w:top w:val="single" w:sz="4"/>
            </w:tcBorders>
            <w:shd w:val="clear" w:color="auto" w:fill="FFFFFF"/>
            <w:vAlign w:val="bottom"/>
          </w:tcPr>
          <w:p>
            <w:pPr>
              <w:pStyle w:val="Style2"/>
              <w:keepNext w:val="0"/>
              <w:keepLines w:val="0"/>
              <w:widowControl w:val="0"/>
              <w:shd w:val="clear" w:color="auto" w:fill="auto"/>
              <w:tabs>
                <w:tab w:pos="1550" w:val="left"/>
                <w:tab w:pos="3110" w:val="left"/>
                <w:tab w:pos="4493" w:val="left"/>
              </w:tabs>
              <w:bidi w:val="0"/>
              <w:spacing w:before="0" w:after="0" w:line="240" w:lineRule="auto"/>
              <w:ind w:left="0" w:right="0" w:firstLine="0"/>
              <w:jc w:val="left"/>
              <w:rPr>
                <w:sz w:val="20"/>
                <w:szCs w:val="20"/>
              </w:rPr>
            </w:pPr>
            <w:r>
              <w:rPr>
                <w:b/>
                <w:bCs/>
                <w:color w:val="000000"/>
                <w:spacing w:val="0"/>
                <w:w w:val="100"/>
                <w:position w:val="0"/>
                <w:sz w:val="20"/>
                <w:szCs w:val="20"/>
              </w:rPr>
              <w:t>累计折旧</w:t>
              <w:tab/>
              <w:t>减值准备</w:t>
              <w:tab/>
              <w:t>账面价值</w:t>
              <w:tab/>
              <w:t>备注</w:t>
            </w:r>
          </w:p>
        </w:tc>
      </w:tr>
    </w:tbl>
    <w:p>
      <w:pPr>
        <w:widowControl w:val="0"/>
        <w:spacing w:after="79" w:line="1" w:lineRule="exact"/>
      </w:pPr>
    </w:p>
    <w:p>
      <w:pPr>
        <w:widowControl w:val="0"/>
        <w:spacing w:line="1" w:lineRule="exact"/>
      </w:pPr>
    </w:p>
    <w:tbl>
      <w:tblPr>
        <w:tblOverlap w:val="never"/>
        <w:jc w:val="center"/>
        <w:tblLayout w:type="fixed"/>
      </w:tblPr>
      <w:tblGrid>
        <w:gridCol w:w="2213"/>
        <w:gridCol w:w="1594"/>
        <w:gridCol w:w="1560"/>
        <w:gridCol w:w="1560"/>
        <w:gridCol w:w="1560"/>
        <w:gridCol w:w="946"/>
      </w:tblGrid>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331,332.00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22,305.19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309,026.81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98" w:lineRule="exact"/>
              <w:ind w:left="500" w:right="0" w:firstLine="0"/>
              <w:jc w:val="left"/>
              <w:rPr>
                <w:sz w:val="20"/>
                <w:szCs w:val="20"/>
              </w:rPr>
            </w:pPr>
            <w:r>
              <w:rPr>
                <w:color w:val="000000"/>
                <w:spacing w:val="0"/>
                <w:w w:val="100"/>
                <w:position w:val="0"/>
                <w:sz w:val="20"/>
                <w:szCs w:val="20"/>
              </w:rPr>
              <w:t>机器设备及工具 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7,597,895.25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3,692,579.69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3,905,315.56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49,572.65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27,465.90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22,106.75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7,978,799.90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3,742,350.78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4,236,449.12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b/>
                <w:bCs/>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44"/>
        <w:keepNext w:val="0"/>
        <w:keepLines w:val="0"/>
        <w:widowControl w:val="0"/>
        <w:numPr>
          <w:ilvl w:val="0"/>
          <w:numId w:val="51"/>
        </w:numPr>
        <w:shd w:val="clear" w:color="auto" w:fill="auto"/>
        <w:tabs>
          <w:tab w:pos="931" w:val="left"/>
        </w:tabs>
        <w:bidi w:val="0"/>
        <w:spacing w:before="0" w:after="240" w:line="240" w:lineRule="auto"/>
        <w:ind w:left="0" w:right="0" w:firstLine="520"/>
        <w:jc w:val="left"/>
      </w:pPr>
      <w:bookmarkStart w:id="1003" w:name="bookmark1003"/>
      <w:bookmarkEnd w:id="1003"/>
      <w:r>
        <w:rPr>
          <w:color w:val="000000"/>
          <w:spacing w:val="0"/>
          <w:w w:val="100"/>
          <w:position w:val="0"/>
        </w:rPr>
        <w:t>期末无通过融资租赁租入的固定资产</w:t>
      </w:r>
    </w:p>
    <w:p>
      <w:pPr>
        <w:pStyle w:val="Style44"/>
        <w:keepNext w:val="0"/>
        <w:keepLines w:val="0"/>
        <w:widowControl w:val="0"/>
        <w:numPr>
          <w:ilvl w:val="0"/>
          <w:numId w:val="51"/>
        </w:numPr>
        <w:shd w:val="clear" w:color="auto" w:fill="auto"/>
        <w:tabs>
          <w:tab w:pos="931" w:val="left"/>
        </w:tabs>
        <w:bidi w:val="0"/>
        <w:spacing w:before="0" w:after="240" w:line="240" w:lineRule="auto"/>
        <w:ind w:left="0" w:right="0" w:firstLine="520"/>
        <w:jc w:val="left"/>
      </w:pPr>
      <w:bookmarkStart w:id="1004" w:name="bookmark1004"/>
      <w:bookmarkEnd w:id="1004"/>
      <w:r>
        <w:rPr>
          <w:color w:val="000000"/>
          <w:spacing w:val="0"/>
          <w:w w:val="100"/>
          <w:position w:val="0"/>
        </w:rPr>
        <w:t>期末无未办妥产权证书的固定资产</w:t>
      </w:r>
    </w:p>
    <w:p>
      <w:pPr>
        <w:pStyle w:val="Style44"/>
        <w:keepNext w:val="0"/>
        <w:keepLines w:val="0"/>
        <w:widowControl w:val="0"/>
        <w:numPr>
          <w:ilvl w:val="0"/>
          <w:numId w:val="51"/>
        </w:numPr>
        <w:shd w:val="clear" w:color="auto" w:fill="auto"/>
        <w:tabs>
          <w:tab w:pos="931" w:val="left"/>
        </w:tabs>
        <w:bidi w:val="0"/>
        <w:spacing w:before="0" w:after="200" w:line="240" w:lineRule="auto"/>
        <w:ind w:left="0" w:right="0" w:firstLine="520"/>
        <w:jc w:val="left"/>
        <w:sectPr>
          <w:headerReference w:type="default" r:id="rId123"/>
          <w:footerReference w:type="default" r:id="rId124"/>
          <w:headerReference w:type="even" r:id="rId125"/>
          <w:footerReference w:type="even" r:id="rId126"/>
          <w:footnotePr>
            <w:pos w:val="pageBottom"/>
            <w:numFmt w:val="decimal"/>
            <w:numRestart w:val="continuous"/>
          </w:footnotePr>
          <w:pgSz w:w="11900" w:h="16840"/>
          <w:pgMar w:top="1136" w:right="885" w:bottom="1275" w:left="801" w:header="0" w:footer="3" w:gutter="0"/>
          <w:cols w:space="720"/>
          <w:noEndnote/>
          <w:rtlGutter w:val="0"/>
          <w:docGrid w:linePitch="360"/>
        </w:sectPr>
      </w:pPr>
      <w:bookmarkStart w:id="1005" w:name="bookmark1005"/>
      <w:bookmarkEnd w:id="1005"/>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日固定资产所有权受限制情况见本附注五、</w:t>
      </w:r>
      <w:r>
        <w:rPr>
          <w:rFonts w:ascii="Times New Roman" w:eastAsia="Times New Roman" w:hAnsi="Times New Roman" w:cs="Times New Roman"/>
          <w:color w:val="000000"/>
          <w:spacing w:val="0"/>
          <w:w w:val="100"/>
          <w:position w:val="0"/>
        </w:rPr>
        <w:t>56</w:t>
      </w:r>
      <w:r>
        <w:rPr>
          <w:color w:val="000000"/>
          <w:spacing w:val="0"/>
          <w:w w:val="100"/>
          <w:position w:val="0"/>
        </w:rPr>
        <w:t>之说明</w:t>
      </w:r>
    </w:p>
    <w:p>
      <w:pPr>
        <w:pStyle w:val="Style52"/>
        <w:keepNext/>
        <w:keepLines/>
        <w:widowControl w:val="0"/>
        <w:shd w:val="clear" w:color="auto" w:fill="auto"/>
        <w:bidi w:val="0"/>
        <w:spacing w:before="0" w:line="240" w:lineRule="auto"/>
        <w:ind w:left="0" w:right="0" w:firstLine="0"/>
        <w:jc w:val="left"/>
        <w:rPr>
          <w:sz w:val="24"/>
          <w:szCs w:val="24"/>
        </w:rPr>
      </w:pPr>
      <w:bookmarkStart w:id="1006" w:name="bookmark1006"/>
      <w:bookmarkStart w:id="1007" w:name="bookmark1007"/>
      <w:bookmarkStart w:id="1008" w:name="bookmark1008"/>
      <w:bookmarkStart w:id="1009" w:name="bookmark1009"/>
      <w:r>
        <w:rPr>
          <w:rFonts w:ascii="Times New Roman" w:eastAsia="Times New Roman" w:hAnsi="Times New Roman" w:cs="Times New Roman"/>
          <w:b w:val="0"/>
          <w:bCs w:val="0"/>
          <w:color w:val="000000"/>
          <w:spacing w:val="0"/>
          <w:w w:val="100"/>
          <w:position w:val="0"/>
          <w:sz w:val="24"/>
          <w:szCs w:val="24"/>
        </w:rPr>
        <w:t>1</w:t>
      </w:r>
      <w:bookmarkEnd w:id="1008"/>
      <w:r>
        <w:rPr>
          <w:rFonts w:ascii="Times New Roman" w:eastAsia="Times New Roman" w:hAnsi="Times New Roman" w:cs="Times New Roman"/>
          <w:b w:val="0"/>
          <w:bCs w:val="0"/>
          <w:color w:val="000000"/>
          <w:spacing w:val="0"/>
          <w:w w:val="100"/>
          <w:position w:val="0"/>
          <w:sz w:val="24"/>
          <w:szCs w:val="24"/>
        </w:rPr>
        <w:t>5</w:t>
      </w:r>
      <w:r>
        <w:rPr>
          <w:b w:val="0"/>
          <w:bCs w:val="0"/>
          <w:color w:val="000000"/>
          <w:spacing w:val="0"/>
          <w:w w:val="100"/>
          <w:position w:val="0"/>
          <w:sz w:val="24"/>
          <w:szCs w:val="24"/>
        </w:rPr>
        <w:t>、在建工程</w:t>
      </w:r>
      <w:bookmarkEnd w:id="1006"/>
      <w:bookmarkEnd w:id="1007"/>
      <w:bookmarkEnd w:id="1009"/>
    </w:p>
    <w:tbl>
      <w:tblPr>
        <w:tblOverlap w:val="never"/>
        <w:jc w:val="center"/>
        <w:tblLayout w:type="fixed"/>
      </w:tblPr>
      <w:tblGrid>
        <w:gridCol w:w="3216"/>
        <w:gridCol w:w="3365"/>
        <w:gridCol w:w="2314"/>
      </w:tblGrid>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2020.12.31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bCs/>
                <w:color w:val="000000"/>
                <w:spacing w:val="0"/>
                <w:w w:val="100"/>
                <w:position w:val="0"/>
              </w:rPr>
              <w:t>2019.12.31</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在建工程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27,439,978.77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47,658,082.58</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工程物资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7,783,624.33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8,253,868.08</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tabs>
                <w:tab w:pos="1018" w:val="left"/>
              </w:tabs>
              <w:bidi w:val="0"/>
              <w:spacing w:before="0" w:after="0" w:line="240" w:lineRule="auto"/>
              <w:ind w:left="0" w:right="0" w:firstLine="360"/>
              <w:jc w:val="left"/>
              <w:rPr>
                <w:sz w:val="20"/>
                <w:szCs w:val="20"/>
              </w:rPr>
            </w:pPr>
            <w:r>
              <w:rPr>
                <w:b/>
                <w:bCs/>
                <w:color w:val="000000"/>
                <w:spacing w:val="0"/>
                <w:w w:val="100"/>
                <w:position w:val="0"/>
                <w:sz w:val="20"/>
                <w:szCs w:val="20"/>
              </w:rPr>
              <w:t>合</w:t>
              <w:tab/>
              <w:t>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b/>
                <w:bCs/>
                <w:color w:val="000000"/>
                <w:spacing w:val="0"/>
                <w:w w:val="100"/>
                <w:position w:val="0"/>
              </w:rPr>
              <w:t>35,223,603.10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b/>
                <w:bCs/>
                <w:color w:val="000000"/>
                <w:spacing w:val="0"/>
                <w:w w:val="100"/>
                <w:position w:val="0"/>
              </w:rPr>
              <w:t>55,911,950.66</w:t>
            </w:r>
          </w:p>
        </w:tc>
      </w:tr>
    </w:tbl>
    <w:p>
      <w:pPr>
        <w:widowControl w:val="0"/>
        <w:spacing w:after="119" w:line="1" w:lineRule="exact"/>
      </w:pPr>
    </w:p>
    <w:p>
      <w:pPr>
        <w:pStyle w:val="Style44"/>
        <w:keepNext w:val="0"/>
        <w:keepLines w:val="0"/>
        <w:widowControl w:val="0"/>
        <w:shd w:val="clear" w:color="auto" w:fill="auto"/>
        <w:bidi w:val="0"/>
        <w:spacing w:before="0" w:after="120" w:line="240" w:lineRule="auto"/>
        <w:ind w:left="0" w:right="0" w:firstLine="680"/>
        <w:jc w:val="left"/>
      </w:pPr>
      <w:bookmarkStart w:id="1010" w:name="bookmark1010"/>
      <w:r>
        <w:rPr>
          <w:rFonts w:ascii="Times New Roman" w:eastAsia="Times New Roman" w:hAnsi="Times New Roman" w:cs="Times New Roman"/>
          <w:color w:val="000000"/>
          <w:spacing w:val="0"/>
          <w:w w:val="100"/>
          <w:position w:val="0"/>
          <w:sz w:val="24"/>
          <w:szCs w:val="24"/>
        </w:rPr>
        <w:t>（</w:t>
      </w:r>
      <w:bookmarkEnd w:id="1010"/>
      <w:r>
        <w:rPr>
          <w:rFonts w:ascii="Times New Roman" w:eastAsia="Times New Roman" w:hAnsi="Times New Roman" w:cs="Times New Roman"/>
          <w:color w:val="000000"/>
          <w:spacing w:val="0"/>
          <w:w w:val="100"/>
          <w:position w:val="0"/>
          <w:sz w:val="24"/>
          <w:szCs w:val="24"/>
        </w:rPr>
        <w:t>1</w:t>
      </w:r>
      <w:r>
        <w:rPr>
          <w:color w:val="000000"/>
          <w:spacing w:val="0"/>
          <w:w w:val="100"/>
          <w:position w:val="0"/>
        </w:rPr>
        <w:t>）在建工程情况</w:t>
      </w:r>
    </w:p>
    <w:tbl>
      <w:tblPr>
        <w:tblOverlap w:val="never"/>
        <w:jc w:val="center"/>
        <w:tblLayout w:type="fixed"/>
      </w:tblPr>
      <w:tblGrid>
        <w:gridCol w:w="1843"/>
        <w:gridCol w:w="1517"/>
        <w:gridCol w:w="763"/>
        <w:gridCol w:w="1584"/>
        <w:gridCol w:w="1656"/>
        <w:gridCol w:w="811"/>
        <w:gridCol w:w="1651"/>
      </w:tblGrid>
      <w:tr>
        <w:trPr>
          <w:trHeight w:val="40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2020.12.31</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2019.12.31</w:t>
            </w:r>
          </w:p>
        </w:tc>
      </w:tr>
      <w:tr>
        <w:trPr>
          <w:trHeight w:val="71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减值准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减值准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账面价值</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石墨化</w:t>
            </w:r>
            <w:r>
              <w:rPr>
                <w:rFonts w:ascii="Times New Roman" w:eastAsia="Times New Roman" w:hAnsi="Times New Roman" w:cs="Times New Roman"/>
                <w:color w:val="000000"/>
                <w:spacing w:val="0"/>
                <w:w w:val="100"/>
                <w:position w:val="0"/>
                <w:sz w:val="22"/>
                <w:szCs w:val="22"/>
              </w:rPr>
              <w:t>B</w:t>
            </w:r>
            <w:r>
              <w:rPr>
                <w:color w:val="000000"/>
                <w:spacing w:val="0"/>
                <w:w w:val="100"/>
                <w:position w:val="0"/>
                <w:sz w:val="20"/>
                <w:szCs w:val="20"/>
              </w:rPr>
              <w:t>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27,439,978.77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27,439,978.77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26,249,457.82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26,249,457.82</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碳化车间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15,566,116.35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15,566,116.35</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破碎车间（扩建项</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4,166,057.58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4,166,057.58</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生熟料车间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1,176,653.14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1,176,653.14</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499,797.69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499,797.69</w:t>
            </w:r>
          </w:p>
        </w:tc>
      </w:tr>
      <w:tr>
        <w:trPr>
          <w:trHeight w:val="58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27,439,978.77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27,439,978.77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47,658,082.58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47,658,082.58</w:t>
            </w:r>
          </w:p>
        </w:tc>
      </w:tr>
    </w:tbl>
    <w:p>
      <w:pPr>
        <w:widowControl w:val="0"/>
        <w:spacing w:after="119" w:line="1" w:lineRule="exact"/>
      </w:pPr>
    </w:p>
    <w:p>
      <w:pPr>
        <w:pStyle w:val="Style44"/>
        <w:keepNext w:val="0"/>
        <w:keepLines w:val="0"/>
        <w:widowControl w:val="0"/>
        <w:shd w:val="clear" w:color="auto" w:fill="auto"/>
        <w:bidi w:val="0"/>
        <w:spacing w:before="0" w:after="0" w:line="240" w:lineRule="auto"/>
        <w:ind w:left="0" w:right="0" w:firstLine="680"/>
        <w:jc w:val="left"/>
      </w:pPr>
      <w:bookmarkStart w:id="1011" w:name="bookmark1011"/>
      <w:r>
        <w:rPr>
          <w:rFonts w:ascii="Times New Roman" w:eastAsia="Times New Roman" w:hAnsi="Times New Roman" w:cs="Times New Roman"/>
          <w:color w:val="000000"/>
          <w:spacing w:val="0"/>
          <w:w w:val="100"/>
          <w:position w:val="0"/>
          <w:sz w:val="24"/>
          <w:szCs w:val="24"/>
        </w:rPr>
        <w:t>（</w:t>
      </w:r>
      <w:bookmarkEnd w:id="1011"/>
      <w:r>
        <w:rPr>
          <w:rFonts w:ascii="Times New Roman" w:eastAsia="Times New Roman" w:hAnsi="Times New Roman" w:cs="Times New Roman"/>
          <w:color w:val="000000"/>
          <w:spacing w:val="0"/>
          <w:w w:val="100"/>
          <w:position w:val="0"/>
          <w:sz w:val="24"/>
          <w:szCs w:val="24"/>
        </w:rPr>
        <w:t>2</w:t>
      </w:r>
      <w:r>
        <w:rPr>
          <w:color w:val="000000"/>
          <w:spacing w:val="0"/>
          <w:w w:val="100"/>
          <w:position w:val="0"/>
        </w:rPr>
        <w:t>）重要在建工程项目本年变动情况</w:t>
      </w:r>
    </w:p>
    <w:p>
      <w:pPr>
        <w:widowControl w:val="0"/>
        <w:spacing w:line="1" w:lineRule="exact"/>
      </w:pPr>
      <w:r>
        <mc:AlternateContent>
          <mc:Choice Requires="wps">
            <w:drawing>
              <wp:anchor distT="191770" distB="122555" distL="0" distR="0" simplePos="0" relativeHeight="125829420" behindDoc="0" locked="0" layoutInCell="1" allowOverlap="1">
                <wp:simplePos x="0" y="0"/>
                <wp:positionH relativeFrom="page">
                  <wp:posOffset>900430</wp:posOffset>
                </wp:positionH>
                <wp:positionV relativeFrom="paragraph">
                  <wp:posOffset>191770</wp:posOffset>
                </wp:positionV>
                <wp:extent cx="588010" cy="176530"/>
                <wp:wrapTopAndBottom/>
                <wp:docPr id="326" name="Shape 326"/>
                <a:graphic xmlns:a="http://schemas.openxmlformats.org/drawingml/2006/main">
                  <a:graphicData uri="http://schemas.microsoft.com/office/word/2010/wordprocessingShape">
                    <wps:wsp>
                      <wps:cNvSpPr txBox="1"/>
                      <wps:spPr>
                        <a:xfrm>
                          <a:ext cx="588010" cy="1765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工程名称</w:t>
                            </w:r>
                          </w:p>
                        </w:txbxContent>
                      </wps:txbx>
                      <wps:bodyPr wrap="none" lIns="0" tIns="0" rIns="0" bIns="0">
                        <a:noAutoFit/>
                      </wps:bodyPr>
                    </wps:wsp>
                  </a:graphicData>
                </a:graphic>
              </wp:anchor>
            </w:drawing>
          </mc:Choice>
          <mc:Fallback>
            <w:pict>
              <v:shape id="_x0000_s1352" type="#_x0000_t202" style="position:absolute;margin-left:70.900000000000006pt;margin-top:15.1pt;width:46.300000000000004pt;height:13.9pt;z-index:-125829333;mso-wrap-distance-left:0;mso-wrap-distance-top:15.1pt;mso-wrap-distance-right:0;mso-wrap-distance-bottom:9.6500000000000004pt;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工程名称</w:t>
                      </w:r>
                    </w:p>
                  </w:txbxContent>
                </v:textbox>
                <w10:wrap type="topAndBottom" anchorx="page"/>
              </v:shape>
            </w:pict>
          </mc:Fallback>
        </mc:AlternateContent>
      </w:r>
      <w:r>
        <mc:AlternateContent>
          <mc:Choice Requires="wps">
            <w:drawing>
              <wp:anchor distT="69850" distB="635" distL="0" distR="0" simplePos="0" relativeHeight="125829422" behindDoc="0" locked="0" layoutInCell="1" allowOverlap="1">
                <wp:simplePos x="0" y="0"/>
                <wp:positionH relativeFrom="page">
                  <wp:posOffset>1826895</wp:posOffset>
                </wp:positionH>
                <wp:positionV relativeFrom="paragraph">
                  <wp:posOffset>69850</wp:posOffset>
                </wp:positionV>
                <wp:extent cx="511810" cy="420370"/>
                <wp:wrapTopAndBottom/>
                <wp:docPr id="328" name="Shape 328"/>
                <a:graphic xmlns:a="http://schemas.openxmlformats.org/drawingml/2006/main">
                  <a:graphicData uri="http://schemas.microsoft.com/office/word/2010/wordprocessingShape">
                    <wps:wsp>
                      <wps:cNvSpPr txBox="1"/>
                      <wps:spPr>
                        <a:xfrm>
                          <a:ext cx="511810" cy="420370"/>
                        </a:xfrm>
                        <a:prstGeom prst="rect"/>
                        <a:noFill/>
                      </wps:spPr>
                      <wps:txbx>
                        <w:txbxContent>
                          <w:p>
                            <w:pPr>
                              <w:pStyle w:val="Style44"/>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rPr>
                              <w:t>预算数</w:t>
                            </w:r>
                          </w:p>
                          <w:p>
                            <w:pPr>
                              <w:pStyle w:val="Style4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（万元）</w:t>
                            </w:r>
                          </w:p>
                        </w:txbxContent>
                      </wps:txbx>
                      <wps:bodyPr lIns="0" tIns="0" rIns="0" bIns="0">
                        <a:noAutoFit/>
                      </wps:bodyPr>
                    </wps:wsp>
                  </a:graphicData>
                </a:graphic>
              </wp:anchor>
            </w:drawing>
          </mc:Choice>
          <mc:Fallback>
            <w:pict>
              <v:shape id="_x0000_s1354" type="#_x0000_t202" style="position:absolute;margin-left:143.84999999999999pt;margin-top:5.5pt;width:40.300000000000004pt;height:33.100000000000001pt;z-index:-125829331;mso-wrap-distance-left:0;mso-wrap-distance-top:5.5pt;mso-wrap-distance-right:0;mso-wrap-distance-bottom:5.0000000000000003e-002pt;mso-position-horizontal-relative:page" filled="f" stroked="f">
                <v:textbox inset="0,0,0,0">
                  <w:txbxContent>
                    <w:p>
                      <w:pPr>
                        <w:pStyle w:val="Style44"/>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rPr>
                        <w:t>预算数</w:t>
                      </w:r>
                    </w:p>
                    <w:p>
                      <w:pPr>
                        <w:pStyle w:val="Style4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（万元）</w:t>
                      </w:r>
                    </w:p>
                  </w:txbxContent>
                </v:textbox>
                <w10:wrap type="topAndBottom" anchorx="page"/>
              </v:shape>
            </w:pict>
          </mc:Fallback>
        </mc:AlternateContent>
      </w:r>
      <w:r>
        <mc:AlternateContent>
          <mc:Choice Requires="wps">
            <w:drawing>
              <wp:anchor distT="189230" distB="121920" distL="0" distR="0" simplePos="0" relativeHeight="125829424" behindDoc="0" locked="0" layoutInCell="1" allowOverlap="1">
                <wp:simplePos x="0" y="0"/>
                <wp:positionH relativeFrom="page">
                  <wp:posOffset>2506980</wp:posOffset>
                </wp:positionH>
                <wp:positionV relativeFrom="paragraph">
                  <wp:posOffset>189230</wp:posOffset>
                </wp:positionV>
                <wp:extent cx="585470" cy="179705"/>
                <wp:wrapTopAndBottom/>
                <wp:docPr id="330" name="Shape 330"/>
                <a:graphic xmlns:a="http://schemas.openxmlformats.org/drawingml/2006/main">
                  <a:graphicData uri="http://schemas.microsoft.com/office/word/2010/wordprocessingShape">
                    <wps:wsp>
                      <wps:cNvSpPr txBox="1"/>
                      <wps:spPr>
                        <a:xfrm>
                          <a:ext cx="585470" cy="17970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资金来源</w:t>
                            </w:r>
                          </w:p>
                        </w:txbxContent>
                      </wps:txbx>
                      <wps:bodyPr wrap="none" lIns="0" tIns="0" rIns="0" bIns="0">
                        <a:noAutoFit/>
                      </wps:bodyPr>
                    </wps:wsp>
                  </a:graphicData>
                </a:graphic>
              </wp:anchor>
            </w:drawing>
          </mc:Choice>
          <mc:Fallback>
            <w:pict>
              <v:shape id="_x0000_s1356" type="#_x0000_t202" style="position:absolute;margin-left:197.40000000000001pt;margin-top:14.9pt;width:46.100000000000001pt;height:14.15pt;z-index:-125829329;mso-wrap-distance-left:0;mso-wrap-distance-top:14.9pt;mso-wrap-distance-right:0;mso-wrap-distance-bottom:9.5999999999999996pt;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资金来源</w:t>
                      </w:r>
                    </w:p>
                  </w:txbxContent>
                </v:textbox>
                <w10:wrap type="topAndBottom" anchorx="page"/>
              </v:shape>
            </w:pict>
          </mc:Fallback>
        </mc:AlternateContent>
      </w:r>
      <w:r>
        <mc:AlternateContent>
          <mc:Choice Requires="wps">
            <w:drawing>
              <wp:anchor distT="0" distB="3175" distL="0" distR="0" simplePos="0" relativeHeight="125829426" behindDoc="0" locked="0" layoutInCell="1" allowOverlap="1">
                <wp:simplePos x="0" y="0"/>
                <wp:positionH relativeFrom="page">
                  <wp:posOffset>3545840</wp:posOffset>
                </wp:positionH>
                <wp:positionV relativeFrom="paragraph">
                  <wp:posOffset>0</wp:posOffset>
                </wp:positionV>
                <wp:extent cx="1009015" cy="487680"/>
                <wp:wrapTopAndBottom/>
                <wp:docPr id="332" name="Shape 332"/>
                <a:graphic xmlns:a="http://schemas.openxmlformats.org/drawingml/2006/main">
                  <a:graphicData uri="http://schemas.microsoft.com/office/word/2010/wordprocessingShape">
                    <wps:wsp>
                      <wps:cNvSpPr txBox="1"/>
                      <wps:spPr>
                        <a:xfrm>
                          <a:ext cx="1009015" cy="487680"/>
                        </a:xfrm>
                        <a:prstGeom prst="rect"/>
                        <a:noFill/>
                      </wps:spPr>
                      <wps:txbx>
                        <w:txbxContent>
                          <w:p>
                            <w:pPr>
                              <w:pStyle w:val="Style44"/>
                              <w:keepNext w:val="0"/>
                              <w:keepLines w:val="0"/>
                              <w:widowControl w:val="0"/>
                              <w:shd w:val="clear" w:color="auto" w:fill="auto"/>
                              <w:bidi w:val="0"/>
                              <w:spacing w:before="0" w:after="0" w:line="370" w:lineRule="exact"/>
                              <w:ind w:left="0" w:right="0" w:firstLine="0"/>
                              <w:jc w:val="center"/>
                            </w:pPr>
                            <w:r>
                              <w:rPr>
                                <w:b/>
                                <w:bCs/>
                                <w:color w:val="000000"/>
                                <w:spacing w:val="0"/>
                                <w:w w:val="100"/>
                                <w:position w:val="0"/>
                                <w:sz w:val="20"/>
                                <w:szCs w:val="20"/>
                              </w:rPr>
                              <w:t>工程投入占预算</w:t>
                              <w:br/>
                              <w:t>的比例</w:t>
                            </w:r>
                            <w:r>
                              <w:rPr>
                                <w:b/>
                                <w:bCs/>
                                <w:color w:val="000000"/>
                                <w:spacing w:val="0"/>
                                <w:w w:val="100"/>
                                <w:position w:val="0"/>
                              </w:rPr>
                              <w:t>％</w:t>
                            </w:r>
                          </w:p>
                        </w:txbxContent>
                      </wps:txbx>
                      <wps:bodyPr lIns="0" tIns="0" rIns="0" bIns="0">
                        <a:noAutoFit/>
                      </wps:bodyPr>
                    </wps:wsp>
                  </a:graphicData>
                </a:graphic>
              </wp:anchor>
            </w:drawing>
          </mc:Choice>
          <mc:Fallback>
            <w:pict>
              <v:shape id="_x0000_s1358" type="#_x0000_t202" style="position:absolute;margin-left:279.19999999999999pt;margin-top:0;width:79.450000000000003pt;height:38.399999999999999pt;z-index:-125829327;mso-wrap-distance-left:0;mso-wrap-distance-right:0;mso-wrap-distance-bottom:0.25pt;mso-position-horizontal-relative:page" filled="f" stroked="f">
                <v:textbox inset="0,0,0,0">
                  <w:txbxContent>
                    <w:p>
                      <w:pPr>
                        <w:pStyle w:val="Style44"/>
                        <w:keepNext w:val="0"/>
                        <w:keepLines w:val="0"/>
                        <w:widowControl w:val="0"/>
                        <w:shd w:val="clear" w:color="auto" w:fill="auto"/>
                        <w:bidi w:val="0"/>
                        <w:spacing w:before="0" w:after="0" w:line="370" w:lineRule="exact"/>
                        <w:ind w:left="0" w:right="0" w:firstLine="0"/>
                        <w:jc w:val="center"/>
                      </w:pPr>
                      <w:r>
                        <w:rPr>
                          <w:b/>
                          <w:bCs/>
                          <w:color w:val="000000"/>
                          <w:spacing w:val="0"/>
                          <w:w w:val="100"/>
                          <w:position w:val="0"/>
                          <w:sz w:val="20"/>
                          <w:szCs w:val="20"/>
                        </w:rPr>
                        <w:t>工程投入占预算</w:t>
                        <w:br/>
                        <w:t>的比例</w:t>
                      </w:r>
                      <w:r>
                        <w:rPr>
                          <w:b/>
                          <w:bCs/>
                          <w:color w:val="000000"/>
                          <w:spacing w:val="0"/>
                          <w:w w:val="100"/>
                          <w:position w:val="0"/>
                        </w:rPr>
                        <w:t>％</w:t>
                      </w:r>
                    </w:p>
                  </w:txbxContent>
                </v:textbox>
                <w10:wrap type="topAndBottom" anchorx="page"/>
              </v:shape>
            </w:pict>
          </mc:Fallback>
        </mc:AlternateContent>
      </w:r>
      <w:r>
        <mc:AlternateContent>
          <mc:Choice Requires="wps">
            <w:drawing>
              <wp:anchor distT="189230" distB="112395" distL="0" distR="0" simplePos="0" relativeHeight="125829428" behindDoc="0" locked="0" layoutInCell="1" allowOverlap="1">
                <wp:simplePos x="0" y="0"/>
                <wp:positionH relativeFrom="page">
                  <wp:posOffset>5286375</wp:posOffset>
                </wp:positionH>
                <wp:positionV relativeFrom="paragraph">
                  <wp:posOffset>189230</wp:posOffset>
                </wp:positionV>
                <wp:extent cx="731520" cy="189230"/>
                <wp:wrapTopAndBottom/>
                <wp:docPr id="334" name="Shape 334"/>
                <a:graphic xmlns:a="http://schemas.openxmlformats.org/drawingml/2006/main">
                  <a:graphicData uri="http://schemas.microsoft.com/office/word/2010/wordprocessingShape">
                    <wps:wsp>
                      <wps:cNvSpPr txBox="1"/>
                      <wps:spPr>
                        <a:xfrm>
                          <a:ext cx="731520" cy="1892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0"/>
                                <w:szCs w:val="20"/>
                              </w:rPr>
                              <w:t>工程进度</w:t>
                            </w:r>
                            <w:r>
                              <w:rPr>
                                <w:b/>
                                <w:bCs/>
                                <w:color w:val="000000"/>
                                <w:spacing w:val="0"/>
                                <w:w w:val="100"/>
                                <w:position w:val="0"/>
                              </w:rPr>
                              <w:t>％</w:t>
                            </w:r>
                          </w:p>
                        </w:txbxContent>
                      </wps:txbx>
                      <wps:bodyPr wrap="none" lIns="0" tIns="0" rIns="0" bIns="0">
                        <a:noAutoFit/>
                      </wps:bodyPr>
                    </wps:wsp>
                  </a:graphicData>
                </a:graphic>
              </wp:anchor>
            </w:drawing>
          </mc:Choice>
          <mc:Fallback>
            <w:pict>
              <v:shape id="_x0000_s1360" type="#_x0000_t202" style="position:absolute;margin-left:416.25pt;margin-top:14.9pt;width:57.600000000000001pt;height:14.9pt;z-index:-125829325;mso-wrap-distance-left:0;mso-wrap-distance-top:14.9pt;mso-wrap-distance-right:0;mso-wrap-distance-bottom:8.8499999999999996pt;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0"/>
                          <w:szCs w:val="20"/>
                        </w:rPr>
                        <w:t>工程进度</w:t>
                      </w:r>
                      <w:r>
                        <w:rPr>
                          <w:b/>
                          <w:bCs/>
                          <w:color w:val="000000"/>
                          <w:spacing w:val="0"/>
                          <w:w w:val="100"/>
                          <w:position w:val="0"/>
                        </w:rPr>
                        <w:t>％</w:t>
                      </w:r>
                    </w:p>
                  </w:txbxContent>
                </v:textbox>
                <w10:wrap type="topAndBottom" anchorx="page"/>
              </v:shape>
            </w:pict>
          </mc:Fallback>
        </mc:AlternateContent>
      </w:r>
    </w:p>
    <w:tbl>
      <w:tblPr>
        <w:tblOverlap w:val="never"/>
        <w:jc w:val="left"/>
        <w:tblLayout w:type="fixed"/>
      </w:tblPr>
      <w:tblGrid>
        <w:gridCol w:w="1522"/>
        <w:gridCol w:w="1258"/>
        <w:gridCol w:w="1157"/>
        <w:gridCol w:w="2688"/>
        <w:gridCol w:w="2381"/>
      </w:tblGrid>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石墨化</w:t>
            </w:r>
            <w:r>
              <w:rPr>
                <w:rFonts w:ascii="Times New Roman" w:eastAsia="Times New Roman" w:hAnsi="Times New Roman" w:cs="Times New Roman"/>
                <w:color w:val="000000"/>
                <w:spacing w:val="0"/>
                <w:w w:val="100"/>
                <w:position w:val="0"/>
                <w:sz w:val="22"/>
                <w:szCs w:val="22"/>
              </w:rPr>
              <w:t>B</w:t>
            </w:r>
            <w:r>
              <w:rPr>
                <w:color w:val="000000"/>
                <w:spacing w:val="0"/>
                <w:w w:val="100"/>
                <w:position w:val="0"/>
                <w:sz w:val="20"/>
                <w:szCs w:val="20"/>
              </w:rPr>
              <w:t>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6,552.35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自筹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35.08</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碳化车间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自筹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77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破碎车间（扩</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自筹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71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生熟料车间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465.03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自筹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前期部分转固，本年全 部完工</w:t>
            </w:r>
          </w:p>
        </w:tc>
      </w:tr>
    </w:tbl>
    <w:p>
      <w:pPr>
        <w:widowControl w:val="0"/>
        <w:spacing w:after="139" w:line="1" w:lineRule="exact"/>
      </w:pPr>
    </w:p>
    <w:p>
      <w:pPr>
        <w:pStyle w:val="Style44"/>
        <w:keepNext w:val="0"/>
        <w:keepLines w:val="0"/>
        <w:widowControl w:val="0"/>
        <w:shd w:val="clear" w:color="auto" w:fill="auto"/>
        <w:bidi w:val="0"/>
        <w:spacing w:before="0" w:after="140" w:line="240" w:lineRule="auto"/>
        <w:ind w:left="0" w:right="0" w:firstLine="700"/>
        <w:jc w:val="left"/>
        <w:rPr>
          <w:sz w:val="20"/>
          <w:szCs w:val="20"/>
        </w:rPr>
      </w:pPr>
      <w:r>
        <w:rPr>
          <w:color w:val="000000"/>
          <w:spacing w:val="0"/>
          <w:w w:val="100"/>
          <w:position w:val="0"/>
          <w:sz w:val="20"/>
          <w:szCs w:val="20"/>
        </w:rPr>
        <w:t>（续）</w:t>
      </w:r>
    </w:p>
    <w:tbl>
      <w:tblPr>
        <w:tblOverlap w:val="never"/>
        <w:jc w:val="center"/>
        <w:tblLayout w:type="fixed"/>
      </w:tblPr>
      <w:tblGrid>
        <w:gridCol w:w="1066"/>
        <w:gridCol w:w="1349"/>
        <w:gridCol w:w="1258"/>
        <w:gridCol w:w="1027"/>
        <w:gridCol w:w="1450"/>
        <w:gridCol w:w="1022"/>
        <w:gridCol w:w="1339"/>
        <w:gridCol w:w="1070"/>
      </w:tblGrid>
      <w:tr>
        <w:trPr>
          <w:trHeight w:val="40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工程名称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b/>
                <w:bCs/>
                <w:color w:val="000000"/>
                <w:spacing w:val="0"/>
                <w:w w:val="100"/>
                <w:position w:val="0"/>
                <w:sz w:val="20"/>
                <w:szCs w:val="20"/>
              </w:rPr>
              <w:t>2020.01.01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本期增加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本期减少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2020.12.31</w:t>
            </w:r>
          </w:p>
        </w:tc>
      </w:tr>
      <w:tr>
        <w:trPr>
          <w:trHeight w:val="101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2" w:lineRule="exact"/>
              <w:ind w:left="0" w:right="0" w:firstLine="0"/>
              <w:jc w:val="center"/>
              <w:rPr>
                <w:sz w:val="20"/>
                <w:szCs w:val="20"/>
              </w:rPr>
            </w:pPr>
            <w:r>
              <w:rPr>
                <w:b/>
                <w:bCs/>
                <w:color w:val="000000"/>
                <w:spacing w:val="0"/>
                <w:w w:val="100"/>
                <w:position w:val="0"/>
                <w:sz w:val="20"/>
                <w:szCs w:val="20"/>
              </w:rPr>
              <w:t>其中：利息 资本化金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转入固定资产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其他减少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center"/>
              <w:rPr>
                <w:sz w:val="20"/>
                <w:szCs w:val="20"/>
              </w:rPr>
            </w:pPr>
            <w:r>
              <w:rPr>
                <w:b/>
                <w:bCs/>
                <w:color w:val="000000"/>
                <w:spacing w:val="0"/>
                <w:w w:val="100"/>
                <w:position w:val="0"/>
                <w:sz w:val="20"/>
                <w:szCs w:val="20"/>
              </w:rPr>
              <w:t>其中：利 息资本化</w:t>
            </w:r>
          </w:p>
          <w:p>
            <w:pPr>
              <w:pStyle w:val="Style2"/>
              <w:keepNext w:val="0"/>
              <w:keepLines w:val="0"/>
              <w:widowControl w:val="0"/>
              <w:shd w:val="clear" w:color="auto" w:fill="auto"/>
              <w:bidi w:val="0"/>
              <w:spacing w:before="0" w:after="0" w:line="264" w:lineRule="exact"/>
              <w:ind w:left="0" w:right="0" w:firstLine="0"/>
              <w:jc w:val="center"/>
              <w:rPr>
                <w:sz w:val="20"/>
                <w:szCs w:val="20"/>
              </w:rPr>
            </w:pPr>
            <w:r>
              <w:rPr>
                <w:b/>
                <w:bCs/>
                <w:color w:val="000000"/>
                <w:spacing w:val="0"/>
                <w:w w:val="100"/>
                <w:position w:val="0"/>
                <w:sz w:val="20"/>
                <w:szCs w:val="20"/>
              </w:rPr>
              <w:t>金额</w:t>
            </w:r>
          </w:p>
        </w:tc>
      </w:tr>
      <w:tr>
        <w:trPr>
          <w:trHeight w:val="61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石墨化</w:t>
            </w:r>
            <w:r>
              <w:rPr>
                <w:rFonts w:ascii="Times New Roman" w:eastAsia="Times New Roman" w:hAnsi="Times New Roman" w:cs="Times New Roman"/>
                <w:color w:val="000000"/>
                <w:spacing w:val="0"/>
                <w:w w:val="100"/>
                <w:position w:val="0"/>
                <w:sz w:val="20"/>
                <w:szCs w:val="20"/>
              </w:rPr>
              <w:t>B</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车间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26,249,457.82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1,190,520.95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27,439,978.77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66"/>
        <w:gridCol w:w="1349"/>
        <w:gridCol w:w="1262"/>
        <w:gridCol w:w="1022"/>
        <w:gridCol w:w="1450"/>
        <w:gridCol w:w="1027"/>
        <w:gridCol w:w="1339"/>
        <w:gridCol w:w="1066"/>
      </w:tblGrid>
      <w:tr>
        <w:trPr>
          <w:trHeight w:val="6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碳化车间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15,566,116.35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1,583,704.25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17,149,820.60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5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破碎车间</w:t>
            </w:r>
          </w:p>
          <w:p>
            <w:pPr>
              <w:pStyle w:val="Style2"/>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（扩建项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4,166,057.58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642,633.81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4,808,691.39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生熟料车 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1,176,653.14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65,048.54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1,241,701.68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1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47,158,284.89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3,481,907.55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23,200,213.67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27,439,978.77</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44"/>
        <w:keepNext w:val="0"/>
        <w:keepLines w:val="0"/>
        <w:widowControl w:val="0"/>
        <w:shd w:val="clear" w:color="auto" w:fill="auto"/>
        <w:bidi w:val="0"/>
        <w:spacing w:before="0" w:after="220" w:line="485" w:lineRule="exact"/>
        <w:ind w:left="0" w:right="0" w:firstLine="520"/>
        <w:jc w:val="left"/>
      </w:pPr>
      <w:r>
        <w:rPr>
          <w:color w:val="000000"/>
          <w:spacing w:val="0"/>
          <w:w w:val="100"/>
          <w:position w:val="0"/>
        </w:rPr>
        <w:t>注：在建工程</w:t>
      </w:r>
      <w:r>
        <w:rPr>
          <w:rFonts w:ascii="Times New Roman" w:eastAsia="Times New Roman" w:hAnsi="Times New Roman" w:cs="Times New Roman"/>
          <w:color w:val="000000"/>
          <w:spacing w:val="0"/>
          <w:w w:val="100"/>
          <w:position w:val="0"/>
        </w:rPr>
        <w:t>-</w:t>
      </w:r>
      <w:r>
        <w:rPr>
          <w:color w:val="000000"/>
          <w:spacing w:val="0"/>
          <w:w w:val="100"/>
          <w:position w:val="0"/>
        </w:rPr>
        <w:t>石墨化</w:t>
      </w:r>
      <w:r>
        <w:rPr>
          <w:rFonts w:ascii="Times New Roman" w:eastAsia="Times New Roman" w:hAnsi="Times New Roman" w:cs="Times New Roman"/>
          <w:color w:val="000000"/>
          <w:spacing w:val="0"/>
          <w:w w:val="100"/>
          <w:position w:val="0"/>
        </w:rPr>
        <w:t>B</w:t>
      </w:r>
      <w:r>
        <w:rPr>
          <w:color w:val="000000"/>
          <w:spacing w:val="0"/>
          <w:w w:val="100"/>
          <w:position w:val="0"/>
        </w:rPr>
        <w:t>车间本年预算数较上年增加</w:t>
      </w:r>
      <w:r>
        <w:rPr>
          <w:rFonts w:ascii="Times New Roman" w:eastAsia="Times New Roman" w:hAnsi="Times New Roman" w:cs="Times New Roman"/>
          <w:color w:val="000000"/>
          <w:spacing w:val="0"/>
          <w:w w:val="100"/>
          <w:position w:val="0"/>
        </w:rPr>
        <w:t>2,307.52</w:t>
      </w:r>
      <w:r>
        <w:rPr>
          <w:color w:val="000000"/>
          <w:spacing w:val="0"/>
          <w:w w:val="100"/>
          <w:position w:val="0"/>
        </w:rPr>
        <w:t>万元，原因为企业在建造过程 中发现前期建造方案需更新，需加大投入改善导致。</w:t>
      </w:r>
    </w:p>
    <w:p>
      <w:pPr>
        <w:pStyle w:val="Style44"/>
        <w:keepNext w:val="0"/>
        <w:keepLines w:val="0"/>
        <w:widowControl w:val="0"/>
        <w:shd w:val="clear" w:color="auto" w:fill="auto"/>
        <w:bidi w:val="0"/>
        <w:spacing w:before="0" w:after="140" w:line="240" w:lineRule="auto"/>
        <w:ind w:left="0" w:right="0" w:firstLine="640"/>
        <w:jc w:val="left"/>
      </w:pPr>
      <w:bookmarkStart w:id="1012" w:name="bookmark1012"/>
      <w:r>
        <w:rPr>
          <w:rFonts w:ascii="Times New Roman" w:eastAsia="Times New Roman" w:hAnsi="Times New Roman" w:cs="Times New Roman"/>
          <w:color w:val="000000"/>
          <w:spacing w:val="0"/>
          <w:w w:val="100"/>
          <w:position w:val="0"/>
        </w:rPr>
        <w:t>（</w:t>
      </w:r>
      <w:bookmarkEnd w:id="1012"/>
      <w:r>
        <w:rPr>
          <w:rFonts w:ascii="Times New Roman" w:eastAsia="Times New Roman" w:hAnsi="Times New Roman" w:cs="Times New Roman"/>
          <w:color w:val="000000"/>
          <w:spacing w:val="0"/>
          <w:w w:val="100"/>
          <w:position w:val="0"/>
        </w:rPr>
        <w:t>3</w:t>
      </w:r>
      <w:r>
        <w:rPr>
          <w:color w:val="000000"/>
          <w:spacing w:val="0"/>
          <w:w w:val="100"/>
          <w:position w:val="0"/>
        </w:rPr>
        <w:t>）工程物资情况</w:t>
      </w:r>
    </w:p>
    <w:tbl>
      <w:tblPr>
        <w:tblOverlap w:val="never"/>
        <w:jc w:val="center"/>
        <w:tblLayout w:type="fixed"/>
      </w:tblPr>
      <w:tblGrid>
        <w:gridCol w:w="3058"/>
        <w:gridCol w:w="3010"/>
        <w:gridCol w:w="3043"/>
      </w:tblGrid>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类别</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2020.12.31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2019.12.31</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尚未安装的设备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6,815,244.46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6,753,023.38</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工程用材料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968,379.87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1,500,844.70</w:t>
            </w:r>
          </w:p>
        </w:tc>
      </w:tr>
      <w:tr>
        <w:trPr>
          <w:trHeight w:val="47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7,783,624.33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b/>
                <w:bCs/>
                <w:color w:val="000000"/>
                <w:spacing w:val="0"/>
                <w:w w:val="100"/>
                <w:position w:val="0"/>
              </w:rPr>
              <w:t>8,253,868.08</w:t>
            </w:r>
          </w:p>
        </w:tc>
      </w:tr>
    </w:tbl>
    <w:p>
      <w:pPr>
        <w:widowControl w:val="0"/>
        <w:spacing w:after="299" w:line="1" w:lineRule="exact"/>
      </w:pPr>
    </w:p>
    <w:p>
      <w:pPr>
        <w:pStyle w:val="Style52"/>
        <w:keepNext/>
        <w:keepLines/>
        <w:widowControl w:val="0"/>
        <w:shd w:val="clear" w:color="auto" w:fill="auto"/>
        <w:bidi w:val="0"/>
        <w:spacing w:before="0" w:after="420" w:line="240" w:lineRule="auto"/>
        <w:ind w:left="0" w:right="0" w:firstLine="0"/>
        <w:jc w:val="left"/>
        <w:rPr>
          <w:sz w:val="24"/>
          <w:szCs w:val="24"/>
        </w:rPr>
      </w:pPr>
      <w:bookmarkStart w:id="1013" w:name="bookmark1013"/>
      <w:bookmarkStart w:id="1014" w:name="bookmark1014"/>
      <w:bookmarkStart w:id="1015" w:name="bookmark1015"/>
      <w:bookmarkStart w:id="1016" w:name="bookmark1016"/>
      <w:r>
        <w:rPr>
          <w:rFonts w:ascii="Times New Roman" w:eastAsia="Times New Roman" w:hAnsi="Times New Roman" w:cs="Times New Roman"/>
          <w:b w:val="0"/>
          <w:bCs w:val="0"/>
          <w:color w:val="000000"/>
          <w:spacing w:val="0"/>
          <w:w w:val="100"/>
          <w:position w:val="0"/>
          <w:sz w:val="24"/>
          <w:szCs w:val="24"/>
        </w:rPr>
        <w:t>1</w:t>
      </w:r>
      <w:bookmarkEnd w:id="1015"/>
      <w:r>
        <w:rPr>
          <w:rFonts w:ascii="Times New Roman" w:eastAsia="Times New Roman" w:hAnsi="Times New Roman" w:cs="Times New Roman"/>
          <w:b w:val="0"/>
          <w:bCs w:val="0"/>
          <w:color w:val="000000"/>
          <w:spacing w:val="0"/>
          <w:w w:val="100"/>
          <w:position w:val="0"/>
          <w:sz w:val="24"/>
          <w:szCs w:val="24"/>
        </w:rPr>
        <w:t>6</w:t>
      </w:r>
      <w:r>
        <w:rPr>
          <w:b w:val="0"/>
          <w:bCs w:val="0"/>
          <w:color w:val="000000"/>
          <w:spacing w:val="0"/>
          <w:w w:val="100"/>
          <w:position w:val="0"/>
          <w:sz w:val="24"/>
          <w:szCs w:val="24"/>
        </w:rPr>
        <w:t>、无形资产</w:t>
      </w:r>
      <w:bookmarkEnd w:id="1013"/>
      <w:bookmarkEnd w:id="1014"/>
      <w:bookmarkEnd w:id="1016"/>
    </w:p>
    <w:p>
      <w:pPr>
        <w:pStyle w:val="Style52"/>
        <w:keepNext/>
        <w:keepLines/>
        <w:widowControl w:val="0"/>
        <w:shd w:val="clear" w:color="auto" w:fill="auto"/>
        <w:bidi w:val="0"/>
        <w:spacing w:before="0" w:after="0" w:line="240" w:lineRule="auto"/>
        <w:ind w:left="0" w:right="0" w:firstLine="640"/>
        <w:jc w:val="left"/>
      </w:pPr>
      <w:bookmarkStart w:id="1013" w:name="bookmark1013"/>
      <w:bookmarkStart w:id="1014" w:name="bookmark1014"/>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）无形资产情况</w:t>
      </w:r>
      <w:bookmarkEnd w:id="1013"/>
      <w:bookmarkEnd w:id="1014"/>
    </w:p>
    <w:p>
      <w:pPr>
        <w:widowControl w:val="0"/>
        <w:spacing w:line="1" w:lineRule="exact"/>
      </w:pPr>
      <w:r>
        <mc:AlternateContent>
          <mc:Choice Requires="wps">
            <w:drawing>
              <wp:anchor distT="0" distB="0" distL="0" distR="0" simplePos="0" relativeHeight="125829430" behindDoc="0" locked="0" layoutInCell="1" allowOverlap="1">
                <wp:simplePos x="0" y="0"/>
                <wp:positionH relativeFrom="page">
                  <wp:posOffset>1846580</wp:posOffset>
                </wp:positionH>
                <wp:positionV relativeFrom="paragraph">
                  <wp:posOffset>0</wp:posOffset>
                </wp:positionV>
                <wp:extent cx="411480" cy="389890"/>
                <wp:wrapTopAndBottom/>
                <wp:docPr id="336" name="Shape 336"/>
                <a:graphic xmlns:a="http://schemas.openxmlformats.org/drawingml/2006/main">
                  <a:graphicData uri="http://schemas.microsoft.com/office/word/2010/wordprocessingShape">
                    <wps:wsp>
                      <wps:cNvSpPr txBox="1"/>
                      <wps:spPr>
                        <a:xfrm>
                          <a:ext cx="411480" cy="389890"/>
                        </a:xfrm>
                        <a:prstGeom prst="rect"/>
                        <a:noFill/>
                      </wps:spPr>
                      <wps:txbx>
                        <w:txbxContent>
                          <w:p>
                            <w:pPr>
                              <w:pStyle w:val="Style84"/>
                              <w:keepNext w:val="0"/>
                              <w:keepLines w:val="0"/>
                              <w:widowControl w:val="0"/>
                              <w:shd w:val="clear" w:color="auto" w:fill="auto"/>
                              <w:bidi w:val="0"/>
                              <w:spacing w:before="0" w:after="0" w:line="307" w:lineRule="exact"/>
                              <w:ind w:left="0" w:right="0" w:firstLine="0"/>
                              <w:jc w:val="center"/>
                              <w:rPr>
                                <w:sz w:val="19"/>
                                <w:szCs w:val="19"/>
                              </w:rPr>
                            </w:pPr>
                            <w:r>
                              <w:rPr>
                                <w:b/>
                                <w:bCs/>
                                <w:color w:val="000000"/>
                                <w:spacing w:val="0"/>
                                <w:w w:val="100"/>
                                <w:position w:val="0"/>
                                <w:sz w:val="19"/>
                                <w:szCs w:val="19"/>
                              </w:rPr>
                              <w:t>土地使</w:t>
                              <w:br/>
                              <w:t>用权</w:t>
                            </w:r>
                          </w:p>
                        </w:txbxContent>
                      </wps:txbx>
                      <wps:bodyPr lIns="0" tIns="0" rIns="0" bIns="0">
                        <a:noAutoFit/>
                      </wps:bodyPr>
                    </wps:wsp>
                  </a:graphicData>
                </a:graphic>
              </wp:anchor>
            </w:drawing>
          </mc:Choice>
          <mc:Fallback>
            <w:pict>
              <v:shape id="_x0000_s1362" type="#_x0000_t202" style="position:absolute;margin-left:145.40000000000001pt;margin-top:0;width:32.399999999999999pt;height:30.699999999999999pt;z-index:-125829323;mso-wrap-distance-left:0;mso-wrap-distance-right:0;mso-position-horizontal-relative:page" filled="f" stroked="f">
                <v:textbox inset="0,0,0,0">
                  <w:txbxContent>
                    <w:p>
                      <w:pPr>
                        <w:pStyle w:val="Style84"/>
                        <w:keepNext w:val="0"/>
                        <w:keepLines w:val="0"/>
                        <w:widowControl w:val="0"/>
                        <w:shd w:val="clear" w:color="auto" w:fill="auto"/>
                        <w:bidi w:val="0"/>
                        <w:spacing w:before="0" w:after="0" w:line="307" w:lineRule="exact"/>
                        <w:ind w:left="0" w:right="0" w:firstLine="0"/>
                        <w:jc w:val="center"/>
                        <w:rPr>
                          <w:sz w:val="19"/>
                          <w:szCs w:val="19"/>
                        </w:rPr>
                      </w:pPr>
                      <w:r>
                        <w:rPr>
                          <w:b/>
                          <w:bCs/>
                          <w:color w:val="000000"/>
                          <w:spacing w:val="0"/>
                          <w:w w:val="100"/>
                          <w:position w:val="0"/>
                          <w:sz w:val="19"/>
                          <w:szCs w:val="19"/>
                        </w:rPr>
                        <w:t>土地使</w:t>
                        <w:br/>
                        <w:t>用权</w:t>
                      </w:r>
                    </w:p>
                  </w:txbxContent>
                </v:textbox>
                <w10:wrap type="topAndBottom" anchorx="page"/>
              </v:shape>
            </w:pict>
          </mc:Fallback>
        </mc:AlternateContent>
      </w:r>
      <w:r>
        <mc:AlternateContent>
          <mc:Choice Requires="wps">
            <w:drawing>
              <wp:anchor distT="137160" distB="81915" distL="0" distR="0" simplePos="0" relativeHeight="125829432" behindDoc="0" locked="0" layoutInCell="1" allowOverlap="1">
                <wp:simplePos x="0" y="0"/>
                <wp:positionH relativeFrom="page">
                  <wp:posOffset>2742565</wp:posOffset>
                </wp:positionH>
                <wp:positionV relativeFrom="paragraph">
                  <wp:posOffset>137160</wp:posOffset>
                </wp:positionV>
                <wp:extent cx="2877185" cy="170815"/>
                <wp:wrapTopAndBottom/>
                <wp:docPr id="338" name="Shape 338"/>
                <a:graphic xmlns:a="http://schemas.openxmlformats.org/drawingml/2006/main">
                  <a:graphicData uri="http://schemas.microsoft.com/office/word/2010/wordprocessingShape">
                    <wps:wsp>
                      <wps:cNvSpPr txBox="1"/>
                      <wps:spPr>
                        <a:xfrm>
                          <a:ext cx="2877185" cy="170815"/>
                        </a:xfrm>
                        <a:prstGeom prst="rect"/>
                        <a:noFill/>
                      </wps:spPr>
                      <wps:txbx>
                        <w:txbxContent>
                          <w:p>
                            <w:pPr>
                              <w:pStyle w:val="Style84"/>
                              <w:keepNext w:val="0"/>
                              <w:keepLines w:val="0"/>
                              <w:widowControl w:val="0"/>
                              <w:pBdr>
                                <w:top w:val="single" w:sz="4" w:space="0" w:color="auto"/>
                              </w:pBdr>
                              <w:shd w:val="clear" w:color="auto" w:fill="auto"/>
                              <w:tabs>
                                <w:tab w:pos="1291" w:val="left"/>
                                <w:tab w:pos="2390" w:val="left"/>
                                <w:tab w:pos="4080" w:val="left"/>
                              </w:tabs>
                              <w:bidi w:val="0"/>
                              <w:spacing w:before="0" w:after="0" w:line="240" w:lineRule="auto"/>
                              <w:ind w:left="0" w:right="0" w:firstLine="0"/>
                              <w:jc w:val="left"/>
                              <w:rPr>
                                <w:sz w:val="19"/>
                                <w:szCs w:val="19"/>
                              </w:rPr>
                            </w:pPr>
                            <w:r>
                              <w:rPr>
                                <w:b/>
                                <w:bCs/>
                                <w:color w:val="000000"/>
                                <w:spacing w:val="0"/>
                                <w:w w:val="100"/>
                                <w:position w:val="0"/>
                                <w:sz w:val="19"/>
                                <w:szCs w:val="19"/>
                              </w:rPr>
                              <w:t>专利权</w:t>
                              <w:tab/>
                              <w:t>商标权</w:t>
                              <w:tab/>
                              <w:t>非专利技术</w:t>
                              <w:tab/>
                              <w:t>软件</w:t>
                            </w:r>
                          </w:p>
                        </w:txbxContent>
                      </wps:txbx>
                      <wps:bodyPr wrap="none" lIns="0" tIns="0" rIns="0" bIns="0">
                        <a:noAutoFit/>
                      </wps:bodyPr>
                    </wps:wsp>
                  </a:graphicData>
                </a:graphic>
              </wp:anchor>
            </w:drawing>
          </mc:Choice>
          <mc:Fallback>
            <w:pict>
              <v:shape id="_x0000_s1364" type="#_x0000_t202" style="position:absolute;margin-left:215.95000000000002pt;margin-top:10.800000000000001pt;width:226.55000000000001pt;height:13.450000000000001pt;z-index:-125829321;mso-wrap-distance-left:0;mso-wrap-distance-top:10.800000000000001pt;mso-wrap-distance-right:0;mso-wrap-distance-bottom:6.4500000000000002pt;mso-position-horizontal-relative:page" filled="f" stroked="f">
                <v:textbox inset="0,0,0,0">
                  <w:txbxContent>
                    <w:p>
                      <w:pPr>
                        <w:pStyle w:val="Style84"/>
                        <w:keepNext w:val="0"/>
                        <w:keepLines w:val="0"/>
                        <w:widowControl w:val="0"/>
                        <w:pBdr>
                          <w:top w:val="single" w:sz="4" w:space="0" w:color="auto"/>
                        </w:pBdr>
                        <w:shd w:val="clear" w:color="auto" w:fill="auto"/>
                        <w:tabs>
                          <w:tab w:pos="1291" w:val="left"/>
                          <w:tab w:pos="2390" w:val="left"/>
                          <w:tab w:pos="4080" w:val="left"/>
                        </w:tabs>
                        <w:bidi w:val="0"/>
                        <w:spacing w:before="0" w:after="0" w:line="240" w:lineRule="auto"/>
                        <w:ind w:left="0" w:right="0" w:firstLine="0"/>
                        <w:jc w:val="left"/>
                        <w:rPr>
                          <w:sz w:val="19"/>
                          <w:szCs w:val="19"/>
                        </w:rPr>
                      </w:pPr>
                      <w:r>
                        <w:rPr>
                          <w:b/>
                          <w:bCs/>
                          <w:color w:val="000000"/>
                          <w:spacing w:val="0"/>
                          <w:w w:val="100"/>
                          <w:position w:val="0"/>
                          <w:sz w:val="19"/>
                          <w:szCs w:val="19"/>
                        </w:rPr>
                        <w:t>专利权</w:t>
                        <w:tab/>
                        <w:t>商标权</w:t>
                        <w:tab/>
                        <w:t>非专利技术</w:t>
                        <w:tab/>
                        <w:t>软件</w:t>
                      </w:r>
                    </w:p>
                  </w:txbxContent>
                </v:textbox>
                <w10:wrap type="topAndBottom" anchorx="page"/>
              </v:shape>
            </w:pict>
          </mc:Fallback>
        </mc:AlternateContent>
      </w:r>
    </w:p>
    <w:tbl>
      <w:tblPr>
        <w:tblOverlap w:val="never"/>
        <w:jc w:val="center"/>
        <w:tblLayout w:type="fixed"/>
      </w:tblPr>
      <w:tblGrid>
        <w:gridCol w:w="1622"/>
        <w:gridCol w:w="1277"/>
        <w:gridCol w:w="1277"/>
        <w:gridCol w:w="1334"/>
        <w:gridCol w:w="1358"/>
        <w:gridCol w:w="1387"/>
        <w:gridCol w:w="1450"/>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34,522,237.46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40,886,272.39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24,566,900.00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100,141,382.74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188,394,744.21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388,511,536.80</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、本年增加金额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17,848,772.06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17,848,772.06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833,019.71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833,019.71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17,015,752.35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17,015,752.35</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358,974.36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358,974.36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358,974.36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358,974.36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34,522,237.46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40,886,272.39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24,566,900.00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100,141,382.74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205,884,541.91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406,001,334.50</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4,750,528.97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8,111,285.47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5,161,362.24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44,986,006.50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106,660,118.48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169,669,301.66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、本年增加金额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1,062,325.09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1,023,049.90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978,613.64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95,041.68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18,916,199.07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22,075,229.38</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摊销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1,062,325.09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1,023,049.90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978,613.64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95,041.68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18,916,199.07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22,075,229.38</w:t>
            </w:r>
          </w:p>
        </w:tc>
      </w:tr>
    </w:tbl>
    <w:p>
      <w:pPr>
        <w:widowControl w:val="0"/>
        <w:spacing w:line="1" w:lineRule="exact"/>
      </w:pPr>
      <w:r>
        <w:br w:type="page"/>
      </w:r>
    </w:p>
    <w:tbl>
      <w:tblPr>
        <w:tblOverlap w:val="never"/>
        <w:jc w:val="center"/>
        <w:tblLayout w:type="fixed"/>
      </w:tblPr>
      <w:tblGrid>
        <w:gridCol w:w="1622"/>
        <w:gridCol w:w="1277"/>
        <w:gridCol w:w="1277"/>
        <w:gridCol w:w="1334"/>
        <w:gridCol w:w="1354"/>
        <w:gridCol w:w="1392"/>
        <w:gridCol w:w="1450"/>
      </w:tblGrid>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358,974.36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358,974.36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358.974.36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358,974.36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5,812,854.06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9,134,335.37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6,139,975.88</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tabs>
                <w:tab w:pos="1315" w:val="left"/>
                <w:tab w:pos="2736" w:val="left"/>
              </w:tabs>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45.081.048.18</w:t>
              <w:tab/>
              <w:t>125.217.343.19</w:t>
              <w:tab/>
              <w:t>191.385.556.68</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24,674,136.82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13,251,851.40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54,490,084.59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27,016,299.19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119,432,372.00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、本年增加金额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429.245.17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429.245.17</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429.245.17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429.245.17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24,674,136.82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13,251,851.40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54,490,084.59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27,445,544.36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119,861,617.17</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28,709,383.40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7,077,800.20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5,175,072.72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570,249.97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53,221,654.36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94,754,160.65</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、年初账面价值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29,771,708.49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8,100,850.10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6,153,686.36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665,291.65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54,718,326.54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99,409,863.14</w:t>
            </w:r>
          </w:p>
        </w:tc>
      </w:tr>
    </w:tbl>
    <w:p>
      <w:pPr>
        <w:widowControl w:val="0"/>
        <w:spacing w:after="119" w:line="1" w:lineRule="exact"/>
      </w:pPr>
    </w:p>
    <w:p>
      <w:pPr>
        <w:widowControl w:val="0"/>
        <w:spacing w:line="1" w:lineRule="exact"/>
      </w:pPr>
      <w:r>
        <mc:AlternateContent>
          <mc:Choice Requires="wps">
            <w:drawing>
              <wp:anchor distT="0" distB="0" distL="0" distR="0" simplePos="0" relativeHeight="125829434" behindDoc="0" locked="0" layoutInCell="1" allowOverlap="1">
                <wp:simplePos x="0" y="0"/>
                <wp:positionH relativeFrom="page">
                  <wp:posOffset>1796415</wp:posOffset>
                </wp:positionH>
                <wp:positionV relativeFrom="paragraph">
                  <wp:posOffset>0</wp:posOffset>
                </wp:positionV>
                <wp:extent cx="411480" cy="393065"/>
                <wp:wrapTopAndBottom/>
                <wp:docPr id="340" name="Shape 340"/>
                <a:graphic xmlns:a="http://schemas.openxmlformats.org/drawingml/2006/main">
                  <a:graphicData uri="http://schemas.microsoft.com/office/word/2010/wordprocessingShape">
                    <wps:wsp>
                      <wps:cNvSpPr txBox="1"/>
                      <wps:spPr>
                        <a:xfrm>
                          <a:ext cx="411480" cy="393065"/>
                        </a:xfrm>
                        <a:prstGeom prst="rect"/>
                        <a:noFill/>
                      </wps:spPr>
                      <wps:txbx>
                        <w:txbxContent>
                          <w:p>
                            <w:pPr>
                              <w:pStyle w:val="Style84"/>
                              <w:keepNext w:val="0"/>
                              <w:keepLines w:val="0"/>
                              <w:widowControl w:val="0"/>
                              <w:shd w:val="clear" w:color="auto" w:fill="auto"/>
                              <w:bidi w:val="0"/>
                              <w:spacing w:before="0" w:after="0" w:line="307" w:lineRule="exact"/>
                              <w:ind w:left="0" w:right="0" w:firstLine="0"/>
                              <w:jc w:val="center"/>
                              <w:rPr>
                                <w:sz w:val="19"/>
                                <w:szCs w:val="19"/>
                              </w:rPr>
                            </w:pPr>
                            <w:r>
                              <w:rPr>
                                <w:b/>
                                <w:bCs/>
                                <w:color w:val="000000"/>
                                <w:spacing w:val="0"/>
                                <w:w w:val="100"/>
                                <w:position w:val="0"/>
                                <w:sz w:val="19"/>
                                <w:szCs w:val="19"/>
                              </w:rPr>
                              <w:t>土地使</w:t>
                              <w:br/>
                              <w:t>用权</w:t>
                            </w:r>
                          </w:p>
                        </w:txbxContent>
                      </wps:txbx>
                      <wps:bodyPr lIns="0" tIns="0" rIns="0" bIns="0">
                        <a:noAutoFit/>
                      </wps:bodyPr>
                    </wps:wsp>
                  </a:graphicData>
                </a:graphic>
              </wp:anchor>
            </w:drawing>
          </mc:Choice>
          <mc:Fallback>
            <w:pict>
              <v:shape id="_x0000_s1366" type="#_x0000_t202" style="position:absolute;margin-left:141.45000000000002pt;margin-top:0;width:32.399999999999999pt;height:30.949999999999999pt;z-index:-125829319;mso-wrap-distance-left:0;mso-wrap-distance-right:0;mso-position-horizontal-relative:page" filled="f" stroked="f">
                <v:textbox inset="0,0,0,0">
                  <w:txbxContent>
                    <w:p>
                      <w:pPr>
                        <w:pStyle w:val="Style84"/>
                        <w:keepNext w:val="0"/>
                        <w:keepLines w:val="0"/>
                        <w:widowControl w:val="0"/>
                        <w:shd w:val="clear" w:color="auto" w:fill="auto"/>
                        <w:bidi w:val="0"/>
                        <w:spacing w:before="0" w:after="0" w:line="307" w:lineRule="exact"/>
                        <w:ind w:left="0" w:right="0" w:firstLine="0"/>
                        <w:jc w:val="center"/>
                        <w:rPr>
                          <w:sz w:val="19"/>
                          <w:szCs w:val="19"/>
                        </w:rPr>
                      </w:pPr>
                      <w:r>
                        <w:rPr>
                          <w:b/>
                          <w:bCs/>
                          <w:color w:val="000000"/>
                          <w:spacing w:val="0"/>
                          <w:w w:val="100"/>
                          <w:position w:val="0"/>
                          <w:sz w:val="19"/>
                          <w:szCs w:val="19"/>
                        </w:rPr>
                        <w:t>土地使</w:t>
                        <w:br/>
                        <w:t>用权</w:t>
                      </w:r>
                    </w:p>
                  </w:txbxContent>
                </v:textbox>
                <w10:wrap type="topAndBottom" anchorx="page"/>
              </v:shape>
            </w:pict>
          </mc:Fallback>
        </mc:AlternateContent>
      </w:r>
      <w:r>
        <mc:AlternateContent>
          <mc:Choice Requires="wps">
            <w:drawing>
              <wp:anchor distT="137160" distB="85090" distL="0" distR="0" simplePos="0" relativeHeight="125829436" behindDoc="0" locked="0" layoutInCell="1" allowOverlap="1">
                <wp:simplePos x="0" y="0"/>
                <wp:positionH relativeFrom="page">
                  <wp:posOffset>2692400</wp:posOffset>
                </wp:positionH>
                <wp:positionV relativeFrom="paragraph">
                  <wp:posOffset>137160</wp:posOffset>
                </wp:positionV>
                <wp:extent cx="2877185" cy="170815"/>
                <wp:wrapTopAndBottom/>
                <wp:docPr id="342" name="Shape 342"/>
                <a:graphic xmlns:a="http://schemas.openxmlformats.org/drawingml/2006/main">
                  <a:graphicData uri="http://schemas.microsoft.com/office/word/2010/wordprocessingShape">
                    <wps:wsp>
                      <wps:cNvSpPr txBox="1"/>
                      <wps:spPr>
                        <a:xfrm>
                          <a:ext cx="2877185" cy="170815"/>
                        </a:xfrm>
                        <a:prstGeom prst="rect"/>
                        <a:noFill/>
                      </wps:spPr>
                      <wps:txbx>
                        <w:txbxContent>
                          <w:p>
                            <w:pPr>
                              <w:pStyle w:val="Style84"/>
                              <w:keepNext w:val="0"/>
                              <w:keepLines w:val="0"/>
                              <w:widowControl w:val="0"/>
                              <w:pBdr>
                                <w:top w:val="single" w:sz="4" w:space="0" w:color="auto"/>
                              </w:pBdr>
                              <w:shd w:val="clear" w:color="auto" w:fill="auto"/>
                              <w:tabs>
                                <w:tab w:pos="1291" w:val="left"/>
                                <w:tab w:pos="2390" w:val="left"/>
                                <w:tab w:pos="4080" w:val="left"/>
                              </w:tabs>
                              <w:bidi w:val="0"/>
                              <w:spacing w:before="0" w:after="0" w:line="240" w:lineRule="auto"/>
                              <w:ind w:left="0" w:right="0" w:firstLine="0"/>
                              <w:jc w:val="left"/>
                              <w:rPr>
                                <w:sz w:val="19"/>
                                <w:szCs w:val="19"/>
                              </w:rPr>
                            </w:pPr>
                            <w:r>
                              <w:rPr>
                                <w:b/>
                                <w:bCs/>
                                <w:color w:val="000000"/>
                                <w:spacing w:val="0"/>
                                <w:w w:val="100"/>
                                <w:position w:val="0"/>
                                <w:sz w:val="19"/>
                                <w:szCs w:val="19"/>
                              </w:rPr>
                              <w:t>专利权</w:t>
                              <w:tab/>
                              <w:t>商标权</w:t>
                              <w:tab/>
                              <w:t>非专利技术</w:t>
                              <w:tab/>
                              <w:t>软件</w:t>
                            </w:r>
                          </w:p>
                        </w:txbxContent>
                      </wps:txbx>
                      <wps:bodyPr wrap="none" lIns="0" tIns="0" rIns="0" bIns="0">
                        <a:noAutoFit/>
                      </wps:bodyPr>
                    </wps:wsp>
                  </a:graphicData>
                </a:graphic>
              </wp:anchor>
            </w:drawing>
          </mc:Choice>
          <mc:Fallback>
            <w:pict>
              <v:shape id="_x0000_s1368" type="#_x0000_t202" style="position:absolute;margin-left:212.pt;margin-top:10.800000000000001pt;width:226.55000000000001pt;height:13.450000000000001pt;z-index:-125829317;mso-wrap-distance-left:0;mso-wrap-distance-top:10.800000000000001pt;mso-wrap-distance-right:0;mso-wrap-distance-bottom:6.7000000000000002pt;mso-position-horizontal-relative:page" filled="f" stroked="f">
                <v:textbox inset="0,0,0,0">
                  <w:txbxContent>
                    <w:p>
                      <w:pPr>
                        <w:pStyle w:val="Style84"/>
                        <w:keepNext w:val="0"/>
                        <w:keepLines w:val="0"/>
                        <w:widowControl w:val="0"/>
                        <w:pBdr>
                          <w:top w:val="single" w:sz="4" w:space="0" w:color="auto"/>
                        </w:pBdr>
                        <w:shd w:val="clear" w:color="auto" w:fill="auto"/>
                        <w:tabs>
                          <w:tab w:pos="1291" w:val="left"/>
                          <w:tab w:pos="2390" w:val="left"/>
                          <w:tab w:pos="4080" w:val="left"/>
                        </w:tabs>
                        <w:bidi w:val="0"/>
                        <w:spacing w:before="0" w:after="0" w:line="240" w:lineRule="auto"/>
                        <w:ind w:left="0" w:right="0" w:firstLine="0"/>
                        <w:jc w:val="left"/>
                        <w:rPr>
                          <w:sz w:val="19"/>
                          <w:szCs w:val="19"/>
                        </w:rPr>
                      </w:pPr>
                      <w:r>
                        <w:rPr>
                          <w:b/>
                          <w:bCs/>
                          <w:color w:val="000000"/>
                          <w:spacing w:val="0"/>
                          <w:w w:val="100"/>
                          <w:position w:val="0"/>
                          <w:sz w:val="19"/>
                          <w:szCs w:val="19"/>
                        </w:rPr>
                        <w:t>专利权</w:t>
                        <w:tab/>
                        <w:t>商标权</w:t>
                        <w:tab/>
                        <w:t>非专利技术</w:t>
                        <w:tab/>
                        <w:t>软件</w:t>
                      </w:r>
                    </w:p>
                  </w:txbxContent>
                </v:textbox>
                <w10:wrap type="topAndBottom" anchorx="page"/>
              </v:shape>
            </w:pict>
          </mc:Fallback>
        </mc:AlternateContent>
      </w:r>
    </w:p>
    <w:p>
      <w:pPr>
        <w:pStyle w:val="Style44"/>
        <w:keepNext w:val="0"/>
        <w:keepLines w:val="0"/>
        <w:widowControl w:val="0"/>
        <w:shd w:val="clear" w:color="auto" w:fill="auto"/>
        <w:bidi w:val="0"/>
        <w:spacing w:before="0" w:after="240" w:line="240" w:lineRule="auto"/>
        <w:ind w:left="0" w:right="0" w:firstLine="520"/>
        <w:jc w:val="left"/>
      </w:pPr>
      <w:r>
        <w:rPr>
          <w:color w:val="000000"/>
          <w:spacing w:val="0"/>
          <w:w w:val="100"/>
          <w:position w:val="0"/>
        </w:rPr>
        <w:t>注：本期末通过公司内部研究开发形成的无形资产占无形资产余额的比例为</w:t>
      </w:r>
      <w:r>
        <w:rPr>
          <w:rFonts w:ascii="Times New Roman" w:eastAsia="Times New Roman" w:hAnsi="Times New Roman" w:cs="Times New Roman"/>
          <w:color w:val="000000"/>
          <w:spacing w:val="0"/>
          <w:w w:val="100"/>
          <w:position w:val="0"/>
        </w:rPr>
        <w:t>4.19%</w:t>
      </w:r>
      <w:r>
        <w:rPr>
          <w:color w:val="000000"/>
          <w:spacing w:val="0"/>
          <w:w w:val="100"/>
          <w:position w:val="0"/>
        </w:rPr>
        <w:t>。</w:t>
      </w:r>
    </w:p>
    <w:p>
      <w:pPr>
        <w:pStyle w:val="Style44"/>
        <w:keepNext w:val="0"/>
        <w:keepLines w:val="0"/>
        <w:widowControl w:val="0"/>
        <w:shd w:val="clear" w:color="auto" w:fill="auto"/>
        <w:bidi w:val="0"/>
        <w:spacing w:before="0" w:after="240" w:line="240" w:lineRule="auto"/>
        <w:ind w:left="0" w:right="0" w:firstLine="52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日无形资产所有权受限制情况见本附注五、</w:t>
      </w:r>
      <w:r>
        <w:rPr>
          <w:rFonts w:ascii="Times New Roman" w:eastAsia="Times New Roman" w:hAnsi="Times New Roman" w:cs="Times New Roman"/>
          <w:color w:val="000000"/>
          <w:spacing w:val="0"/>
          <w:w w:val="100"/>
          <w:position w:val="0"/>
        </w:rPr>
        <w:t>56</w:t>
      </w:r>
      <w:r>
        <w:rPr>
          <w:color w:val="000000"/>
          <w:spacing w:val="0"/>
          <w:w w:val="100"/>
          <w:position w:val="0"/>
        </w:rPr>
        <w:t>之说明。</w:t>
      </w:r>
    </w:p>
    <w:p>
      <w:pPr>
        <w:pStyle w:val="Style44"/>
        <w:keepNext w:val="0"/>
        <w:keepLines w:val="0"/>
        <w:widowControl w:val="0"/>
        <w:numPr>
          <w:ilvl w:val="0"/>
          <w:numId w:val="53"/>
        </w:numPr>
        <w:shd w:val="clear" w:color="auto" w:fill="auto"/>
        <w:bidi w:val="0"/>
        <w:spacing w:before="0" w:after="400" w:line="240" w:lineRule="auto"/>
        <w:ind w:left="0" w:right="0" w:firstLine="660"/>
        <w:jc w:val="left"/>
      </w:pPr>
      <w:bookmarkStart w:id="1017" w:name="bookmark1017"/>
      <w:bookmarkEnd w:id="1017"/>
      <w:r>
        <w:rPr>
          <w:color w:val="000000"/>
          <w:spacing w:val="0"/>
          <w:w w:val="100"/>
          <w:position w:val="0"/>
        </w:rPr>
        <w:t>无未办妥产权证书的土地使用权</w:t>
      </w:r>
    </w:p>
    <w:p>
      <w:pPr>
        <w:pStyle w:val="Style52"/>
        <w:keepNext/>
        <w:keepLines/>
        <w:widowControl w:val="0"/>
        <w:shd w:val="clear" w:color="auto" w:fill="auto"/>
        <w:bidi w:val="0"/>
        <w:spacing w:before="0" w:line="240" w:lineRule="auto"/>
        <w:ind w:left="0" w:right="0" w:firstLine="0"/>
        <w:jc w:val="left"/>
        <w:rPr>
          <w:sz w:val="24"/>
          <w:szCs w:val="24"/>
        </w:rPr>
      </w:pPr>
      <w:bookmarkStart w:id="1018" w:name="bookmark1018"/>
      <w:bookmarkStart w:id="1019" w:name="bookmark1019"/>
      <w:bookmarkStart w:id="1020" w:name="bookmark1020"/>
      <w:bookmarkStart w:id="1021" w:name="bookmark1021"/>
      <w:r>
        <w:rPr>
          <w:rFonts w:ascii="Times New Roman" w:eastAsia="Times New Roman" w:hAnsi="Times New Roman" w:cs="Times New Roman"/>
          <w:b w:val="0"/>
          <w:bCs w:val="0"/>
          <w:color w:val="000000"/>
          <w:spacing w:val="0"/>
          <w:w w:val="100"/>
          <w:position w:val="0"/>
          <w:sz w:val="24"/>
          <w:szCs w:val="24"/>
        </w:rPr>
        <w:t>1</w:t>
      </w:r>
      <w:bookmarkEnd w:id="1020"/>
      <w:r>
        <w:rPr>
          <w:rFonts w:ascii="Times New Roman" w:eastAsia="Times New Roman" w:hAnsi="Times New Roman" w:cs="Times New Roman"/>
          <w:b w:val="0"/>
          <w:bCs w:val="0"/>
          <w:color w:val="000000"/>
          <w:spacing w:val="0"/>
          <w:w w:val="100"/>
          <w:position w:val="0"/>
          <w:sz w:val="24"/>
          <w:szCs w:val="24"/>
        </w:rPr>
        <w:t>7</w:t>
      </w:r>
      <w:r>
        <w:rPr>
          <w:b w:val="0"/>
          <w:bCs w:val="0"/>
          <w:color w:val="000000"/>
          <w:spacing w:val="0"/>
          <w:w w:val="100"/>
          <w:position w:val="0"/>
          <w:sz w:val="24"/>
          <w:szCs w:val="24"/>
        </w:rPr>
        <w:t>、开发支出</w:t>
      </w:r>
      <w:bookmarkEnd w:id="1018"/>
      <w:bookmarkEnd w:id="1019"/>
      <w:bookmarkEnd w:id="1021"/>
    </w:p>
    <w:tbl>
      <w:tblPr>
        <w:tblOverlap w:val="never"/>
        <w:jc w:val="center"/>
        <w:tblLayout w:type="fixed"/>
      </w:tblPr>
      <w:tblGrid>
        <w:gridCol w:w="1776"/>
        <w:gridCol w:w="1368"/>
        <w:gridCol w:w="1378"/>
        <w:gridCol w:w="1085"/>
        <w:gridCol w:w="1531"/>
        <w:gridCol w:w="1162"/>
        <w:gridCol w:w="1613"/>
      </w:tblGrid>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b/>
                <w:bCs/>
                <w:color w:val="000000"/>
                <w:spacing w:val="0"/>
                <w:w w:val="100"/>
                <w:position w:val="0"/>
                <w:sz w:val="19"/>
                <w:szCs w:val="19"/>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期初余额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本期增加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期末余额</w:t>
            </w:r>
          </w:p>
        </w:tc>
      </w:tr>
      <w:tr>
        <w:trPr>
          <w:trHeight w:val="61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b/>
                <w:bCs/>
                <w:color w:val="000000"/>
                <w:spacing w:val="0"/>
                <w:w w:val="100"/>
                <w:position w:val="0"/>
                <w:sz w:val="19"/>
                <w:szCs w:val="19"/>
              </w:rPr>
              <w:t>内部开发支出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9"/>
                <w:szCs w:val="19"/>
              </w:rPr>
            </w:pPr>
            <w:r>
              <w:rPr>
                <w:b/>
                <w:bCs/>
                <w:color w:val="000000"/>
                <w:spacing w:val="0"/>
                <w:w w:val="100"/>
                <w:position w:val="0"/>
                <w:sz w:val="19"/>
                <w:szCs w:val="19"/>
              </w:rPr>
              <w:t>确认为无形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9"/>
                <w:szCs w:val="19"/>
              </w:rPr>
            </w:pPr>
            <w:r>
              <w:rPr>
                <w:b/>
                <w:bCs/>
                <w:color w:val="000000"/>
                <w:spacing w:val="0"/>
                <w:w w:val="100"/>
                <w:position w:val="0"/>
                <w:sz w:val="19"/>
                <w:szCs w:val="19"/>
              </w:rPr>
              <w:t>转入当期损 益</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9"/>
                <w:szCs w:val="19"/>
              </w:rPr>
              <w:t>研发项目</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16,198,612.47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817,139.88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17,015,752.35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9"/>
                <w:szCs w:val="19"/>
              </w:rPr>
              <w:t>研发项目</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9,237,685.78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10,854,912.56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20,092,598.34</w:t>
            </w:r>
          </w:p>
        </w:tc>
      </w:tr>
      <w:tr>
        <w:trPr>
          <w:trHeight w:val="46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9"/>
                <w:szCs w:val="19"/>
              </w:rPr>
              <w:t>研发项目</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16,714,144.21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16,714,144.21</w:t>
            </w:r>
          </w:p>
        </w:tc>
      </w:tr>
      <w:tr>
        <w:trPr>
          <w:trHeight w:val="46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9"/>
                <w:szCs w:val="19"/>
              </w:rPr>
              <w:t>研发项目</w:t>
            </w: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11,450,817.04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11,450,817.04</w:t>
            </w:r>
          </w:p>
        </w:tc>
      </w:tr>
      <w:tr>
        <w:trPr>
          <w:trHeight w:val="46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9"/>
                <w:szCs w:val="19"/>
              </w:rPr>
              <w:t>研发项目</w:t>
            </w: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4,855,203.88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4,855,203.88</w:t>
            </w:r>
          </w:p>
        </w:tc>
      </w:tr>
      <w:tr>
        <w:trPr>
          <w:trHeight w:val="46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9"/>
                <w:szCs w:val="19"/>
              </w:rPr>
              <w:t>研发项目</w:t>
            </w: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1,756,239.64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1,756,239.64</w:t>
            </w:r>
          </w:p>
        </w:tc>
      </w:tr>
      <w:tr>
        <w:trPr>
          <w:trHeight w:val="46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19"/>
                <w:szCs w:val="19"/>
              </w:rPr>
              <w:t>研发项目</w:t>
            </w: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1,347,216.33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1,347,216.33</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b/>
                <w:bCs/>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25,436,298.25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47,795,673.54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17,015,752.35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rPr>
              <w:t>56,216,219.44</w:t>
            </w:r>
          </w:p>
        </w:tc>
      </w:tr>
    </w:tbl>
    <w:p>
      <w:pPr>
        <w:widowControl w:val="0"/>
        <w:spacing w:after="119" w:line="1" w:lineRule="exact"/>
      </w:pPr>
    </w:p>
    <w:p>
      <w:pPr>
        <w:pStyle w:val="Style44"/>
        <w:keepNext w:val="0"/>
        <w:keepLines w:val="0"/>
        <w:widowControl w:val="0"/>
        <w:shd w:val="clear" w:color="auto" w:fill="auto"/>
        <w:bidi w:val="0"/>
        <w:spacing w:before="0" w:after="240" w:line="240" w:lineRule="auto"/>
        <w:ind w:left="0" w:right="0" w:firstLine="660"/>
        <w:jc w:val="left"/>
        <w:rPr>
          <w:sz w:val="20"/>
          <w:szCs w:val="20"/>
        </w:rPr>
        <w:sectPr>
          <w:headerReference w:type="default" r:id="rId127"/>
          <w:footerReference w:type="default" r:id="rId128"/>
          <w:headerReference w:type="even" r:id="rId129"/>
          <w:footerReference w:type="even" r:id="rId130"/>
          <w:footnotePr>
            <w:pos w:val="pageBottom"/>
            <w:numFmt w:val="decimal"/>
            <w:numRestart w:val="continuous"/>
          </w:footnotePr>
          <w:pgSz w:w="11900" w:h="16840"/>
          <w:pgMar w:top="1136" w:right="885" w:bottom="1275" w:left="801" w:header="0" w:footer="3" w:gutter="0"/>
          <w:cols w:space="720"/>
          <w:noEndnote/>
          <w:rtlGutter w:val="0"/>
          <w:docGrid w:linePitch="360"/>
        </w:sectPr>
      </w:pPr>
      <w:r>
        <w:rPr>
          <w:color w:val="000000"/>
          <w:spacing w:val="0"/>
          <w:w w:val="100"/>
          <w:position w:val="0"/>
          <w:sz w:val="20"/>
          <w:szCs w:val="20"/>
        </w:rPr>
        <w:t>(续)</w:t>
      </w:r>
    </w:p>
    <w:p>
      <w:pPr>
        <w:pStyle w:val="Style38"/>
        <w:keepNext w:val="0"/>
        <w:keepLines w:val="0"/>
        <w:widowControl w:val="0"/>
        <w:shd w:val="clear" w:color="auto" w:fill="auto"/>
        <w:tabs>
          <w:tab w:pos="2454" w:val="left"/>
          <w:tab w:pos="5098" w:val="left"/>
          <w:tab w:pos="7623" w:val="left"/>
        </w:tabs>
        <w:bidi w:val="0"/>
        <w:spacing w:before="0" w:after="0" w:line="240" w:lineRule="auto"/>
        <w:ind w:left="14" w:right="0" w:firstLine="0"/>
        <w:jc w:val="left"/>
        <w:rPr>
          <w:sz w:val="20"/>
          <w:szCs w:val="20"/>
        </w:rPr>
      </w:pPr>
      <w:r>
        <mc:AlternateContent>
          <mc:Choice Requires="wps">
            <w:drawing>
              <wp:anchor distT="0" distB="0" distL="0" distR="0" simplePos="0" relativeHeight="125829438" behindDoc="0" locked="0" layoutInCell="1" allowOverlap="1">
                <wp:simplePos x="0" y="0"/>
                <wp:positionH relativeFrom="page">
                  <wp:posOffset>770890</wp:posOffset>
                </wp:positionH>
                <wp:positionV relativeFrom="margin">
                  <wp:posOffset>7703820</wp:posOffset>
                </wp:positionV>
                <wp:extent cx="1289050" cy="372110"/>
                <wp:wrapSquare wrapText="bothSides"/>
                <wp:docPr id="358" name="Shape 358"/>
                <a:graphic xmlns:a="http://schemas.openxmlformats.org/drawingml/2006/main">
                  <a:graphicData uri="http://schemas.microsoft.com/office/word/2010/wordprocessingShape">
                    <wps:wsp>
                      <wps:cNvSpPr txBox="1"/>
                      <wps:spPr>
                        <a:xfrm>
                          <a:ext cx="1289050" cy="372110"/>
                        </a:xfrm>
                        <a:prstGeom prst="rect"/>
                        <a:noFill/>
                      </wps:spPr>
                      <wps:txbx>
                        <w:txbxContent>
                          <w:p>
                            <w:pPr>
                              <w:pStyle w:val="Style44"/>
                              <w:keepNext w:val="0"/>
                              <w:keepLines w:val="0"/>
                              <w:widowControl w:val="0"/>
                              <w:pBdr>
                                <w:top w:val="single" w:sz="4" w:space="0" w:color="auto"/>
                              </w:pBdr>
                              <w:shd w:val="clear" w:color="auto" w:fill="auto"/>
                              <w:bidi w:val="0"/>
                              <w:spacing w:before="0" w:after="0" w:line="283" w:lineRule="exact"/>
                              <w:ind w:left="0" w:right="0" w:firstLine="0"/>
                              <w:jc w:val="left"/>
                              <w:rPr>
                                <w:sz w:val="20"/>
                                <w:szCs w:val="20"/>
                              </w:rPr>
                            </w:pPr>
                            <w:r>
                              <w:rPr>
                                <w:b/>
                                <w:bCs/>
                                <w:color w:val="000000"/>
                                <w:spacing w:val="0"/>
                                <w:w w:val="100"/>
                                <w:position w:val="0"/>
                                <w:sz w:val="20"/>
                                <w:szCs w:val="20"/>
                              </w:rPr>
                              <w:t>被投资单位名称或形 成商誉的事项</w:t>
                            </w:r>
                          </w:p>
                        </w:txbxContent>
                      </wps:txbx>
                      <wps:bodyPr lIns="0" tIns="0" rIns="0" bIns="0">
                        <a:noAutoFit/>
                      </wps:bodyPr>
                    </wps:wsp>
                  </a:graphicData>
                </a:graphic>
              </wp:anchor>
            </w:drawing>
          </mc:Choice>
          <mc:Fallback>
            <w:pict>
              <v:shape id="_x0000_s1384" type="#_x0000_t202" style="position:absolute;margin-left:60.700000000000003pt;margin-top:606.60000000000002pt;width:101.5pt;height:29.300000000000001pt;z-index:-125829315;mso-wrap-distance-left:0;mso-wrap-distance-right:0;mso-position-horizontal-relative:page;mso-position-vertical-relative:margin" filled="f" stroked="f">
                <v:textbox inset="0,0,0,0">
                  <w:txbxContent>
                    <w:p>
                      <w:pPr>
                        <w:pStyle w:val="Style44"/>
                        <w:keepNext w:val="0"/>
                        <w:keepLines w:val="0"/>
                        <w:widowControl w:val="0"/>
                        <w:pBdr>
                          <w:top w:val="single" w:sz="4" w:space="0" w:color="auto"/>
                        </w:pBdr>
                        <w:shd w:val="clear" w:color="auto" w:fill="auto"/>
                        <w:bidi w:val="0"/>
                        <w:spacing w:before="0" w:after="0" w:line="283" w:lineRule="exact"/>
                        <w:ind w:left="0" w:right="0" w:firstLine="0"/>
                        <w:jc w:val="left"/>
                        <w:rPr>
                          <w:sz w:val="20"/>
                          <w:szCs w:val="20"/>
                        </w:rPr>
                      </w:pPr>
                      <w:r>
                        <w:rPr>
                          <w:b/>
                          <w:bCs/>
                          <w:color w:val="000000"/>
                          <w:spacing w:val="0"/>
                          <w:w w:val="100"/>
                          <w:position w:val="0"/>
                          <w:sz w:val="20"/>
                          <w:szCs w:val="20"/>
                        </w:rPr>
                        <w:t>被投资单位名称或形 成商誉的事项</w:t>
                      </w:r>
                    </w:p>
                  </w:txbxContent>
                </v:textbox>
                <w10:wrap type="square" anchorx="page" anchory="margin"/>
              </v:shape>
            </w:pict>
          </mc:Fallback>
        </mc:AlternateContent>
      </w:r>
      <w:r>
        <w:rPr>
          <w:b/>
          <w:bCs/>
          <w:color w:val="000000"/>
          <w:spacing w:val="0"/>
          <w:w w:val="100"/>
          <w:position w:val="0"/>
          <w:sz w:val="20"/>
          <w:szCs w:val="20"/>
        </w:rPr>
        <w:t>项目</w:t>
        <w:tab/>
        <w:t>资本化开始时点</w:t>
        <w:tab/>
        <w:t>资本化的具体依据</w:t>
        <w:tab/>
        <w:t>截至期末的研发进度</w:t>
      </w:r>
    </w:p>
    <w:tbl>
      <w:tblPr>
        <w:tblOverlap w:val="never"/>
        <w:jc w:val="center"/>
        <w:tblLayout w:type="fixed"/>
      </w:tblPr>
      <w:tblGrid>
        <w:gridCol w:w="2405"/>
        <w:gridCol w:w="2438"/>
        <w:gridCol w:w="2501"/>
        <w:gridCol w:w="2870"/>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研发项目</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2018/7/27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已转入无形资产</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研发项目</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2019/8/22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工程化量产</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研发项目</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2020/1/18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样片验证、工程化调试阶段</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研发项目</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2020/3/14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工程化量产</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研发项目</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2020/8/12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样片验证、工程化调试阶段</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研发项目</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2020/10/22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样片验证、工程化调试阶段</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研发项目</w:t>
            </w: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2020/10/21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样片验证、工程化调试阶段</w:t>
            </w:r>
          </w:p>
        </w:tc>
      </w:tr>
    </w:tbl>
    <w:p>
      <w:pPr>
        <w:pStyle w:val="Style38"/>
        <w:keepNext w:val="0"/>
        <w:keepLines w:val="0"/>
        <w:widowControl w:val="0"/>
        <w:shd w:val="clear" w:color="auto" w:fill="auto"/>
        <w:bidi w:val="0"/>
        <w:spacing w:before="0" w:after="0" w:line="240" w:lineRule="auto"/>
        <w:ind w:left="77" w:right="0" w:firstLine="0"/>
        <w:jc w:val="left"/>
        <w:rPr>
          <w:sz w:val="24"/>
          <w:szCs w:val="24"/>
        </w:rPr>
      </w:pPr>
      <w:bookmarkStart w:id="1022" w:name="bookmark1022"/>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、商誉</w:t>
      </w:r>
      <w:bookmarkEnd w:id="1022"/>
    </w:p>
    <w:p>
      <w:pPr>
        <w:widowControl w:val="0"/>
        <w:spacing w:after="37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614" w:right="0" w:firstLine="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)商誉账面原值</w:t>
      </w:r>
    </w:p>
    <w:tbl>
      <w:tblPr>
        <w:tblOverlap w:val="never"/>
        <w:jc w:val="center"/>
        <w:tblLayout w:type="fixed"/>
      </w:tblPr>
      <w:tblGrid>
        <w:gridCol w:w="2477"/>
        <w:gridCol w:w="1853"/>
        <w:gridCol w:w="1133"/>
        <w:gridCol w:w="850"/>
        <w:gridCol w:w="710"/>
        <w:gridCol w:w="850"/>
        <w:gridCol w:w="1877"/>
      </w:tblGrid>
      <w:tr>
        <w:trPr>
          <w:trHeight w:val="43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326" w:lineRule="exact"/>
              <w:ind w:left="420" w:right="0" w:firstLine="0"/>
              <w:jc w:val="left"/>
              <w:rPr>
                <w:sz w:val="20"/>
                <w:szCs w:val="20"/>
              </w:rPr>
            </w:pPr>
            <w:r>
              <w:rPr>
                <w:b/>
                <w:bCs/>
                <w:color w:val="000000"/>
                <w:spacing w:val="0"/>
                <w:w w:val="100"/>
                <w:position w:val="0"/>
                <w:sz w:val="20"/>
                <w:szCs w:val="20"/>
              </w:rPr>
              <w:t>被投资单位名称或形 成商誉的事项</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期初余额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本期增加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本期减少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r>
      <w:tr>
        <w:trPr>
          <w:trHeight w:val="66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b/>
                <w:bCs/>
                <w:color w:val="000000"/>
                <w:spacing w:val="0"/>
                <w:w w:val="100"/>
                <w:position w:val="0"/>
                <w:sz w:val="20"/>
                <w:szCs w:val="20"/>
              </w:rPr>
              <w:t>企业合并 形成的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其他</w:t>
            </w:r>
          </w:p>
        </w:tc>
        <w:tc>
          <w:tcPr>
            <w:vMerge/>
            <w:tcBorders>
              <w:left w:val="single" w:sz="4"/>
            </w:tcBorders>
            <w:shd w:val="clear" w:color="auto" w:fill="FFFFFF"/>
            <w:vAlign w:val="center"/>
          </w:tcPr>
          <w:p>
            <w:pPr/>
          </w:p>
        </w:tc>
      </w:tr>
      <w:tr>
        <w:trPr>
          <w:trHeight w:val="61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88" w:lineRule="exact"/>
              <w:ind w:left="180" w:right="0" w:firstLine="0"/>
              <w:jc w:val="left"/>
              <w:rPr>
                <w:sz w:val="20"/>
                <w:szCs w:val="20"/>
              </w:rPr>
            </w:pPr>
            <w:r>
              <w:rPr>
                <w:color w:val="000000"/>
                <w:spacing w:val="0"/>
                <w:w w:val="100"/>
                <w:position w:val="0"/>
                <w:sz w:val="20"/>
                <w:szCs w:val="20"/>
              </w:rPr>
              <w:t>国民科技(深圳)有限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54,669,856.22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54,669,856.22</w:t>
            </w:r>
          </w:p>
        </w:tc>
      </w:tr>
      <w:tr>
        <w:trPr>
          <w:trHeight w:val="61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302" w:lineRule="exact"/>
              <w:ind w:left="180" w:right="0" w:firstLine="0"/>
              <w:jc w:val="left"/>
              <w:rPr>
                <w:sz w:val="20"/>
                <w:szCs w:val="20"/>
              </w:rPr>
            </w:pPr>
            <w:r>
              <w:rPr>
                <w:color w:val="000000"/>
                <w:spacing w:val="0"/>
                <w:w w:val="100"/>
                <w:position w:val="0"/>
                <w:sz w:val="20"/>
                <w:szCs w:val="20"/>
              </w:rPr>
              <w:t>深圳市斯诺实业发展有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1,044,288,257.48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1,044,288,257.48</w:t>
            </w:r>
          </w:p>
        </w:tc>
      </w:tr>
      <w:tr>
        <w:trPr>
          <w:trHeight w:val="38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1,098,958,113.70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1,098,958,113.70</w:t>
            </w:r>
          </w:p>
        </w:tc>
      </w:tr>
    </w:tbl>
    <w:p>
      <w:pPr>
        <w:widowControl w:val="0"/>
        <w:spacing w:after="11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643" w:right="0" w:firstLine="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)商誉减值准备</w:t>
      </w:r>
    </w:p>
    <w:tbl>
      <w:tblPr>
        <w:tblOverlap w:val="never"/>
        <w:jc w:val="center"/>
        <w:tblLayout w:type="fixed"/>
      </w:tblPr>
      <w:tblGrid>
        <w:gridCol w:w="2486"/>
        <w:gridCol w:w="1843"/>
        <w:gridCol w:w="1560"/>
        <w:gridCol w:w="706"/>
        <w:gridCol w:w="854"/>
        <w:gridCol w:w="850"/>
        <w:gridCol w:w="1771"/>
      </w:tblGrid>
      <w:tr>
        <w:trP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326" w:lineRule="exact"/>
              <w:ind w:left="420" w:right="0" w:firstLine="0"/>
              <w:jc w:val="left"/>
              <w:rPr>
                <w:sz w:val="20"/>
                <w:szCs w:val="20"/>
              </w:rPr>
            </w:pPr>
            <w:r>
              <w:rPr>
                <w:b/>
                <w:bCs/>
                <w:color w:val="000000"/>
                <w:spacing w:val="0"/>
                <w:w w:val="100"/>
                <w:position w:val="0"/>
                <w:sz w:val="20"/>
                <w:szCs w:val="20"/>
              </w:rPr>
              <w:t>被投资单位名称或形 成商誉的事项</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期初余额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本期增加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本期减少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r>
      <w:tr>
        <w:trPr>
          <w:trHeight w:val="42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80" w:firstLine="0"/>
              <w:jc w:val="right"/>
              <w:rPr>
                <w:sz w:val="20"/>
                <w:szCs w:val="20"/>
              </w:rPr>
            </w:pPr>
            <w:r>
              <w:rPr>
                <w:b/>
                <w:bCs/>
                <w:color w:val="000000"/>
                <w:spacing w:val="0"/>
                <w:w w:val="100"/>
                <w:position w:val="0"/>
                <w:sz w:val="20"/>
                <w:szCs w:val="2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80" w:firstLine="0"/>
              <w:jc w:val="right"/>
              <w:rPr>
                <w:sz w:val="20"/>
                <w:szCs w:val="20"/>
              </w:rPr>
            </w:pPr>
            <w:r>
              <w:rPr>
                <w:b/>
                <w:bCs/>
                <w:color w:val="000000"/>
                <w:spacing w:val="0"/>
                <w:w w:val="100"/>
                <w:position w:val="0"/>
                <w:sz w:val="20"/>
                <w:szCs w:val="20"/>
              </w:rPr>
              <w:t>其他</w:t>
            </w:r>
          </w:p>
        </w:tc>
        <w:tc>
          <w:tcPr>
            <w:vMerge/>
            <w:tcBorders>
              <w:left w:val="single" w:sz="4"/>
            </w:tcBorders>
            <w:shd w:val="clear" w:color="auto" w:fill="FFFFFF"/>
            <w:vAlign w:val="center"/>
          </w:tcPr>
          <w:p>
            <w:pP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88" w:lineRule="exact"/>
              <w:ind w:left="180" w:right="0" w:firstLine="0"/>
              <w:jc w:val="left"/>
              <w:rPr>
                <w:sz w:val="20"/>
                <w:szCs w:val="20"/>
              </w:rPr>
            </w:pPr>
            <w:r>
              <w:rPr>
                <w:color w:val="000000"/>
                <w:spacing w:val="0"/>
                <w:w w:val="100"/>
                <w:position w:val="0"/>
                <w:sz w:val="20"/>
                <w:szCs w:val="20"/>
              </w:rPr>
              <w:t>国民科技(深圳)有限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54,669,856.22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54,669,856.22</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98" w:lineRule="exact"/>
              <w:ind w:left="180" w:right="0" w:firstLine="0"/>
              <w:jc w:val="left"/>
              <w:rPr>
                <w:sz w:val="20"/>
                <w:szCs w:val="20"/>
              </w:rPr>
            </w:pPr>
            <w:r>
              <w:rPr>
                <w:color w:val="000000"/>
                <w:spacing w:val="0"/>
                <w:w w:val="100"/>
                <w:position w:val="0"/>
                <w:sz w:val="20"/>
                <w:szCs w:val="20"/>
              </w:rPr>
              <w:t>深圳市斯诺实业发展有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995,772,081.58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7,722,065.65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1,003,494,147.23</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1,050,441,937.80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7,722,065.65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1,058,164,003.45</w:t>
            </w:r>
          </w:p>
        </w:tc>
      </w:tr>
    </w:tbl>
    <w:p>
      <w:pPr>
        <w:pStyle w:val="Style38"/>
        <w:keepNext w:val="0"/>
        <w:keepLines w:val="0"/>
        <w:widowControl w:val="0"/>
        <w:shd w:val="clear" w:color="auto" w:fill="auto"/>
        <w:bidi w:val="0"/>
        <w:spacing w:before="0" w:after="0" w:line="240" w:lineRule="auto"/>
        <w:ind w:left="643" w:right="0" w:firstLine="0"/>
        <w:jc w:val="left"/>
      </w:pP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)商誉账面价值</w:t>
      </w:r>
    </w:p>
    <w:p>
      <w:pPr>
        <w:widowControl w:val="0"/>
        <w:spacing w:after="379" w:line="1" w:lineRule="exact"/>
      </w:pPr>
    </w:p>
    <w:p>
      <w:pPr>
        <w:widowControl w:val="0"/>
        <w:spacing w:line="1" w:lineRule="exact"/>
      </w:pPr>
    </w:p>
    <w:tbl>
      <w:tblPr>
        <w:tblOverlap w:val="never"/>
        <w:jc w:val="left"/>
        <w:tblLayout w:type="fixed"/>
      </w:tblPr>
      <w:tblGrid>
        <w:gridCol w:w="2486"/>
        <w:gridCol w:w="1843"/>
        <w:gridCol w:w="3970"/>
        <w:gridCol w:w="1771"/>
      </w:tblGrid>
      <w:tr>
        <w:trPr>
          <w:trHeight w:val="715" w:hRule="exact"/>
        </w:trPr>
        <w:tc>
          <w:tcPr>
            <w:tcBorders>
              <w:top w:val="single" w:sz="4"/>
            </w:tcBorders>
            <w:shd w:val="clear" w:color="auto" w:fill="FFFFFF"/>
            <w:vAlign w:val="center"/>
          </w:tcPr>
          <w:p>
            <w:pPr>
              <w:pStyle w:val="Style2"/>
              <w:keepNext w:val="0"/>
              <w:keepLines w:val="0"/>
              <w:framePr w:w="10070" w:h="1186" w:vSpace="571" w:wrap="notBeside" w:vAnchor="text" w:hAnchor="text" w:x="73" w:y="572"/>
              <w:widowControl w:val="0"/>
              <w:shd w:val="clear" w:color="auto" w:fill="auto"/>
              <w:bidi w:val="0"/>
              <w:spacing w:before="0" w:after="0" w:line="298" w:lineRule="exact"/>
              <w:ind w:left="180" w:right="0" w:firstLine="0"/>
              <w:jc w:val="left"/>
              <w:rPr>
                <w:sz w:val="20"/>
                <w:szCs w:val="20"/>
              </w:rPr>
            </w:pPr>
            <w:r>
              <w:rPr>
                <w:color w:val="000000"/>
                <w:spacing w:val="0"/>
                <w:w w:val="100"/>
                <w:position w:val="0"/>
                <w:sz w:val="20"/>
                <w:szCs w:val="20"/>
              </w:rPr>
              <w:t>深圳市斯诺实业发展有 限公司</w:t>
            </w:r>
          </w:p>
        </w:tc>
        <w:tc>
          <w:tcPr>
            <w:tcBorders>
              <w:top w:val="single" w:sz="4"/>
              <w:left w:val="single" w:sz="4"/>
            </w:tcBorders>
            <w:shd w:val="clear" w:color="auto" w:fill="FFFFFF"/>
            <w:vAlign w:val="center"/>
          </w:tcPr>
          <w:p>
            <w:pPr>
              <w:pStyle w:val="Style2"/>
              <w:keepNext w:val="0"/>
              <w:keepLines w:val="0"/>
              <w:framePr w:w="10070" w:h="1186" w:vSpace="571" w:wrap="notBeside" w:vAnchor="text" w:hAnchor="text" w:x="73" w:y="572"/>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48,516,175.90</w:t>
            </w:r>
          </w:p>
        </w:tc>
        <w:tc>
          <w:tcPr>
            <w:tcBorders>
              <w:top w:val="single" w:sz="4"/>
              <w:left w:val="single" w:sz="4"/>
            </w:tcBorders>
            <w:shd w:val="clear" w:color="auto" w:fill="FFFFFF"/>
            <w:vAlign w:val="center"/>
          </w:tcPr>
          <w:p>
            <w:pPr>
              <w:pStyle w:val="Style2"/>
              <w:keepNext w:val="0"/>
              <w:keepLines w:val="0"/>
              <w:framePr w:w="10070" w:h="1186" w:vSpace="571" w:wrap="notBeside" w:vAnchor="text" w:hAnchor="text" w:x="73" w:y="572"/>
              <w:widowControl w:val="0"/>
              <w:shd w:val="clear" w:color="auto" w:fill="auto"/>
              <w:bidi w:val="0"/>
              <w:spacing w:before="0" w:after="0" w:line="240" w:lineRule="auto"/>
              <w:ind w:left="2680" w:right="0" w:firstLine="0"/>
              <w:jc w:val="left"/>
            </w:pPr>
            <w:r>
              <w:rPr>
                <w:rFonts w:ascii="Times New Roman" w:eastAsia="Times New Roman" w:hAnsi="Times New Roman" w:cs="Times New Roman"/>
                <w:color w:val="000000"/>
                <w:spacing w:val="0"/>
                <w:w w:val="100"/>
                <w:position w:val="0"/>
              </w:rPr>
              <w:t>7,722,065.65</w:t>
            </w:r>
          </w:p>
        </w:tc>
        <w:tc>
          <w:tcPr>
            <w:tcBorders>
              <w:top w:val="single" w:sz="4"/>
              <w:left w:val="single" w:sz="4"/>
            </w:tcBorders>
            <w:shd w:val="clear" w:color="auto" w:fill="FFFFFF"/>
            <w:vAlign w:val="center"/>
          </w:tcPr>
          <w:p>
            <w:pPr>
              <w:pStyle w:val="Style2"/>
              <w:keepNext w:val="0"/>
              <w:keepLines w:val="0"/>
              <w:framePr w:w="10070" w:h="1186" w:vSpace="571" w:wrap="notBeside" w:vAnchor="text" w:hAnchor="text" w:x="73" w:y="572"/>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40,794,110.25</w:t>
            </w:r>
          </w:p>
        </w:tc>
      </w:tr>
      <w:tr>
        <w:trPr>
          <w:trHeight w:val="470" w:hRule="exact"/>
        </w:trPr>
        <w:tc>
          <w:tcPr>
            <w:tcBorders>
              <w:top w:val="single" w:sz="4"/>
              <w:bottom w:val="single" w:sz="4"/>
            </w:tcBorders>
            <w:shd w:val="clear" w:color="auto" w:fill="FFFFFF"/>
            <w:vAlign w:val="center"/>
          </w:tcPr>
          <w:p>
            <w:pPr>
              <w:pStyle w:val="Style2"/>
              <w:keepNext w:val="0"/>
              <w:keepLines w:val="0"/>
              <w:framePr w:w="10070" w:h="1186" w:vSpace="571" w:wrap="notBeside" w:vAnchor="text" w:hAnchor="text" w:x="73" w:y="572"/>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framePr w:w="10070" w:h="1186" w:vSpace="571" w:wrap="notBeside" w:vAnchor="text" w:hAnchor="text" w:x="73" w:y="572"/>
              <w:widowControl w:val="0"/>
              <w:shd w:val="clear" w:color="auto" w:fill="auto"/>
              <w:bidi w:val="0"/>
              <w:spacing w:before="0" w:after="0" w:line="240" w:lineRule="auto"/>
              <w:ind w:left="0" w:right="0" w:firstLine="440"/>
              <w:jc w:val="left"/>
            </w:pPr>
            <w:r>
              <w:rPr>
                <w:rFonts w:ascii="Times New Roman" w:eastAsia="Times New Roman" w:hAnsi="Times New Roman" w:cs="Times New Roman"/>
                <w:b/>
                <w:bCs/>
                <w:color w:val="000000"/>
                <w:spacing w:val="0"/>
                <w:w w:val="100"/>
                <w:position w:val="0"/>
              </w:rPr>
              <w:t>48,516,175.90</w:t>
            </w:r>
          </w:p>
        </w:tc>
        <w:tc>
          <w:tcPr>
            <w:tcBorders>
              <w:top w:val="single" w:sz="4"/>
              <w:left w:val="single" w:sz="4"/>
              <w:bottom w:val="single" w:sz="4"/>
            </w:tcBorders>
            <w:shd w:val="clear" w:color="auto" w:fill="FFFFFF"/>
            <w:vAlign w:val="center"/>
          </w:tcPr>
          <w:p>
            <w:pPr>
              <w:pStyle w:val="Style2"/>
              <w:keepNext w:val="0"/>
              <w:keepLines w:val="0"/>
              <w:framePr w:w="10070" w:h="1186" w:vSpace="571" w:wrap="notBeside" w:vAnchor="text" w:hAnchor="text" w:x="73" w:y="572"/>
              <w:widowControl w:val="0"/>
              <w:shd w:val="clear" w:color="auto" w:fill="auto"/>
              <w:bidi w:val="0"/>
              <w:spacing w:before="0" w:after="0" w:line="240" w:lineRule="auto"/>
              <w:ind w:left="2680" w:right="0" w:firstLine="0"/>
              <w:jc w:val="left"/>
            </w:pPr>
            <w:r>
              <w:rPr>
                <w:rFonts w:ascii="Times New Roman" w:eastAsia="Times New Roman" w:hAnsi="Times New Roman" w:cs="Times New Roman"/>
                <w:b/>
                <w:bCs/>
                <w:color w:val="000000"/>
                <w:spacing w:val="0"/>
                <w:w w:val="100"/>
                <w:position w:val="0"/>
              </w:rPr>
              <w:t>7,722,065.65</w:t>
            </w:r>
          </w:p>
        </w:tc>
        <w:tc>
          <w:tcPr>
            <w:tcBorders>
              <w:top w:val="single" w:sz="4"/>
              <w:left w:val="single" w:sz="4"/>
              <w:bottom w:val="single" w:sz="4"/>
            </w:tcBorders>
            <w:shd w:val="clear" w:color="auto" w:fill="FFFFFF"/>
            <w:vAlign w:val="center"/>
          </w:tcPr>
          <w:p>
            <w:pPr>
              <w:pStyle w:val="Style2"/>
              <w:keepNext w:val="0"/>
              <w:keepLines w:val="0"/>
              <w:framePr w:w="10070" w:h="1186" w:vSpace="571" w:wrap="notBeside" w:vAnchor="text" w:hAnchor="text" w:x="73" w:y="572"/>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40,794,110.25</w:t>
            </w:r>
          </w:p>
        </w:tc>
      </w:tr>
    </w:tbl>
    <w:p>
      <w:pPr>
        <w:pStyle w:val="Style38"/>
        <w:keepNext w:val="0"/>
        <w:keepLines w:val="0"/>
        <w:framePr w:w="926" w:h="283" w:hSpace="72" w:wrap="notBeside" w:vAnchor="text" w:hAnchor="text" w:x="3068"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期初余额</w:t>
      </w:r>
    </w:p>
    <w:p>
      <w:pPr>
        <w:pStyle w:val="Style38"/>
        <w:keepNext w:val="0"/>
        <w:keepLines w:val="0"/>
        <w:framePr w:w="926" w:h="283" w:hSpace="72" w:wrap="notBeside" w:vAnchor="text" w:hAnchor="text" w:x="4979" w:y="1"/>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本期增加</w:t>
      </w:r>
    </w:p>
    <w:p>
      <w:pPr>
        <w:pStyle w:val="Style38"/>
        <w:keepNext w:val="0"/>
        <w:keepLines w:val="0"/>
        <w:framePr w:w="926" w:h="283" w:hSpace="72" w:wrap="notBeside" w:vAnchor="text" w:hAnchor="text" w:x="6918"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本期减少</w:t>
      </w:r>
    </w:p>
    <w:p>
      <w:pPr>
        <w:pStyle w:val="Style38"/>
        <w:keepNext w:val="0"/>
        <w:keepLines w:val="0"/>
        <w:framePr w:w="926" w:h="283" w:hSpace="72" w:wrap="notBeside" w:vAnchor="text" w:hAnchor="text" w:x="8833"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期末余额</w:t>
      </w:r>
    </w:p>
    <w:p>
      <w:pPr>
        <w:widowControl w:val="0"/>
        <w:spacing w:line="1" w:lineRule="exact"/>
      </w:pPr>
    </w:p>
    <w:p>
      <w:pPr>
        <w:pStyle w:val="Style44"/>
        <w:keepNext w:val="0"/>
        <w:keepLines w:val="0"/>
        <w:widowControl w:val="0"/>
        <w:shd w:val="clear" w:color="auto" w:fill="auto"/>
        <w:bidi w:val="0"/>
        <w:spacing w:before="0" w:after="0" w:line="470" w:lineRule="exact"/>
        <w:ind w:left="0" w:right="0" w:firstLine="560"/>
        <w:jc w:val="left"/>
      </w:pPr>
      <w:bookmarkStart w:id="1023" w:name="bookmark1023"/>
      <w:r>
        <w:rPr>
          <w:color w:val="000000"/>
          <w:spacing w:val="0"/>
          <w:w w:val="100"/>
          <w:position w:val="0"/>
        </w:rPr>
        <w:t>（</w:t>
      </w:r>
      <w:bookmarkEnd w:id="1023"/>
      <w:r>
        <w:rPr>
          <w:rFonts w:ascii="Times New Roman" w:eastAsia="Times New Roman" w:hAnsi="Times New Roman" w:cs="Times New Roman"/>
          <w:color w:val="000000"/>
          <w:spacing w:val="0"/>
          <w:w w:val="100"/>
          <w:position w:val="0"/>
        </w:rPr>
        <w:t>4</w:t>
      </w:r>
      <w:r>
        <w:rPr>
          <w:color w:val="000000"/>
          <w:spacing w:val="0"/>
          <w:w w:val="100"/>
          <w:position w:val="0"/>
        </w:rPr>
        <w:t>）商誉所在资产组或资产组组合的相关信息</w:t>
      </w:r>
    </w:p>
    <w:p>
      <w:pPr>
        <w:pStyle w:val="Style44"/>
        <w:keepNext w:val="0"/>
        <w:keepLines w:val="0"/>
        <w:widowControl w:val="0"/>
        <w:shd w:val="clear" w:color="auto" w:fill="auto"/>
        <w:bidi w:val="0"/>
        <w:spacing w:before="0" w:after="0" w:line="470" w:lineRule="exact"/>
        <w:ind w:left="0" w:right="0" w:firstLine="560"/>
        <w:jc w:val="both"/>
      </w:pPr>
      <w:r>
        <w:rPr>
          <w:color w:val="000000"/>
          <w:spacing w:val="0"/>
          <w:w w:val="100"/>
          <w:position w:val="0"/>
        </w:rPr>
        <w:t>本期公司聘请天津中联资产评估有限责任公司评估了深圳市斯诺实业发展有限公司相关商 誉的可回收金额，公司将商誉分摊至资产组并对与商誉相关的资产组进行了减值测试，然后将该 商誉分摊至资产组的账面价值并将分摊后的资产组账面价值与其可收回金额进行比较，确认公司 商誉发生了减值，资产组构成中的单项资产不存在减值。</w:t>
      </w:r>
    </w:p>
    <w:p>
      <w:pPr>
        <w:pStyle w:val="Style44"/>
        <w:keepNext w:val="0"/>
        <w:keepLines w:val="0"/>
        <w:widowControl w:val="0"/>
        <w:pBdr>
          <w:bottom w:val="single" w:sz="4" w:space="0" w:color="auto"/>
        </w:pBdr>
        <w:shd w:val="clear" w:color="auto" w:fill="auto"/>
        <w:bidi w:val="0"/>
        <w:spacing w:before="0" w:after="260" w:line="470" w:lineRule="exact"/>
        <w:ind w:left="0" w:right="0" w:firstLine="56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日，具体的商誉的账面价值及相关减值准备如下：</w:t>
      </w:r>
    </w:p>
    <w:p>
      <w:pPr>
        <w:pStyle w:val="Style38"/>
        <w:keepNext w:val="0"/>
        <w:keepLines w:val="0"/>
        <w:widowControl w:val="0"/>
        <w:shd w:val="clear" w:color="auto" w:fill="auto"/>
        <w:tabs>
          <w:tab w:pos="6504" w:val="left"/>
        </w:tabs>
        <w:bidi w:val="0"/>
        <w:spacing w:before="0" w:after="0" w:line="240" w:lineRule="auto"/>
        <w:ind w:left="0" w:right="0" w:firstLine="0"/>
        <w:jc w:val="center"/>
        <w:rPr>
          <w:sz w:val="20"/>
          <w:szCs w:val="20"/>
        </w:rPr>
      </w:pPr>
      <w:r>
        <w:rPr>
          <w:b/>
          <w:bCs/>
          <w:color w:val="000000"/>
          <w:spacing w:val="0"/>
          <w:w w:val="100"/>
          <w:position w:val="0"/>
          <w:sz w:val="20"/>
          <w:szCs w:val="20"/>
        </w:rPr>
        <w:t>项目</w:t>
        <w:tab/>
        <w:t>深圳市斯诺实业发展有限公司</w:t>
      </w:r>
    </w:p>
    <w:tbl>
      <w:tblPr>
        <w:tblOverlap w:val="never"/>
        <w:jc w:val="center"/>
        <w:tblLayout w:type="fixed"/>
      </w:tblPr>
      <w:tblGrid>
        <w:gridCol w:w="6480"/>
        <w:gridCol w:w="3437"/>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归属于本公司商誉的账面价值①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48,516,175.90</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归属于少数股东权益的商誉价值②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20,792,646.81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整体商誉的账面价值③</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69,308,822.71</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资产组的账面价值④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165,722,699.65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包含整体商誉的资产组的账面价值⑤</w:t>
            </w:r>
            <w:r>
              <w:rPr>
                <w:rFonts w:ascii="Times New Roman" w:eastAsia="Times New Roman" w:hAnsi="Times New Roman" w:cs="Times New Roman"/>
                <w:color w:val="000000"/>
                <w:spacing w:val="0"/>
                <w:w w:val="100"/>
                <w:position w:val="0"/>
                <w:sz w:val="22"/>
                <w:szCs w:val="22"/>
              </w:rPr>
              <w:t>=</w:t>
            </w:r>
            <w:r>
              <w:rPr>
                <w:rFonts w:ascii="Arial" w:eastAsia="Arial" w:hAnsi="Arial" w:cs="Arial"/>
                <w:color w:val="000000"/>
                <w:spacing w:val="0"/>
                <w:w w:val="100"/>
                <w:position w:val="0"/>
                <w:sz w:val="22"/>
                <w:szCs w:val="22"/>
              </w:rPr>
              <w:t>3</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235,031,522.36</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资产组或资产组组合可收回金额⑥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224,000,000.00</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商誉减值损失⑦</w:t>
            </w:r>
            <w:r>
              <w:rPr>
                <w:color w:val="000000"/>
                <w:spacing w:val="0"/>
                <w:w w:val="100"/>
                <w:position w:val="0"/>
                <w:sz w:val="22"/>
                <w:szCs w:val="22"/>
              </w:rPr>
              <w:t>二</w:t>
            </w:r>
            <w:r>
              <w:rPr>
                <w:color w:val="000000"/>
                <w:spacing w:val="0"/>
                <w:w w:val="100"/>
                <w:position w:val="0"/>
                <w:sz w:val="20"/>
                <w:szCs w:val="20"/>
              </w:rPr>
              <w:t>⑤</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11,031,522.36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归属于本公司的商誉减值损失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7,722,065.65</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资产组是否与以前年度商誉减值测试时所确定的资产组一致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780" w:firstLine="0"/>
              <w:jc w:val="right"/>
              <w:rPr>
                <w:sz w:val="20"/>
                <w:szCs w:val="20"/>
              </w:rPr>
            </w:pPr>
            <w:r>
              <w:rPr>
                <w:color w:val="000000"/>
                <w:spacing w:val="0"/>
                <w:w w:val="100"/>
                <w:position w:val="0"/>
                <w:sz w:val="20"/>
                <w:szCs w:val="20"/>
              </w:rPr>
              <w:t>是</w:t>
            </w:r>
          </w:p>
        </w:tc>
      </w:tr>
    </w:tbl>
    <w:p>
      <w:pPr>
        <w:pStyle w:val="Style3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日国民科技（深圳）有限公司（以下简称“国民科技”）商誉已全额计提减</w:t>
      </w:r>
    </w:p>
    <w:p>
      <w:pPr>
        <w:widowControl w:val="0"/>
        <w:spacing w:after="159" w:line="1" w:lineRule="exact"/>
      </w:pPr>
    </w:p>
    <w:p>
      <w:pPr>
        <w:widowControl w:val="0"/>
        <w:spacing w:line="1" w:lineRule="exact"/>
      </w:pPr>
    </w:p>
    <w:tbl>
      <w:tblPr>
        <w:tblOverlap w:val="never"/>
        <w:jc w:val="center"/>
        <w:tblLayout w:type="fixed"/>
      </w:tblPr>
      <w:tblGrid>
        <w:gridCol w:w="5381"/>
        <w:gridCol w:w="4517"/>
      </w:tblGrid>
      <w:tr>
        <w:trPr>
          <w:trHeight w:val="413"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值，具体商誉金额列示如下：</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国民科技（深圳）有限公司</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商誉账面余额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54,669,856.22</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商誉减值准备余额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54,669,856.22</w:t>
            </w:r>
          </w:p>
        </w:tc>
      </w:tr>
    </w:tbl>
    <w:p>
      <w:pPr>
        <w:pStyle w:val="Style38"/>
        <w:keepNext w:val="0"/>
        <w:keepLines w:val="0"/>
        <w:widowControl w:val="0"/>
        <w:shd w:val="clear" w:color="auto" w:fill="auto"/>
        <w:bidi w:val="0"/>
        <w:spacing w:before="0" w:after="0" w:line="240" w:lineRule="auto"/>
        <w:ind w:left="614"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）本期商誉减值测试过程、参数及商誉减值损失的确认方法</w:t>
      </w:r>
    </w:p>
    <w:p>
      <w:pPr>
        <w:pStyle w:val="Style44"/>
        <w:keepNext w:val="0"/>
        <w:keepLines w:val="0"/>
        <w:widowControl w:val="0"/>
        <w:numPr>
          <w:ilvl w:val="0"/>
          <w:numId w:val="55"/>
        </w:numPr>
        <w:shd w:val="clear" w:color="auto" w:fill="auto"/>
        <w:bidi w:val="0"/>
        <w:spacing w:before="0" w:after="0" w:line="480" w:lineRule="exact"/>
        <w:ind w:left="0" w:right="0" w:firstLine="560"/>
        <w:jc w:val="left"/>
      </w:pPr>
      <w:bookmarkStart w:id="1024" w:name="bookmark1024"/>
      <w:bookmarkEnd w:id="1024"/>
      <w:r>
        <w:rPr>
          <w:color w:val="000000"/>
          <w:spacing w:val="0"/>
          <w:w w:val="100"/>
          <w:position w:val="0"/>
        </w:rPr>
        <w:t>重要假设及依据</w:t>
      </w:r>
    </w:p>
    <w:p>
      <w:pPr>
        <w:pStyle w:val="Style44"/>
        <w:keepNext w:val="0"/>
        <w:keepLines w:val="0"/>
        <w:widowControl w:val="0"/>
        <w:shd w:val="clear" w:color="auto" w:fill="auto"/>
        <w:bidi w:val="0"/>
        <w:spacing w:before="0" w:after="0" w:line="480" w:lineRule="exact"/>
        <w:ind w:left="0" w:right="0" w:firstLine="560"/>
        <w:jc w:val="left"/>
      </w:pPr>
      <w:r>
        <w:rPr>
          <w:rFonts w:ascii="Times New Roman" w:eastAsia="Times New Roman" w:hAnsi="Times New Roman" w:cs="Times New Roman"/>
          <w:color w:val="000000"/>
          <w:spacing w:val="0"/>
          <w:w w:val="100"/>
          <w:position w:val="0"/>
        </w:rPr>
        <w:t>A.</w:t>
      </w:r>
      <w:r>
        <w:rPr>
          <w:color w:val="000000"/>
          <w:spacing w:val="0"/>
          <w:w w:val="100"/>
          <w:position w:val="0"/>
        </w:rPr>
        <w:t>假设评估对象能按照规划的经营目的、经营方式持续经营下去，其收益可以预测；</w:t>
      </w:r>
    </w:p>
    <w:p>
      <w:pPr>
        <w:pStyle w:val="Style44"/>
        <w:keepNext w:val="0"/>
        <w:keepLines w:val="0"/>
        <w:widowControl w:val="0"/>
        <w:shd w:val="clear" w:color="auto" w:fill="auto"/>
        <w:bidi w:val="0"/>
        <w:spacing w:before="0" w:after="0" w:line="480" w:lineRule="exact"/>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假设评估对象生产运营所耗费的物资的供应及价格无重大变化；其产出的产品价格无不可预 见的重大变化；</w:t>
      </w:r>
    </w:p>
    <w:p>
      <w:pPr>
        <w:pStyle w:val="Style44"/>
        <w:keepNext w:val="0"/>
        <w:keepLines w:val="0"/>
        <w:widowControl w:val="0"/>
        <w:numPr>
          <w:ilvl w:val="0"/>
          <w:numId w:val="57"/>
        </w:numPr>
        <w:shd w:val="clear" w:color="auto" w:fill="auto"/>
        <w:tabs>
          <w:tab w:pos="842" w:val="left"/>
        </w:tabs>
        <w:bidi w:val="0"/>
        <w:spacing w:before="0" w:after="0" w:line="480" w:lineRule="exact"/>
        <w:ind w:left="0" w:right="0" w:firstLine="560"/>
        <w:jc w:val="left"/>
      </w:pPr>
      <w:bookmarkStart w:id="1025" w:name="bookmark1025"/>
      <w:bookmarkEnd w:id="1025"/>
      <w:r>
        <w:rPr>
          <w:color w:val="000000"/>
          <w:spacing w:val="0"/>
          <w:w w:val="100"/>
          <w:position w:val="0"/>
        </w:rPr>
        <w:t>假设被评估单位管理层勤勉尽责，具有足够的管理才能和良好的职业道德，被评估单位 的管理风险、资金风险、市场风险、技术风险、人才风险等处于可控范围或可以得到有效化解；</w:t>
      </w:r>
    </w:p>
    <w:p>
      <w:pPr>
        <w:pStyle w:val="Style44"/>
        <w:keepNext w:val="0"/>
        <w:keepLines w:val="0"/>
        <w:widowControl w:val="0"/>
        <w:numPr>
          <w:ilvl w:val="0"/>
          <w:numId w:val="59"/>
        </w:numPr>
        <w:shd w:val="clear" w:color="auto" w:fill="auto"/>
        <w:tabs>
          <w:tab w:pos="402" w:val="left"/>
        </w:tabs>
        <w:bidi w:val="0"/>
        <w:spacing w:before="0" w:after="0" w:line="480" w:lineRule="exact"/>
        <w:ind w:left="0" w:right="0" w:firstLine="560"/>
        <w:jc w:val="left"/>
      </w:pPr>
      <w:bookmarkStart w:id="1026" w:name="bookmark1026"/>
      <w:bookmarkEnd w:id="1026"/>
      <w:r>
        <w:rPr>
          <w:color w:val="000000"/>
          <w:spacing w:val="0"/>
          <w:w w:val="100"/>
          <w:position w:val="0"/>
        </w:rPr>
        <w:t xml:space="preserve">假设被评估单位在未来经营期内的资产规模、构成，主营业务，收入与成本的构成以及 </w:t>
      </w:r>
      <w:r>
        <w:rPr>
          <w:color w:val="000000"/>
          <w:spacing w:val="0"/>
          <w:w w:val="100"/>
          <w:position w:val="0"/>
        </w:rPr>
        <w:t>经营策略和成本控制等未发生较大变化。也不考虑未来可能由于管理层、经营策略以及商</w:t>
      </w:r>
      <w:r>
        <w:rPr>
          <w:color w:val="000000"/>
          <w:spacing w:val="0"/>
          <w:w w:val="100"/>
          <w:position w:val="0"/>
          <w:sz w:val="20"/>
          <w:szCs w:val="20"/>
        </w:rPr>
        <w:t>业环境 等</w:t>
      </w:r>
      <w:r>
        <w:rPr>
          <w:color w:val="000000"/>
          <w:spacing w:val="0"/>
          <w:w w:val="100"/>
          <w:position w:val="0"/>
        </w:rPr>
        <w:t>变化导致的资产规模、构成以及主营业务等状况的变化所带来的损益；</w:t>
      </w:r>
    </w:p>
    <w:p>
      <w:pPr>
        <w:pStyle w:val="Style44"/>
        <w:keepNext w:val="0"/>
        <w:keepLines w:val="0"/>
        <w:widowControl w:val="0"/>
        <w:numPr>
          <w:ilvl w:val="0"/>
          <w:numId w:val="59"/>
        </w:numPr>
        <w:shd w:val="clear" w:color="auto" w:fill="auto"/>
        <w:tabs>
          <w:tab w:pos="974" w:val="left"/>
        </w:tabs>
        <w:bidi w:val="0"/>
        <w:spacing w:before="0" w:after="0" w:line="480" w:lineRule="exact"/>
        <w:ind w:left="140" w:right="0" w:firstLine="460"/>
        <w:jc w:val="both"/>
      </w:pPr>
      <w:bookmarkStart w:id="1027" w:name="bookmark1027"/>
      <w:bookmarkEnd w:id="1027"/>
      <w:r>
        <w:rPr>
          <w:color w:val="000000"/>
          <w:spacing w:val="0"/>
          <w:w w:val="100"/>
          <w:position w:val="0"/>
        </w:rPr>
        <w:t>假设评估对象的现金流在每个预测期间的期中产生；</w:t>
      </w:r>
    </w:p>
    <w:p>
      <w:pPr>
        <w:pStyle w:val="Style44"/>
        <w:keepNext w:val="0"/>
        <w:keepLines w:val="0"/>
        <w:widowControl w:val="0"/>
        <w:numPr>
          <w:ilvl w:val="0"/>
          <w:numId w:val="59"/>
        </w:numPr>
        <w:shd w:val="clear" w:color="auto" w:fill="auto"/>
        <w:tabs>
          <w:tab w:pos="974" w:val="left"/>
        </w:tabs>
        <w:bidi w:val="0"/>
        <w:spacing w:before="0" w:after="0" w:line="480" w:lineRule="exact"/>
        <w:ind w:left="140" w:right="0" w:firstLine="460"/>
        <w:jc w:val="both"/>
      </w:pPr>
      <w:bookmarkStart w:id="1028" w:name="bookmark1028"/>
      <w:bookmarkEnd w:id="1028"/>
      <w:r>
        <w:rPr>
          <w:color w:val="000000"/>
          <w:spacing w:val="0"/>
          <w:w w:val="100"/>
          <w:position w:val="0"/>
        </w:rPr>
        <w:t>假设被评估单位在未来的经营期限内的财务结构、资本规模未发生重大变化；</w:t>
      </w:r>
    </w:p>
    <w:p>
      <w:pPr>
        <w:pStyle w:val="Style44"/>
        <w:keepNext w:val="0"/>
        <w:keepLines w:val="0"/>
        <w:widowControl w:val="0"/>
        <w:numPr>
          <w:ilvl w:val="0"/>
          <w:numId w:val="59"/>
        </w:numPr>
        <w:shd w:val="clear" w:color="auto" w:fill="auto"/>
        <w:tabs>
          <w:tab w:pos="989" w:val="left"/>
        </w:tabs>
        <w:bidi w:val="0"/>
        <w:spacing w:before="0" w:after="0" w:line="480" w:lineRule="exact"/>
        <w:ind w:left="140" w:right="0" w:firstLine="460"/>
        <w:jc w:val="both"/>
      </w:pPr>
      <w:bookmarkStart w:id="1029" w:name="bookmark1029"/>
      <w:bookmarkEnd w:id="1029"/>
      <w:r>
        <w:rPr>
          <w:color w:val="000000"/>
          <w:spacing w:val="0"/>
          <w:w w:val="100"/>
          <w:position w:val="0"/>
        </w:rPr>
        <w:t>假设收益期制定的经营目标和措施能按预定的时间和进度如期实现，并取得预期效益； 应收款项能正常收回，应付款项需正常支付；</w:t>
      </w:r>
    </w:p>
    <w:p>
      <w:pPr>
        <w:pStyle w:val="Style44"/>
        <w:keepNext w:val="0"/>
        <w:keepLines w:val="0"/>
        <w:widowControl w:val="0"/>
        <w:numPr>
          <w:ilvl w:val="0"/>
          <w:numId w:val="59"/>
        </w:numPr>
        <w:shd w:val="clear" w:color="auto" w:fill="auto"/>
        <w:tabs>
          <w:tab w:pos="998" w:val="left"/>
        </w:tabs>
        <w:bidi w:val="0"/>
        <w:spacing w:before="0" w:after="0" w:line="480" w:lineRule="exact"/>
        <w:ind w:left="0" w:right="0" w:firstLine="600"/>
        <w:jc w:val="left"/>
      </w:pPr>
      <w:bookmarkStart w:id="1030" w:name="bookmark1030"/>
      <w:bookmarkEnd w:id="1030"/>
      <w:r>
        <w:rPr>
          <w:color w:val="000000"/>
          <w:spacing w:val="0"/>
          <w:w w:val="100"/>
          <w:position w:val="0"/>
        </w:rPr>
        <w:t>假设无其他不可预测和不可抗力因素对经营造成的重大影响；</w:t>
      </w:r>
    </w:p>
    <w:p>
      <w:pPr>
        <w:pStyle w:val="Style44"/>
        <w:keepNext w:val="0"/>
        <w:keepLines w:val="0"/>
        <w:widowControl w:val="0"/>
        <w:numPr>
          <w:ilvl w:val="0"/>
          <w:numId w:val="59"/>
        </w:numPr>
        <w:shd w:val="clear" w:color="auto" w:fill="auto"/>
        <w:tabs>
          <w:tab w:pos="998" w:val="left"/>
        </w:tabs>
        <w:bidi w:val="0"/>
        <w:spacing w:before="0" w:after="0" w:line="480" w:lineRule="exact"/>
        <w:ind w:left="0" w:right="0" w:firstLine="600"/>
        <w:jc w:val="left"/>
      </w:pPr>
      <w:bookmarkStart w:id="1031" w:name="bookmark1031"/>
      <w:bookmarkEnd w:id="1031"/>
      <w:r>
        <w:rPr>
          <w:color w:val="000000"/>
          <w:spacing w:val="0"/>
          <w:w w:val="100"/>
          <w:position w:val="0"/>
        </w:rPr>
        <w:t>本次对被评估单位所得税优惠的可持续性进行分析，按照高新技术企业的认</w:t>
      </w:r>
    </w:p>
    <w:p>
      <w:pPr>
        <w:pStyle w:val="Style44"/>
        <w:keepNext w:val="0"/>
        <w:keepLines w:val="0"/>
        <w:widowControl w:val="0"/>
        <w:shd w:val="clear" w:color="auto" w:fill="auto"/>
        <w:bidi w:val="0"/>
        <w:spacing w:before="0" w:after="0" w:line="480" w:lineRule="exact"/>
        <w:ind w:left="0" w:right="0" w:firstLine="600"/>
        <w:jc w:val="left"/>
      </w:pPr>
      <w:r>
        <w:rPr>
          <w:color w:val="000000"/>
          <w:spacing w:val="0"/>
          <w:w w:val="100"/>
          <w:position w:val="0"/>
        </w:rPr>
        <w:t>定标准逐项分析，认为公司符合高新技术的可持续性，假设未来能够通过高新技术</w:t>
      </w:r>
    </w:p>
    <w:p>
      <w:pPr>
        <w:pStyle w:val="Style44"/>
        <w:keepNext w:val="0"/>
        <w:keepLines w:val="0"/>
        <w:widowControl w:val="0"/>
        <w:shd w:val="clear" w:color="auto" w:fill="auto"/>
        <w:bidi w:val="0"/>
        <w:spacing w:before="0" w:after="180" w:line="480" w:lineRule="exact"/>
        <w:ind w:left="0" w:right="0" w:firstLine="600"/>
        <w:jc w:val="both"/>
      </w:pPr>
      <w:r>
        <w:rPr>
          <w:color w:val="000000"/>
          <w:spacing w:val="0"/>
          <w:w w:val="100"/>
          <w:position w:val="0"/>
        </w:rPr>
        <w:t>复核，所得税优惠税率为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8"/>
        <w:keepNext w:val="0"/>
        <w:keepLines w:val="0"/>
        <w:widowControl w:val="0"/>
        <w:shd w:val="clear" w:color="auto" w:fill="auto"/>
        <w:bidi w:val="0"/>
        <w:spacing w:before="0" w:after="0" w:line="240" w:lineRule="auto"/>
        <w:ind w:left="139" w:right="0" w:firstLine="0"/>
        <w:jc w:val="left"/>
      </w:pPr>
      <w:r>
        <w:rPr>
          <w:color w:val="000000"/>
          <w:spacing w:val="0"/>
          <w:w w:val="100"/>
          <w:position w:val="0"/>
        </w:rPr>
        <w:t>②关键参数</w:t>
      </w:r>
    </w:p>
    <w:tbl>
      <w:tblPr>
        <w:tblOverlap w:val="never"/>
        <w:jc w:val="center"/>
        <w:tblLayout w:type="fixed"/>
      </w:tblPr>
      <w:tblGrid>
        <w:gridCol w:w="2002"/>
        <w:gridCol w:w="1963"/>
        <w:gridCol w:w="1594"/>
        <w:gridCol w:w="1598"/>
        <w:gridCol w:w="1531"/>
        <w:gridCol w:w="1286"/>
      </w:tblGrid>
      <w:tr>
        <w:trPr>
          <w:trHeight w:val="48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项目名称</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关键参数</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预测期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预测期增长率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稳定期增长率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利润率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折现率</w:t>
            </w:r>
          </w:p>
        </w:tc>
      </w:tr>
      <w:tr>
        <w:trPr>
          <w:trHeight w:val="10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260" w:right="0" w:firstLine="0"/>
              <w:jc w:val="left"/>
              <w:rPr>
                <w:sz w:val="20"/>
                <w:szCs w:val="20"/>
              </w:rPr>
            </w:pPr>
            <w:r>
              <w:rPr>
                <w:color w:val="000000"/>
                <w:spacing w:val="0"/>
                <w:w w:val="100"/>
                <w:position w:val="0"/>
                <w:sz w:val="20"/>
                <w:szCs w:val="20"/>
              </w:rPr>
              <w:t>深圳市斯诺实业 发展有限公司</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 xml:space="preserve">-2025 </w:t>
            </w:r>
            <w:r>
              <w:rPr>
                <w:color w:val="000000"/>
                <w:spacing w:val="0"/>
                <w:w w:val="100"/>
                <w:position w:val="0"/>
                <w:sz w:val="20"/>
                <w:szCs w:val="20"/>
              </w:rPr>
              <w:t>年</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（后续为稳定期）</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20"/>
                <w:szCs w:val="20"/>
              </w:rPr>
            </w:pPr>
            <w:r>
              <w:rPr>
                <w:b/>
                <w:bCs/>
                <w:color w:val="000000"/>
                <w:spacing w:val="0"/>
                <w:w w:val="100"/>
                <w:position w:val="0"/>
                <w:sz w:val="20"/>
                <w:szCs w:val="20"/>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根据预测的 收入、成本、 费用等计算</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13.75%</w:t>
            </w:r>
          </w:p>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w:t>
            </w:r>
          </w:p>
        </w:tc>
      </w:tr>
    </w:tbl>
    <w:p>
      <w:pPr>
        <w:pStyle w:val="Style44"/>
        <w:keepNext w:val="0"/>
        <w:keepLines w:val="0"/>
        <w:widowControl w:val="0"/>
        <w:shd w:val="clear" w:color="auto" w:fill="auto"/>
        <w:bidi w:val="0"/>
        <w:spacing w:before="0" w:after="0" w:line="470" w:lineRule="exact"/>
        <w:ind w:left="14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：根据斯诺实业</w:t>
      </w:r>
      <w:r>
        <w:rPr>
          <w:rFonts w:ascii="Times New Roman" w:eastAsia="Times New Roman" w:hAnsi="Times New Roman" w:cs="Times New Roman"/>
          <w:color w:val="000000"/>
          <w:spacing w:val="0"/>
          <w:w w:val="100"/>
          <w:position w:val="0"/>
        </w:rPr>
        <w:t>2020</w:t>
      </w:r>
      <w:r>
        <w:rPr>
          <w:color w:val="000000"/>
          <w:spacing w:val="0"/>
          <w:w w:val="100"/>
          <w:position w:val="0"/>
        </w:rPr>
        <w:t>年的经营情况、以此时点参照各产品历史年度营业收入增长率并考 虑所在行业发展前景综合考虑，对产品收入依据市场销售情况及公司的销售计划分产品品种进行 预测，预计</w:t>
      </w:r>
      <w:r>
        <w:rPr>
          <w:rFonts w:ascii="Times New Roman" w:eastAsia="Times New Roman" w:hAnsi="Times New Roman" w:cs="Times New Roman"/>
          <w:color w:val="000000"/>
          <w:spacing w:val="0"/>
          <w:w w:val="100"/>
          <w:position w:val="0"/>
        </w:rPr>
        <w:t>2021</w:t>
      </w:r>
      <w:r>
        <w:rPr>
          <w:color w:val="000000"/>
          <w:spacing w:val="0"/>
          <w:w w:val="100"/>
          <w:position w:val="0"/>
        </w:rPr>
        <w:t>年到</w:t>
      </w:r>
      <w:r>
        <w:rPr>
          <w:rFonts w:ascii="Times New Roman" w:eastAsia="Times New Roman" w:hAnsi="Times New Roman" w:cs="Times New Roman"/>
          <w:color w:val="000000"/>
          <w:spacing w:val="0"/>
          <w:w w:val="100"/>
          <w:position w:val="0"/>
        </w:rPr>
        <w:t>2025</w:t>
      </w:r>
      <w:r>
        <w:rPr>
          <w:color w:val="000000"/>
          <w:spacing w:val="0"/>
          <w:w w:val="100"/>
          <w:position w:val="0"/>
        </w:rPr>
        <w:t>年销售增长率分别</w:t>
      </w:r>
      <w:r>
        <w:rPr>
          <w:rFonts w:ascii="Times New Roman" w:eastAsia="Times New Roman" w:hAnsi="Times New Roman" w:cs="Times New Roman"/>
          <w:color w:val="000000"/>
          <w:spacing w:val="0"/>
          <w:w w:val="100"/>
          <w:position w:val="0"/>
        </w:rPr>
        <w:t>99.91%</w:t>
      </w:r>
      <w:r>
        <w:rPr>
          <w:color w:val="000000"/>
          <w:spacing w:val="0"/>
          <w:w w:val="100"/>
          <w:position w:val="0"/>
        </w:rPr>
        <w:t>、</w:t>
      </w:r>
      <w:r>
        <w:rPr>
          <w:rFonts w:ascii="Times New Roman" w:eastAsia="Times New Roman" w:hAnsi="Times New Roman" w:cs="Times New Roman"/>
          <w:color w:val="000000"/>
          <w:spacing w:val="0"/>
          <w:w w:val="100"/>
          <w:position w:val="0"/>
        </w:rPr>
        <w:t>20.30%</w:t>
      </w:r>
      <w:r>
        <w:rPr>
          <w:color w:val="000000"/>
          <w:spacing w:val="0"/>
          <w:w w:val="100"/>
          <w:position w:val="0"/>
        </w:rPr>
        <w:t>、</w:t>
      </w:r>
      <w:r>
        <w:rPr>
          <w:rFonts w:ascii="Times New Roman" w:eastAsia="Times New Roman" w:hAnsi="Times New Roman" w:cs="Times New Roman"/>
          <w:color w:val="000000"/>
          <w:spacing w:val="0"/>
          <w:w w:val="100"/>
          <w:position w:val="0"/>
        </w:rPr>
        <w:t>2.64%</w:t>
      </w:r>
      <w:r>
        <w:rPr>
          <w:color w:val="000000"/>
          <w:spacing w:val="0"/>
          <w:w w:val="100"/>
          <w:position w:val="0"/>
        </w:rPr>
        <w:t>、</w:t>
      </w:r>
      <w:r>
        <w:rPr>
          <w:rFonts w:ascii="Times New Roman" w:eastAsia="Times New Roman" w:hAnsi="Times New Roman" w:cs="Times New Roman"/>
          <w:color w:val="000000"/>
          <w:spacing w:val="0"/>
          <w:w w:val="100"/>
          <w:position w:val="0"/>
        </w:rPr>
        <w:t>2.27%</w:t>
      </w:r>
      <w:r>
        <w:rPr>
          <w:color w:val="000000"/>
          <w:spacing w:val="0"/>
          <w:w w:val="100"/>
          <w:position w:val="0"/>
        </w:rPr>
        <w:t>、</w:t>
      </w:r>
      <w:r>
        <w:rPr>
          <w:rFonts w:ascii="Times New Roman" w:eastAsia="Times New Roman" w:hAnsi="Times New Roman" w:cs="Times New Roman"/>
          <w:color w:val="000000"/>
          <w:spacing w:val="0"/>
          <w:w w:val="100"/>
          <w:position w:val="0"/>
        </w:rPr>
        <w:t>1.87%</w:t>
      </w:r>
      <w:r>
        <w:rPr>
          <w:color w:val="000000"/>
          <w:spacing w:val="0"/>
          <w:w w:val="100"/>
          <w:position w:val="0"/>
        </w:rPr>
        <w:t>；上期预 计</w:t>
      </w:r>
      <w:r>
        <w:rPr>
          <w:rFonts w:ascii="Times New Roman" w:eastAsia="Times New Roman" w:hAnsi="Times New Roman" w:cs="Times New Roman"/>
          <w:color w:val="000000"/>
          <w:spacing w:val="0"/>
          <w:w w:val="100"/>
          <w:position w:val="0"/>
        </w:rPr>
        <w:t>2020</w:t>
      </w:r>
      <w:r>
        <w:rPr>
          <w:color w:val="000000"/>
          <w:spacing w:val="0"/>
          <w:w w:val="100"/>
          <w:position w:val="0"/>
        </w:rPr>
        <w:t>年到</w:t>
      </w:r>
      <w:r>
        <w:rPr>
          <w:rFonts w:ascii="Times New Roman" w:eastAsia="Times New Roman" w:hAnsi="Times New Roman" w:cs="Times New Roman"/>
          <w:color w:val="000000"/>
          <w:spacing w:val="0"/>
          <w:w w:val="100"/>
          <w:position w:val="0"/>
        </w:rPr>
        <w:t>2024</w:t>
      </w:r>
      <w:r>
        <w:rPr>
          <w:color w:val="000000"/>
          <w:spacing w:val="0"/>
          <w:w w:val="100"/>
          <w:position w:val="0"/>
        </w:rPr>
        <w:t>年销售增长率分别为</w:t>
      </w:r>
      <w:r>
        <w:rPr>
          <w:rFonts w:ascii="Times New Roman" w:eastAsia="Times New Roman" w:hAnsi="Times New Roman" w:cs="Times New Roman"/>
          <w:color w:val="000000"/>
          <w:spacing w:val="0"/>
          <w:w w:val="100"/>
          <w:position w:val="0"/>
        </w:rPr>
        <w:t>69.48%</w:t>
      </w:r>
      <w:r>
        <w:rPr>
          <w:color w:val="000000"/>
          <w:spacing w:val="0"/>
          <w:w w:val="100"/>
          <w:position w:val="0"/>
        </w:rPr>
        <w:t>、</w:t>
      </w:r>
      <w:r>
        <w:rPr>
          <w:rFonts w:ascii="Times New Roman" w:eastAsia="Times New Roman" w:hAnsi="Times New Roman" w:cs="Times New Roman"/>
          <w:color w:val="000000"/>
          <w:spacing w:val="0"/>
          <w:w w:val="100"/>
          <w:position w:val="0"/>
        </w:rPr>
        <w:t>12.82%</w:t>
      </w:r>
      <w:r>
        <w:rPr>
          <w:color w:val="000000"/>
          <w:spacing w:val="0"/>
          <w:w w:val="100"/>
          <w:position w:val="0"/>
        </w:rPr>
        <w:t>、</w:t>
      </w:r>
      <w:r>
        <w:rPr>
          <w:rFonts w:ascii="Times New Roman" w:eastAsia="Times New Roman" w:hAnsi="Times New Roman" w:cs="Times New Roman"/>
          <w:color w:val="000000"/>
          <w:spacing w:val="0"/>
          <w:w w:val="100"/>
          <w:position w:val="0"/>
        </w:rPr>
        <w:t>10.01%</w:t>
      </w:r>
      <w:r>
        <w:rPr>
          <w:color w:val="000000"/>
          <w:spacing w:val="0"/>
          <w:w w:val="100"/>
          <w:position w:val="0"/>
        </w:rPr>
        <w:t>、</w:t>
      </w:r>
      <w:r>
        <w:rPr>
          <w:rFonts w:ascii="Times New Roman" w:eastAsia="Times New Roman" w:hAnsi="Times New Roman" w:cs="Times New Roman"/>
          <w:color w:val="000000"/>
          <w:spacing w:val="0"/>
          <w:w w:val="100"/>
          <w:position w:val="0"/>
        </w:rPr>
        <w:t>8.48%</w:t>
      </w:r>
      <w:r>
        <w:rPr>
          <w:color w:val="000000"/>
          <w:spacing w:val="0"/>
          <w:w w:val="100"/>
          <w:position w:val="0"/>
        </w:rPr>
        <w:t>、</w:t>
      </w:r>
      <w:r>
        <w:rPr>
          <w:rFonts w:ascii="Times New Roman" w:eastAsia="Times New Roman" w:hAnsi="Times New Roman" w:cs="Times New Roman"/>
          <w:color w:val="000000"/>
          <w:spacing w:val="0"/>
          <w:w w:val="100"/>
          <w:position w:val="0"/>
        </w:rPr>
        <w:t>4.72%</w:t>
      </w:r>
      <w:r>
        <w:rPr>
          <w:color w:val="000000"/>
          <w:spacing w:val="0"/>
          <w:w w:val="100"/>
          <w:position w:val="0"/>
        </w:rPr>
        <w:t>。本次预测</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年的销售增长率较前次高</w:t>
      </w:r>
      <w:r>
        <w:rPr>
          <w:color w:val="000000"/>
          <w:spacing w:val="0"/>
          <w:w w:val="100"/>
          <w:position w:val="0"/>
        </w:rPr>
        <w:t>，</w:t>
      </w:r>
      <w:r>
        <w:rPr>
          <w:color w:val="000000"/>
          <w:spacing w:val="0"/>
          <w:w w:val="100"/>
          <w:position w:val="0"/>
        </w:rPr>
        <w:t>主要原因为斯诺实业已在</w:t>
      </w:r>
      <w:r>
        <w:rPr>
          <w:rFonts w:ascii="Times New Roman" w:eastAsia="Times New Roman" w:hAnsi="Times New Roman" w:cs="Times New Roman"/>
          <w:color w:val="000000"/>
          <w:spacing w:val="0"/>
          <w:w w:val="100"/>
          <w:position w:val="0"/>
        </w:rPr>
        <w:t>2020</w:t>
      </w:r>
      <w:r>
        <w:rPr>
          <w:color w:val="000000"/>
          <w:spacing w:val="0"/>
          <w:w w:val="100"/>
          <w:position w:val="0"/>
        </w:rPr>
        <w:t>年确定了多家大客户的供应关系，并逐 渐放量供应。</w:t>
      </w:r>
      <w:r>
        <w:rPr>
          <w:rFonts w:ascii="Times New Roman" w:eastAsia="Times New Roman" w:hAnsi="Times New Roman" w:cs="Times New Roman"/>
          <w:color w:val="000000"/>
          <w:spacing w:val="0"/>
          <w:w w:val="100"/>
          <w:position w:val="0"/>
        </w:rPr>
        <w:t>2020</w:t>
      </w:r>
      <w:r>
        <w:rPr>
          <w:color w:val="000000"/>
          <w:spacing w:val="0"/>
          <w:w w:val="100"/>
          <w:position w:val="0"/>
        </w:rPr>
        <w:t>年第三、四季度开始，新能源汽车行业在疫情下快速复苏和高速发展，对上游 原材料产生了明显的拉动作用，呈现出供需两旺的局面。预计在</w:t>
      </w:r>
      <w:r>
        <w:rPr>
          <w:rFonts w:ascii="Times New Roman" w:eastAsia="Times New Roman" w:hAnsi="Times New Roman" w:cs="Times New Roman"/>
          <w:color w:val="000000"/>
          <w:spacing w:val="0"/>
          <w:w w:val="100"/>
          <w:position w:val="0"/>
        </w:rPr>
        <w:t>2021</w:t>
      </w:r>
      <w:r>
        <w:rPr>
          <w:color w:val="000000"/>
          <w:spacing w:val="0"/>
          <w:w w:val="100"/>
          <w:position w:val="0"/>
        </w:rPr>
        <w:t>年，前期已导入的行业大 客户将给斯诺实业负极材料出货持续带来高比例增长，同时会新增更多优质中大型新能源电池客 户的供应，另外传统的储能和</w:t>
      </w:r>
      <w:r>
        <w:rPr>
          <w:rFonts w:ascii="Times New Roman" w:eastAsia="Times New Roman" w:hAnsi="Times New Roman" w:cs="Times New Roman"/>
          <w:color w:val="000000"/>
          <w:spacing w:val="0"/>
          <w:w w:val="100"/>
          <w:position w:val="0"/>
        </w:rPr>
        <w:t>3C</w:t>
      </w:r>
      <w:r>
        <w:rPr>
          <w:color w:val="000000"/>
          <w:spacing w:val="0"/>
          <w:w w:val="100"/>
          <w:position w:val="0"/>
        </w:rPr>
        <w:t>数码等客户亦会稳步增长。预计</w:t>
      </w:r>
      <w:r>
        <w:rPr>
          <w:rFonts w:ascii="Times New Roman" w:eastAsia="Times New Roman" w:hAnsi="Times New Roman" w:cs="Times New Roman"/>
          <w:color w:val="000000"/>
          <w:spacing w:val="0"/>
          <w:w w:val="100"/>
          <w:position w:val="0"/>
        </w:rPr>
        <w:t>2021</w:t>
      </w:r>
      <w:r>
        <w:rPr>
          <w:color w:val="000000"/>
          <w:spacing w:val="0"/>
          <w:w w:val="100"/>
          <w:position w:val="0"/>
        </w:rPr>
        <w:t>年的收入将较</w:t>
      </w:r>
      <w:r>
        <w:rPr>
          <w:rFonts w:ascii="Times New Roman" w:eastAsia="Times New Roman" w:hAnsi="Times New Roman" w:cs="Times New Roman"/>
          <w:color w:val="000000"/>
          <w:spacing w:val="0"/>
          <w:w w:val="100"/>
          <w:position w:val="0"/>
        </w:rPr>
        <w:t>2020</w:t>
      </w:r>
      <w:r>
        <w:rPr>
          <w:color w:val="000000"/>
          <w:spacing w:val="0"/>
          <w:w w:val="100"/>
          <w:position w:val="0"/>
        </w:rPr>
        <w:t>年大 幅增长。</w:t>
      </w:r>
    </w:p>
    <w:p>
      <w:pPr>
        <w:pStyle w:val="Style44"/>
        <w:keepNext w:val="0"/>
        <w:keepLines w:val="0"/>
        <w:widowControl w:val="0"/>
        <w:shd w:val="clear" w:color="auto" w:fill="auto"/>
        <w:bidi w:val="0"/>
        <w:spacing w:before="0" w:after="0" w:line="470" w:lineRule="exact"/>
        <w:ind w:left="0" w:right="0" w:firstLine="60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：采用的折现率是反映当前市场货币时间价值和相关资产组特定风险的税前利率。</w:t>
      </w:r>
      <w:r>
        <w:br w:type="page"/>
      </w:r>
    </w:p>
    <w:p>
      <w:pPr>
        <w:pStyle w:val="Style52"/>
        <w:keepNext/>
        <w:keepLines/>
        <w:widowControl w:val="0"/>
        <w:shd w:val="clear" w:color="auto" w:fill="auto"/>
        <w:bidi w:val="0"/>
        <w:spacing w:before="0" w:line="240" w:lineRule="auto"/>
        <w:ind w:left="0" w:right="0" w:firstLine="0"/>
        <w:jc w:val="left"/>
        <w:rPr>
          <w:sz w:val="24"/>
          <w:szCs w:val="24"/>
        </w:rPr>
      </w:pPr>
      <w:bookmarkStart w:id="1032" w:name="bookmark1032"/>
      <w:bookmarkStart w:id="1033" w:name="bookmark1033"/>
      <w:bookmarkStart w:id="1034" w:name="bookmark1034"/>
      <w:bookmarkStart w:id="1035" w:name="bookmark1035"/>
      <w:r>
        <w:rPr>
          <w:rFonts w:ascii="Times New Roman" w:eastAsia="Times New Roman" w:hAnsi="Times New Roman" w:cs="Times New Roman"/>
          <w:b w:val="0"/>
          <w:bCs w:val="0"/>
          <w:color w:val="000000"/>
          <w:spacing w:val="0"/>
          <w:w w:val="100"/>
          <w:position w:val="0"/>
          <w:sz w:val="24"/>
          <w:szCs w:val="24"/>
        </w:rPr>
        <w:t>1</w:t>
      </w:r>
      <w:bookmarkEnd w:id="1034"/>
      <w:r>
        <w:rPr>
          <w:rFonts w:ascii="Times New Roman" w:eastAsia="Times New Roman" w:hAnsi="Times New Roman" w:cs="Times New Roman"/>
          <w:b w:val="0"/>
          <w:bCs w:val="0"/>
          <w:color w:val="000000"/>
          <w:spacing w:val="0"/>
          <w:w w:val="100"/>
          <w:position w:val="0"/>
          <w:sz w:val="24"/>
          <w:szCs w:val="24"/>
        </w:rPr>
        <w:t>9</w:t>
      </w:r>
      <w:r>
        <w:rPr>
          <w:b w:val="0"/>
          <w:bCs w:val="0"/>
          <w:color w:val="000000"/>
          <w:spacing w:val="0"/>
          <w:w w:val="100"/>
          <w:position w:val="0"/>
          <w:sz w:val="24"/>
          <w:szCs w:val="24"/>
        </w:rPr>
        <w:t>、长期待摊费用</w:t>
      </w:r>
      <w:bookmarkEnd w:id="1032"/>
      <w:bookmarkEnd w:id="1033"/>
      <w:bookmarkEnd w:id="1035"/>
    </w:p>
    <w:tbl>
      <w:tblPr>
        <w:tblOverlap w:val="never"/>
        <w:jc w:val="center"/>
        <w:tblLayout w:type="fixed"/>
      </w:tblPr>
      <w:tblGrid>
        <w:gridCol w:w="1186"/>
        <w:gridCol w:w="1517"/>
        <w:gridCol w:w="1459"/>
        <w:gridCol w:w="1560"/>
        <w:gridCol w:w="1133"/>
        <w:gridCol w:w="1459"/>
        <w:gridCol w:w="1022"/>
      </w:tblGrid>
      <w:tr>
        <w:trPr>
          <w:trHeight w:val="91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2020.01.01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其他减少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left"/>
              <w:rPr>
                <w:sz w:val="20"/>
                <w:szCs w:val="20"/>
              </w:rPr>
            </w:pPr>
            <w:r>
              <w:rPr>
                <w:b/>
                <w:bCs/>
                <w:color w:val="000000"/>
                <w:spacing w:val="0"/>
                <w:w w:val="100"/>
                <w:position w:val="0"/>
                <w:sz w:val="20"/>
                <w:szCs w:val="20"/>
              </w:rPr>
              <w:t>其他减 少的原 因</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5,217,806.68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4,792,795.81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2,941,730.76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7,068,871.73</w:t>
            </w:r>
          </w:p>
        </w:tc>
        <w:tc>
          <w:tcPr>
            <w:tcBorders>
              <w:top w:val="single" w:sz="4"/>
              <w:left w:val="single" w:sz="4"/>
            </w:tcBorders>
            <w:shd w:val="clear" w:color="auto" w:fill="FFFFFF"/>
            <w:vAlign w:val="top"/>
          </w:tcPr>
          <w:p>
            <w:pPr>
              <w:widowControl w:val="0"/>
              <w:rPr>
                <w:sz w:val="10"/>
                <w:szCs w:val="10"/>
              </w:rPr>
            </w:pPr>
          </w:p>
        </w:tc>
      </w:tr>
      <w:tr>
        <w:trPr>
          <w:trHeight w:val="64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2"/>
                <w:szCs w:val="22"/>
              </w:rPr>
              <w:t>EDA</w:t>
            </w: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3,249,584.23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11,514,767.6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10,925,859.54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3,838,492.29</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2"/>
                <w:szCs w:val="22"/>
              </w:rPr>
              <w:t>IP</w:t>
            </w:r>
            <w:r>
              <w:rPr>
                <w:color w:val="000000"/>
                <w:spacing w:val="0"/>
                <w:w w:val="100"/>
                <w:position w:val="0"/>
                <w:sz w:val="20"/>
                <w:szCs w:val="20"/>
              </w:rPr>
              <w:t>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10,396,268.66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2,722,860.00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7,747,947.50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5,371,181.16</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2,116,550.04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560,582.10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1,029,991.65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35,099.78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1,612,040.71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转入在 建工程</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20,980,209.61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19,591,005.51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22,645,529.45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35,099.78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17,890,585.89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52"/>
        <w:keepNext/>
        <w:keepLines/>
        <w:widowControl w:val="0"/>
        <w:shd w:val="clear" w:color="auto" w:fill="auto"/>
        <w:bidi w:val="0"/>
        <w:spacing w:before="0" w:after="420" w:line="240" w:lineRule="auto"/>
        <w:ind w:left="0" w:right="0" w:firstLine="0"/>
        <w:jc w:val="left"/>
        <w:rPr>
          <w:sz w:val="24"/>
          <w:szCs w:val="24"/>
        </w:rPr>
      </w:pPr>
      <w:bookmarkStart w:id="1036" w:name="bookmark1036"/>
      <w:bookmarkStart w:id="1037" w:name="bookmark1037"/>
      <w:bookmarkStart w:id="1038" w:name="bookmark1038"/>
      <w:bookmarkStart w:id="1039" w:name="bookmark1039"/>
      <w:r>
        <w:rPr>
          <w:rFonts w:ascii="Times New Roman" w:eastAsia="Times New Roman" w:hAnsi="Times New Roman" w:cs="Times New Roman"/>
          <w:b w:val="0"/>
          <w:bCs w:val="0"/>
          <w:color w:val="000000"/>
          <w:spacing w:val="0"/>
          <w:w w:val="100"/>
          <w:position w:val="0"/>
          <w:sz w:val="24"/>
          <w:szCs w:val="24"/>
        </w:rPr>
        <w:t>2</w:t>
      </w:r>
      <w:bookmarkEnd w:id="1038"/>
      <w:r>
        <w:rPr>
          <w:rFonts w:ascii="Times New Roman" w:eastAsia="Times New Roman" w:hAnsi="Times New Roman" w:cs="Times New Roman"/>
          <w:b w:val="0"/>
          <w:bCs w:val="0"/>
          <w:color w:val="000000"/>
          <w:spacing w:val="0"/>
          <w:w w:val="100"/>
          <w:position w:val="0"/>
          <w:sz w:val="24"/>
          <w:szCs w:val="24"/>
        </w:rPr>
        <w:t>0</w:t>
      </w:r>
      <w:r>
        <w:rPr>
          <w:b w:val="0"/>
          <w:bCs w:val="0"/>
          <w:color w:val="000000"/>
          <w:spacing w:val="0"/>
          <w:w w:val="100"/>
          <w:position w:val="0"/>
          <w:sz w:val="24"/>
          <w:szCs w:val="24"/>
        </w:rPr>
        <w:t>、递延所得税资产和递延所得税负债</w:t>
      </w:r>
      <w:bookmarkEnd w:id="1036"/>
      <w:bookmarkEnd w:id="1037"/>
      <w:bookmarkEnd w:id="1039"/>
    </w:p>
    <w:p>
      <w:pPr>
        <w:pStyle w:val="Style52"/>
        <w:keepNext/>
        <w:keepLines/>
        <w:widowControl w:val="0"/>
        <w:shd w:val="clear" w:color="auto" w:fill="auto"/>
        <w:bidi w:val="0"/>
        <w:spacing w:before="0" w:after="120" w:line="240" w:lineRule="auto"/>
        <w:ind w:left="0" w:right="0" w:firstLine="600"/>
        <w:jc w:val="left"/>
      </w:pPr>
      <w:bookmarkStart w:id="1036" w:name="bookmark1036"/>
      <w:bookmarkStart w:id="1037" w:name="bookmark1037"/>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)未经抵销的递延所得税资产</w:t>
      </w:r>
      <w:bookmarkEnd w:id="1036"/>
      <w:bookmarkEnd w:id="1037"/>
    </w:p>
    <w:tbl>
      <w:tblPr>
        <w:tblOverlap w:val="never"/>
        <w:jc w:val="center"/>
        <w:tblLayout w:type="fixed"/>
      </w:tblPr>
      <w:tblGrid>
        <w:gridCol w:w="1886"/>
        <w:gridCol w:w="1843"/>
        <w:gridCol w:w="2126"/>
        <w:gridCol w:w="1843"/>
        <w:gridCol w:w="2160"/>
      </w:tblGrid>
      <w:tr>
        <w:trPr>
          <w:trHeight w:val="47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2020.12.31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b/>
                <w:bCs/>
                <w:color w:val="000000"/>
                <w:spacing w:val="0"/>
                <w:w w:val="100"/>
                <w:position w:val="0"/>
              </w:rPr>
              <w:t>2019.12.31</w:t>
            </w:r>
          </w:p>
        </w:tc>
      </w:tr>
      <w:tr>
        <w:trPr>
          <w:trHeight w:val="58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可抵扣暂时性差异</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信用减值准备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39,980,728.80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266,538,192.02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40,827,985.49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269,881,236.70</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1,903,415.41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12,689,436.05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6,670,981.30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26,683,925.19</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6,499,278.22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28,929,132.41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2,648,919.16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10,595,676.65</w:t>
            </w:r>
          </w:p>
        </w:tc>
      </w:tr>
      <w:tr>
        <w:trPr>
          <w:trHeight w:val="370"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bCs/>
                <w:color w:val="000000"/>
                <w:spacing w:val="0"/>
                <w:w w:val="100"/>
                <w:position w:val="0"/>
              </w:rPr>
              <w:t>48,383,422.43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b/>
                <w:bCs/>
                <w:color w:val="000000"/>
                <w:spacing w:val="0"/>
                <w:w w:val="100"/>
                <w:position w:val="0"/>
              </w:rPr>
              <w:t>308,156,760.48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bCs/>
                <w:color w:val="000000"/>
                <w:spacing w:val="0"/>
                <w:w w:val="100"/>
                <w:position w:val="0"/>
              </w:rPr>
              <w:t>50,147,885.95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b/>
                <w:bCs/>
                <w:color w:val="000000"/>
                <w:spacing w:val="0"/>
                <w:w w:val="100"/>
                <w:position w:val="0"/>
              </w:rPr>
              <w:t>307,160,838.54</w:t>
            </w:r>
          </w:p>
        </w:tc>
      </w:tr>
    </w:tbl>
    <w:p>
      <w:pPr>
        <w:widowControl w:val="0"/>
        <w:spacing w:after="119" w:line="1" w:lineRule="exact"/>
      </w:pPr>
    </w:p>
    <w:p>
      <w:pPr>
        <w:pStyle w:val="Style44"/>
        <w:keepNext w:val="0"/>
        <w:keepLines w:val="0"/>
        <w:widowControl w:val="0"/>
        <w:shd w:val="clear" w:color="auto" w:fill="auto"/>
        <w:bidi w:val="0"/>
        <w:spacing w:before="0" w:after="120" w:line="240" w:lineRule="auto"/>
        <w:ind w:left="0" w:right="0" w:firstLine="740"/>
        <w:jc w:val="left"/>
      </w:pP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p>
    <w:tbl>
      <w:tblPr>
        <w:tblOverlap w:val="never"/>
        <w:jc w:val="center"/>
        <w:tblLayout w:type="fixed"/>
      </w:tblPr>
      <w:tblGrid>
        <w:gridCol w:w="2314"/>
        <w:gridCol w:w="1843"/>
        <w:gridCol w:w="1982"/>
        <w:gridCol w:w="1704"/>
        <w:gridCol w:w="1982"/>
      </w:tblGrid>
      <w:tr>
        <w:trPr>
          <w:trHeight w:val="46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2020.12.31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2019.12.31</w:t>
            </w:r>
          </w:p>
        </w:tc>
      </w:tr>
      <w:tr>
        <w:trPr>
          <w:trHeight w:val="50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应纳税暂时性差异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应纳税暂时性差异</w:t>
            </w:r>
          </w:p>
        </w:tc>
      </w:tr>
      <w:tr>
        <w:trPr>
          <w:trHeight w:val="62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83" w:lineRule="exact"/>
              <w:ind w:left="260" w:right="0" w:firstLine="0"/>
              <w:jc w:val="left"/>
              <w:rPr>
                <w:sz w:val="20"/>
                <w:szCs w:val="20"/>
              </w:rPr>
            </w:pPr>
            <w:r>
              <w:rPr>
                <w:color w:val="000000"/>
                <w:spacing w:val="0"/>
                <w:w w:val="100"/>
                <w:position w:val="0"/>
                <w:sz w:val="20"/>
                <w:szCs w:val="20"/>
              </w:rPr>
              <w:t>非同一控制下企业合 并资产评估增值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2,259,786.17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15,065,241.18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2,582,367.64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17,215,784.29</w:t>
            </w:r>
          </w:p>
        </w:tc>
      </w:tr>
      <w:tr>
        <w:trPr>
          <w:trHeight w:val="61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260"/>
              <w:jc w:val="left"/>
              <w:rPr>
                <w:sz w:val="20"/>
                <w:szCs w:val="20"/>
              </w:rPr>
            </w:pPr>
            <w:r>
              <w:rPr>
                <w:color w:val="000000"/>
                <w:spacing w:val="0"/>
                <w:w w:val="100"/>
                <w:position w:val="0"/>
                <w:sz w:val="20"/>
                <w:szCs w:val="20"/>
              </w:rPr>
              <w:t>投资性房地产公允价</w:t>
            </w:r>
          </w:p>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29,044,345.29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193,628,968.53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29,439,196.58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196,261,310.53</w:t>
            </w:r>
          </w:p>
        </w:tc>
      </w:tr>
      <w:tr>
        <w:trPr>
          <w:trHeight w:val="50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31,304,131.46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208,694,209.71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32,021,564.22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b/>
                <w:bCs/>
                <w:color w:val="000000"/>
                <w:spacing w:val="0"/>
                <w:w w:val="100"/>
                <w:position w:val="0"/>
              </w:rPr>
              <w:t>213,477,094.82</w:t>
            </w:r>
          </w:p>
        </w:tc>
      </w:tr>
    </w:tbl>
    <w:p>
      <w:pPr>
        <w:widowControl w:val="0"/>
        <w:spacing w:after="119" w:line="1" w:lineRule="exact"/>
      </w:pPr>
    </w:p>
    <w:p>
      <w:pPr>
        <w:pStyle w:val="Style44"/>
        <w:keepNext w:val="0"/>
        <w:keepLines w:val="0"/>
        <w:widowControl w:val="0"/>
        <w:numPr>
          <w:ilvl w:val="0"/>
          <w:numId w:val="53"/>
        </w:numPr>
        <w:pBdr>
          <w:bottom w:val="single" w:sz="4" w:space="0" w:color="auto"/>
        </w:pBdr>
        <w:shd w:val="clear" w:color="auto" w:fill="auto"/>
        <w:bidi w:val="0"/>
        <w:spacing w:before="0" w:after="200" w:line="240" w:lineRule="auto"/>
        <w:ind w:left="0" w:right="0" w:firstLine="740"/>
        <w:jc w:val="left"/>
      </w:pPr>
      <w:bookmarkStart w:id="1040" w:name="bookmark1040"/>
      <w:bookmarkEnd w:id="1040"/>
      <w:r>
        <w:rPr>
          <w:color w:val="000000"/>
          <w:spacing w:val="0"/>
          <w:w w:val="100"/>
          <w:position w:val="0"/>
        </w:rPr>
        <w:t>未确认递延所得税资产明细</w:t>
      </w:r>
    </w:p>
    <w:p>
      <w:pPr>
        <w:pStyle w:val="Style38"/>
        <w:keepNext w:val="0"/>
        <w:keepLines w:val="0"/>
        <w:widowControl w:val="0"/>
        <w:shd w:val="clear" w:color="auto" w:fill="auto"/>
        <w:tabs>
          <w:tab w:pos="4930" w:val="left"/>
          <w:tab w:pos="7939" w:val="left"/>
        </w:tabs>
        <w:bidi w:val="0"/>
        <w:spacing w:before="0" w:after="0" w:line="240" w:lineRule="auto"/>
        <w:ind w:left="0" w:right="0" w:firstLine="0"/>
        <w:jc w:val="center"/>
      </w:pPr>
      <w:r>
        <w:rPr>
          <w:b/>
          <w:bCs/>
          <w:color w:val="000000"/>
          <w:spacing w:val="0"/>
          <w:w w:val="100"/>
          <w:position w:val="0"/>
          <w:sz w:val="20"/>
          <w:szCs w:val="20"/>
        </w:rPr>
        <w:t>项目</w:t>
        <w:tab/>
      </w:r>
      <w:r>
        <w:rPr>
          <w:rFonts w:ascii="Times New Roman" w:eastAsia="Times New Roman" w:hAnsi="Times New Roman" w:cs="Times New Roman"/>
          <w:b/>
          <w:bCs/>
          <w:color w:val="000000"/>
          <w:spacing w:val="0"/>
          <w:w w:val="100"/>
          <w:position w:val="0"/>
        </w:rPr>
        <w:t>2020.12.31</w:t>
        <w:tab/>
        <w:t>2019.12.31</w:t>
      </w:r>
    </w:p>
    <w:tbl>
      <w:tblPr>
        <w:tblOverlap w:val="never"/>
        <w:jc w:val="center"/>
        <w:tblLayout w:type="fixed"/>
      </w:tblPr>
      <w:tblGrid>
        <w:gridCol w:w="3144"/>
        <w:gridCol w:w="3110"/>
        <w:gridCol w:w="3038"/>
      </w:tblGrid>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732,263,524.32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796,476,953.00</w:t>
            </w: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信用减值准备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1,071,673,457.18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1,109,640,558.99</w:t>
            </w:r>
          </w:p>
        </w:tc>
      </w:tr>
    </w:tbl>
    <w:p>
      <w:pPr>
        <w:widowControl w:val="0"/>
        <w:spacing w:line="1" w:lineRule="exact"/>
      </w:pPr>
      <w:r>
        <w:br w:type="page"/>
      </w:r>
    </w:p>
    <w:p>
      <w:pPr>
        <w:pStyle w:val="Style38"/>
        <w:keepNext w:val="0"/>
        <w:keepLines w:val="0"/>
        <w:widowControl w:val="0"/>
        <w:shd w:val="clear" w:color="auto" w:fill="auto"/>
        <w:tabs>
          <w:tab w:pos="5450" w:val="left"/>
          <w:tab w:pos="8459" w:val="left"/>
        </w:tabs>
        <w:bidi w:val="0"/>
        <w:spacing w:before="0" w:after="0" w:line="240" w:lineRule="auto"/>
        <w:ind w:left="0" w:right="0" w:firstLine="0"/>
        <w:jc w:val="left"/>
      </w:pPr>
      <w:r>
        <w:rPr>
          <w:b/>
          <w:bCs/>
          <w:color w:val="000000"/>
          <w:spacing w:val="0"/>
          <w:w w:val="100"/>
          <w:position w:val="0"/>
          <w:sz w:val="20"/>
          <w:szCs w:val="20"/>
        </w:rPr>
        <w:t>项目</w:t>
        <w:tab/>
      </w:r>
      <w:r>
        <w:rPr>
          <w:rFonts w:ascii="Times New Roman" w:eastAsia="Times New Roman" w:hAnsi="Times New Roman" w:cs="Times New Roman"/>
          <w:b/>
          <w:bCs/>
          <w:color w:val="000000"/>
          <w:spacing w:val="0"/>
          <w:w w:val="100"/>
          <w:position w:val="0"/>
        </w:rPr>
        <w:t>2020.12.31</w:t>
        <w:tab/>
        <w:t>2019.12.31</w:t>
      </w:r>
    </w:p>
    <w:tbl>
      <w:tblPr>
        <w:tblOverlap w:val="never"/>
        <w:jc w:val="center"/>
        <w:tblLayout w:type="fixed"/>
      </w:tblPr>
      <w:tblGrid>
        <w:gridCol w:w="3144"/>
        <w:gridCol w:w="3110"/>
        <w:gridCol w:w="3038"/>
      </w:tblGrid>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1,109,724,829.42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1,069,802,488.63</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25,090,780.99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710,209.35</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权益法下华夏芯投资收益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39,861,008.63</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6,489,678.34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3,256,642.17</w:t>
            </w: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2,985,103,278.88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b/>
                <w:bCs/>
                <w:color w:val="000000"/>
                <w:spacing w:val="0"/>
                <w:w w:val="100"/>
                <w:position w:val="0"/>
              </w:rPr>
              <w:t>2,979,886,852.14</w:t>
            </w:r>
          </w:p>
        </w:tc>
      </w:tr>
    </w:tbl>
    <w:p>
      <w:pPr>
        <w:pStyle w:val="Style44"/>
        <w:keepNext w:val="0"/>
        <w:keepLines w:val="0"/>
        <w:widowControl w:val="0"/>
        <w:shd w:val="clear" w:color="auto" w:fill="auto"/>
        <w:bidi w:val="0"/>
        <w:spacing w:before="0" w:after="220" w:line="470" w:lineRule="exact"/>
        <w:ind w:left="0" w:right="0" w:firstLine="520"/>
        <w:jc w:val="left"/>
      </w:pPr>
      <w:r>
        <w:rPr>
          <w:color w:val="000000"/>
          <w:spacing w:val="0"/>
          <w:w w:val="100"/>
          <w:position w:val="0"/>
        </w:rPr>
        <w:t>注：由于未来能否获得足够的应纳税所得额具有不确定性，因而没有确认递延所得税资产的 可抵扣暂时性差异和可抵扣亏损。</w:t>
      </w:r>
    </w:p>
    <w:p>
      <w:pPr>
        <w:pStyle w:val="Style44"/>
        <w:keepNext w:val="0"/>
        <w:keepLines w:val="0"/>
        <w:widowControl w:val="0"/>
        <w:numPr>
          <w:ilvl w:val="0"/>
          <w:numId w:val="53"/>
        </w:numPr>
        <w:pBdr>
          <w:bottom w:val="single" w:sz="4" w:space="0" w:color="auto"/>
        </w:pBdr>
        <w:shd w:val="clear" w:color="auto" w:fill="auto"/>
        <w:bidi w:val="0"/>
        <w:spacing w:before="0" w:after="220" w:line="240" w:lineRule="auto"/>
        <w:ind w:left="0" w:right="0" w:firstLine="640"/>
        <w:jc w:val="left"/>
      </w:pPr>
      <w:bookmarkStart w:id="1041" w:name="bookmark1041"/>
      <w:bookmarkEnd w:id="1041"/>
      <w:r>
        <w:rPr>
          <w:color w:val="000000"/>
          <w:spacing w:val="0"/>
          <w:w w:val="100"/>
          <w:position w:val="0"/>
        </w:rPr>
        <w:t>未确认递延所得税资产的可抵扣亏损将于以下年度到期</w:t>
      </w:r>
    </w:p>
    <w:p>
      <w:pPr>
        <w:pStyle w:val="Style38"/>
        <w:keepNext w:val="0"/>
        <w:keepLines w:val="0"/>
        <w:widowControl w:val="0"/>
        <w:shd w:val="clear" w:color="auto" w:fill="auto"/>
        <w:tabs>
          <w:tab w:pos="4157" w:val="left"/>
          <w:tab w:pos="6283" w:val="left"/>
          <w:tab w:pos="8146" w:val="left"/>
        </w:tabs>
        <w:bidi w:val="0"/>
        <w:spacing w:before="0" w:after="0" w:line="240" w:lineRule="auto"/>
        <w:ind w:left="394" w:right="0" w:firstLine="0"/>
        <w:jc w:val="left"/>
        <w:rPr>
          <w:sz w:val="20"/>
          <w:szCs w:val="20"/>
        </w:rPr>
      </w:pPr>
      <w:r>
        <w:rPr>
          <w:b/>
          <w:bCs/>
          <w:color w:val="000000"/>
          <w:spacing w:val="0"/>
          <w:w w:val="100"/>
          <w:position w:val="0"/>
          <w:sz w:val="20"/>
          <w:szCs w:val="20"/>
        </w:rPr>
        <w:t>年份</w:t>
        <w:tab/>
      </w:r>
      <w:r>
        <w:rPr>
          <w:rFonts w:ascii="Times New Roman" w:eastAsia="Times New Roman" w:hAnsi="Times New Roman" w:cs="Times New Roman"/>
          <w:b/>
          <w:bCs/>
          <w:color w:val="000000"/>
          <w:spacing w:val="0"/>
          <w:w w:val="100"/>
          <w:position w:val="0"/>
          <w:sz w:val="22"/>
          <w:szCs w:val="22"/>
        </w:rPr>
        <w:t>2020.12.31</w:t>
        <w:tab/>
        <w:t>2019.12.31</w:t>
        <w:tab/>
      </w:r>
      <w:r>
        <w:rPr>
          <w:b/>
          <w:bCs/>
          <w:color w:val="000000"/>
          <w:spacing w:val="0"/>
          <w:w w:val="100"/>
          <w:position w:val="0"/>
          <w:sz w:val="20"/>
          <w:szCs w:val="20"/>
        </w:rPr>
        <w:t>备注</w:t>
      </w:r>
    </w:p>
    <w:tbl>
      <w:tblPr>
        <w:tblOverlap w:val="never"/>
        <w:jc w:val="center"/>
        <w:tblLayout w:type="fixed"/>
      </w:tblPr>
      <w:tblGrid>
        <w:gridCol w:w="3062"/>
        <w:gridCol w:w="2285"/>
        <w:gridCol w:w="2146"/>
        <w:gridCol w:w="1800"/>
      </w:tblGrid>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2"/>
                <w:szCs w:val="22"/>
              </w:rPr>
              <w:t>2022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1,098,941.43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6,731,022.07</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2"/>
                <w:szCs w:val="22"/>
              </w:rPr>
              <w:t xml:space="preserve">2023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8,002,961.47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8,034,862.52</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2"/>
                <w:szCs w:val="22"/>
              </w:rPr>
              <w:t>2024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63,052,049.91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158,542,224.71</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2"/>
                <w:szCs w:val="22"/>
              </w:rPr>
              <w:t xml:space="preserve">2025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9,996,548.09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2"/>
                <w:szCs w:val="22"/>
              </w:rPr>
              <w:t>2026</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48,816,979.17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48,816,979.17</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2"/>
                <w:szCs w:val="22"/>
              </w:rPr>
              <w:t>2027</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21,688,517.19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21,688,517.19</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2"/>
                <w:szCs w:val="22"/>
              </w:rPr>
              <w:t>2028</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143,615,397.77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143,615,397.77</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2"/>
                <w:szCs w:val="22"/>
              </w:rPr>
              <w:t>2029</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682,373,485.20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682,373,485.20</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2"/>
                <w:szCs w:val="22"/>
              </w:rPr>
              <w:t>2030</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131,079,949.19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1,109,724,829.42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rPr>
              <w:t>1,069,802,488.63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52"/>
        <w:keepNext/>
        <w:keepLines/>
        <w:widowControl w:val="0"/>
        <w:shd w:val="clear" w:color="auto" w:fill="auto"/>
        <w:bidi w:val="0"/>
        <w:spacing w:before="0" w:after="420" w:line="240" w:lineRule="auto"/>
        <w:ind w:left="0" w:right="0" w:firstLine="0"/>
        <w:jc w:val="left"/>
        <w:rPr>
          <w:sz w:val="24"/>
          <w:szCs w:val="24"/>
        </w:rPr>
      </w:pPr>
      <w:bookmarkStart w:id="1042" w:name="bookmark1042"/>
      <w:bookmarkStart w:id="1043" w:name="bookmark1043"/>
      <w:bookmarkStart w:id="1044" w:name="bookmark1044"/>
      <w:bookmarkStart w:id="1045" w:name="bookmark1045"/>
      <w:r>
        <w:rPr>
          <w:rFonts w:ascii="Times New Roman" w:eastAsia="Times New Roman" w:hAnsi="Times New Roman" w:cs="Times New Roman"/>
          <w:b w:val="0"/>
          <w:bCs w:val="0"/>
          <w:color w:val="000000"/>
          <w:spacing w:val="0"/>
          <w:w w:val="100"/>
          <w:position w:val="0"/>
          <w:sz w:val="24"/>
          <w:szCs w:val="24"/>
        </w:rPr>
        <w:t>2</w:t>
      </w:r>
      <w:bookmarkEnd w:id="1044"/>
      <w:r>
        <w:rPr>
          <w:rFonts w:ascii="Times New Roman" w:eastAsia="Times New Roman" w:hAnsi="Times New Roman" w:cs="Times New Roman"/>
          <w:b w:val="0"/>
          <w:bCs w:val="0"/>
          <w:color w:val="000000"/>
          <w:spacing w:val="0"/>
          <w:w w:val="100"/>
          <w:position w:val="0"/>
          <w:sz w:val="24"/>
          <w:szCs w:val="24"/>
        </w:rPr>
        <w:t>1</w:t>
      </w:r>
      <w:r>
        <w:rPr>
          <w:b w:val="0"/>
          <w:bCs w:val="0"/>
          <w:color w:val="000000"/>
          <w:spacing w:val="0"/>
          <w:w w:val="100"/>
          <w:position w:val="0"/>
          <w:sz w:val="24"/>
          <w:szCs w:val="24"/>
        </w:rPr>
        <w:t>、短期借款</w:t>
      </w:r>
      <w:bookmarkEnd w:id="1042"/>
      <w:bookmarkEnd w:id="1043"/>
      <w:bookmarkEnd w:id="1045"/>
    </w:p>
    <w:p>
      <w:pPr>
        <w:pStyle w:val="Style52"/>
        <w:keepNext/>
        <w:keepLines/>
        <w:widowControl w:val="0"/>
        <w:shd w:val="clear" w:color="auto" w:fill="auto"/>
        <w:bidi w:val="0"/>
        <w:spacing w:before="0" w:after="140" w:line="240" w:lineRule="auto"/>
        <w:ind w:left="0" w:right="0" w:firstLine="520"/>
        <w:jc w:val="left"/>
      </w:pPr>
      <w:bookmarkStart w:id="1042" w:name="bookmark1042"/>
      <w:bookmarkStart w:id="1043" w:name="bookmark1043"/>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)短期借款分类</w:t>
      </w:r>
      <w:bookmarkEnd w:id="1042"/>
      <w:bookmarkEnd w:id="1043"/>
    </w:p>
    <w:tbl>
      <w:tblPr>
        <w:tblOverlap w:val="never"/>
        <w:jc w:val="center"/>
        <w:tblLayout w:type="fixed"/>
      </w:tblPr>
      <w:tblGrid>
        <w:gridCol w:w="3091"/>
        <w:gridCol w:w="3048"/>
        <w:gridCol w:w="3077"/>
      </w:tblGrid>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借款类别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2020.12.31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2019.12.31</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保证借款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50,000,000.00</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35,000,000.00</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质押、抵押、保证借款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240,000,000.00</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短期借款应付利息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189,138.89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536,033.33</w:t>
            </w: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100,189,138.89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b/>
                <w:bCs/>
                <w:color w:val="000000"/>
                <w:spacing w:val="0"/>
                <w:w w:val="100"/>
                <w:position w:val="0"/>
              </w:rPr>
              <w:t>325,536,033.33</w:t>
            </w:r>
          </w:p>
        </w:tc>
      </w:tr>
    </w:tbl>
    <w:p>
      <w:pPr>
        <w:widowControl w:val="0"/>
        <w:spacing w:after="139" w:line="1" w:lineRule="exact"/>
      </w:pPr>
    </w:p>
    <w:p>
      <w:pPr>
        <w:pStyle w:val="Style44"/>
        <w:keepNext w:val="0"/>
        <w:keepLines w:val="0"/>
        <w:widowControl w:val="0"/>
        <w:shd w:val="clear" w:color="auto" w:fill="auto"/>
        <w:bidi w:val="0"/>
        <w:spacing w:before="0" w:after="220" w:line="240" w:lineRule="auto"/>
        <w:ind w:left="0" w:right="0" w:firstLine="640"/>
        <w:jc w:val="left"/>
      </w:pPr>
      <w:r>
        <w:rPr>
          <w:rFonts w:ascii="Times New Roman" w:eastAsia="Times New Roman" w:hAnsi="Times New Roman" w:cs="Times New Roman"/>
          <w:color w:val="000000"/>
          <w:spacing w:val="0"/>
          <w:w w:val="100"/>
          <w:position w:val="0"/>
        </w:rPr>
        <w:t>(2</w:t>
      </w:r>
      <w:r>
        <w:rPr>
          <w:color w:val="000000"/>
          <w:spacing w:val="0"/>
          <w:w w:val="100"/>
          <w:position w:val="0"/>
        </w:rPr>
        <w:t>)无逾期未偿还的短期借款</w:t>
      </w:r>
      <w:r>
        <w:br w:type="page"/>
      </w:r>
    </w:p>
    <w:p>
      <w:pPr>
        <w:pStyle w:val="Style52"/>
        <w:keepNext/>
        <w:keepLines/>
        <w:widowControl w:val="0"/>
        <w:shd w:val="clear" w:color="auto" w:fill="auto"/>
        <w:bidi w:val="0"/>
        <w:spacing w:before="0" w:after="280" w:line="240" w:lineRule="auto"/>
        <w:ind w:left="0" w:right="0" w:firstLine="0"/>
        <w:jc w:val="left"/>
        <w:rPr>
          <w:sz w:val="24"/>
          <w:szCs w:val="24"/>
        </w:rPr>
      </w:pPr>
      <w:bookmarkStart w:id="1046" w:name="bookmark1046"/>
      <w:bookmarkStart w:id="1047" w:name="bookmark1047"/>
      <w:bookmarkStart w:id="1048" w:name="bookmark1048"/>
      <w:bookmarkStart w:id="1049" w:name="bookmark1049"/>
      <w:r>
        <w:rPr>
          <w:rFonts w:ascii="Times New Roman" w:eastAsia="Times New Roman" w:hAnsi="Times New Roman" w:cs="Times New Roman"/>
          <w:b w:val="0"/>
          <w:bCs w:val="0"/>
          <w:color w:val="000000"/>
          <w:spacing w:val="0"/>
          <w:w w:val="100"/>
          <w:position w:val="0"/>
          <w:sz w:val="24"/>
          <w:szCs w:val="24"/>
        </w:rPr>
        <w:t>2</w:t>
      </w:r>
      <w:bookmarkEnd w:id="1048"/>
      <w:r>
        <w:rPr>
          <w:rFonts w:ascii="Times New Roman" w:eastAsia="Times New Roman" w:hAnsi="Times New Roman" w:cs="Times New Roman"/>
          <w:b w:val="0"/>
          <w:bCs w:val="0"/>
          <w:color w:val="000000"/>
          <w:spacing w:val="0"/>
          <w:w w:val="100"/>
          <w:position w:val="0"/>
          <w:sz w:val="24"/>
          <w:szCs w:val="24"/>
        </w:rPr>
        <w:t>2</w:t>
      </w:r>
      <w:r>
        <w:rPr>
          <w:b w:val="0"/>
          <w:bCs w:val="0"/>
          <w:color w:val="000000"/>
          <w:spacing w:val="0"/>
          <w:w w:val="100"/>
          <w:position w:val="0"/>
          <w:sz w:val="24"/>
          <w:szCs w:val="24"/>
        </w:rPr>
        <w:t>、应付票据</w:t>
      </w:r>
      <w:bookmarkEnd w:id="1046"/>
      <w:bookmarkEnd w:id="1047"/>
      <w:bookmarkEnd w:id="1049"/>
    </w:p>
    <w:tbl>
      <w:tblPr>
        <w:tblOverlap w:val="never"/>
        <w:jc w:val="left"/>
        <w:tblLayout w:type="fixed"/>
      </w:tblPr>
      <w:tblGrid>
        <w:gridCol w:w="3283"/>
        <w:gridCol w:w="3518"/>
        <w:gridCol w:w="2203"/>
      </w:tblGrid>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种类</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b/>
                <w:bCs/>
                <w:color w:val="000000"/>
                <w:spacing w:val="0"/>
                <w:w w:val="100"/>
                <w:position w:val="0"/>
              </w:rPr>
              <w:t>2020.12.31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2019.12.31</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银行承兑汇票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28,306,071.80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34,178,722.88</w:t>
            </w:r>
          </w:p>
        </w:tc>
      </w:tr>
      <w:tr>
        <w:trPr>
          <w:trHeight w:val="451"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商业承兑汇票</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b/>
                <w:bCs/>
                <w:color w:val="000000"/>
                <w:spacing w:val="0"/>
                <w:w w:val="100"/>
                <w:position w:val="0"/>
              </w:rPr>
              <w:t>28,306,071.80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b/>
                <w:bCs/>
                <w:color w:val="000000"/>
                <w:spacing w:val="0"/>
                <w:w w:val="100"/>
                <w:position w:val="0"/>
              </w:rPr>
              <w:t>34,178,722.88</w:t>
            </w:r>
          </w:p>
        </w:tc>
      </w:tr>
    </w:tbl>
    <w:p>
      <w:pPr>
        <w:widowControl w:val="0"/>
        <w:spacing w:after="139" w:line="1" w:lineRule="exact"/>
      </w:pPr>
    </w:p>
    <w:p>
      <w:pPr>
        <w:pStyle w:val="Style44"/>
        <w:keepNext w:val="0"/>
        <w:keepLines w:val="0"/>
        <w:widowControl w:val="0"/>
        <w:shd w:val="clear" w:color="auto" w:fill="auto"/>
        <w:bidi w:val="0"/>
        <w:spacing w:before="0" w:after="420" w:line="240" w:lineRule="auto"/>
        <w:ind w:left="0" w:right="0" w:firstLine="640"/>
        <w:jc w:val="left"/>
      </w:pPr>
      <w:r>
        <w:rPr>
          <w:color w:val="000000"/>
          <w:spacing w:val="0"/>
          <w:w w:val="100"/>
          <w:position w:val="0"/>
        </w:rPr>
        <w:t>注：期末无已到期未支付的应付票据。</w:t>
      </w:r>
    </w:p>
    <w:p>
      <w:pPr>
        <w:pStyle w:val="Style52"/>
        <w:keepNext/>
        <w:keepLines/>
        <w:widowControl w:val="0"/>
        <w:shd w:val="clear" w:color="auto" w:fill="auto"/>
        <w:bidi w:val="0"/>
        <w:spacing w:before="0" w:after="420" w:line="240" w:lineRule="auto"/>
        <w:ind w:left="0" w:right="0" w:firstLine="0"/>
        <w:jc w:val="left"/>
        <w:rPr>
          <w:sz w:val="24"/>
          <w:szCs w:val="24"/>
        </w:rPr>
      </w:pPr>
      <w:bookmarkStart w:id="1050" w:name="bookmark1050"/>
      <w:bookmarkStart w:id="1051" w:name="bookmark1051"/>
      <w:bookmarkStart w:id="1052" w:name="bookmark1052"/>
      <w:bookmarkStart w:id="1053" w:name="bookmark1053"/>
      <w:r>
        <w:rPr>
          <w:rFonts w:ascii="Times New Roman" w:eastAsia="Times New Roman" w:hAnsi="Times New Roman" w:cs="Times New Roman"/>
          <w:b w:val="0"/>
          <w:bCs w:val="0"/>
          <w:color w:val="000000"/>
          <w:spacing w:val="0"/>
          <w:w w:val="100"/>
          <w:position w:val="0"/>
          <w:sz w:val="24"/>
          <w:szCs w:val="24"/>
        </w:rPr>
        <w:t>2</w:t>
      </w:r>
      <w:bookmarkEnd w:id="1052"/>
      <w:r>
        <w:rPr>
          <w:rFonts w:ascii="Times New Roman" w:eastAsia="Times New Roman" w:hAnsi="Times New Roman" w:cs="Times New Roman"/>
          <w:b w:val="0"/>
          <w:bCs w:val="0"/>
          <w:color w:val="000000"/>
          <w:spacing w:val="0"/>
          <w:w w:val="100"/>
          <w:position w:val="0"/>
          <w:sz w:val="24"/>
          <w:szCs w:val="24"/>
        </w:rPr>
        <w:t>3</w:t>
      </w:r>
      <w:r>
        <w:rPr>
          <w:b w:val="0"/>
          <w:bCs w:val="0"/>
          <w:color w:val="000000"/>
          <w:spacing w:val="0"/>
          <w:w w:val="100"/>
          <w:position w:val="0"/>
          <w:sz w:val="24"/>
          <w:szCs w:val="24"/>
        </w:rPr>
        <w:t>、应付账款</w:t>
      </w:r>
      <w:bookmarkEnd w:id="1050"/>
      <w:bookmarkEnd w:id="1051"/>
      <w:bookmarkEnd w:id="1053"/>
    </w:p>
    <w:p>
      <w:pPr>
        <w:pStyle w:val="Style52"/>
        <w:keepNext/>
        <w:keepLines/>
        <w:widowControl w:val="0"/>
        <w:pBdr>
          <w:bottom w:val="single" w:sz="4" w:space="0" w:color="auto"/>
        </w:pBdr>
        <w:shd w:val="clear" w:color="auto" w:fill="auto"/>
        <w:bidi w:val="0"/>
        <w:spacing w:before="0" w:after="180" w:line="240" w:lineRule="auto"/>
        <w:ind w:left="0" w:right="0" w:firstLine="640"/>
        <w:jc w:val="left"/>
      </w:pPr>
      <w:bookmarkStart w:id="1050" w:name="bookmark1050"/>
      <w:bookmarkStart w:id="1051" w:name="bookmark1051"/>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）应付账款列示</w:t>
      </w:r>
      <w:bookmarkEnd w:id="1050"/>
      <w:bookmarkEnd w:id="1051"/>
    </w:p>
    <w:p>
      <w:pPr>
        <w:pStyle w:val="Style128"/>
        <w:keepNext w:val="0"/>
        <w:keepLines w:val="0"/>
        <w:widowControl w:val="0"/>
        <w:shd w:val="clear" w:color="auto" w:fill="auto"/>
        <w:tabs>
          <w:tab w:pos="5018" w:val="left"/>
          <w:tab w:pos="7989" w:val="left"/>
        </w:tabs>
        <w:bidi w:val="0"/>
        <w:spacing w:before="0" w:after="140" w:line="240" w:lineRule="auto"/>
        <w:ind w:left="0" w:right="0" w:firstLine="640"/>
        <w:jc w:val="left"/>
      </w:pPr>
      <w:r>
        <w:rPr>
          <w:rFonts w:ascii="SimSun" w:eastAsia="SimSun" w:hAnsi="SimSun" w:cs="SimSun"/>
          <w:b/>
          <w:bCs/>
          <w:color w:val="000000"/>
          <w:spacing w:val="0"/>
          <w:w w:val="100"/>
          <w:position w:val="0"/>
          <w:sz w:val="20"/>
          <w:szCs w:val="20"/>
        </w:rPr>
        <w:t>项目</w:t>
        <w:tab/>
      </w:r>
      <w:r>
        <w:rPr>
          <w:b/>
          <w:bCs/>
          <w:color w:val="000000"/>
          <w:spacing w:val="0"/>
          <w:w w:val="100"/>
          <w:position w:val="0"/>
        </w:rPr>
        <w:t>2020.12.31</w:t>
        <w:tab/>
        <w:t>2019.12.31</w:t>
      </w:r>
    </w:p>
    <w:tbl>
      <w:tblPr>
        <w:tblOverlap w:val="never"/>
        <w:jc w:val="center"/>
        <w:tblLayout w:type="fixed"/>
      </w:tblPr>
      <w:tblGrid>
        <w:gridCol w:w="3312"/>
        <w:gridCol w:w="2693"/>
        <w:gridCol w:w="3000"/>
      </w:tblGrid>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101,574,704.55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96,095,623.45</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16,560,981.75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29,948,522.15</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11,468,513.43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9,822,366.97</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10,847,813.28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5,100,937.48</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b/>
                <w:bCs/>
                <w:color w:val="000000"/>
                <w:spacing w:val="0"/>
                <w:w w:val="100"/>
                <w:position w:val="0"/>
              </w:rPr>
              <w:t>140,452,013.01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140,967,450.05</w:t>
            </w:r>
          </w:p>
        </w:tc>
      </w:tr>
    </w:tbl>
    <w:p>
      <w:pPr>
        <w:widowControl w:val="0"/>
        <w:spacing w:after="139" w:line="1" w:lineRule="exact"/>
      </w:pPr>
    </w:p>
    <w:p>
      <w:pPr>
        <w:pStyle w:val="Style44"/>
        <w:keepNext w:val="0"/>
        <w:keepLines w:val="0"/>
        <w:widowControl w:val="0"/>
        <w:pBdr>
          <w:bottom w:val="single" w:sz="4" w:space="0" w:color="auto"/>
        </w:pBdr>
        <w:shd w:val="clear" w:color="auto" w:fill="auto"/>
        <w:bidi w:val="0"/>
        <w:spacing w:before="0" w:after="280" w:line="240" w:lineRule="auto"/>
        <w:ind w:left="0" w:right="0" w:firstLine="780"/>
        <w:jc w:val="left"/>
      </w:pP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p>
    <w:p>
      <w:pPr>
        <w:pStyle w:val="Style38"/>
        <w:keepNext w:val="0"/>
        <w:keepLines w:val="0"/>
        <w:widowControl w:val="0"/>
        <w:shd w:val="clear" w:color="auto" w:fill="auto"/>
        <w:tabs>
          <w:tab w:pos="2693" w:val="left"/>
          <w:tab w:pos="4906" w:val="left"/>
          <w:tab w:pos="6326" w:val="left"/>
        </w:tabs>
        <w:bidi w:val="0"/>
        <w:spacing w:before="0" w:after="0" w:line="240" w:lineRule="auto"/>
        <w:ind w:left="0" w:right="0" w:firstLine="0"/>
        <w:jc w:val="center"/>
        <w:rPr>
          <w:sz w:val="20"/>
          <w:szCs w:val="20"/>
        </w:rPr>
      </w:pPr>
      <w:r>
        <w:rPr>
          <w:b/>
          <w:bCs/>
          <w:color w:val="000000"/>
          <w:spacing w:val="0"/>
          <w:w w:val="100"/>
          <w:position w:val="0"/>
          <w:sz w:val="20"/>
          <w:szCs w:val="20"/>
        </w:rPr>
        <w:t>项目</w:t>
        <w:tab/>
        <w:t>期末余额</w:t>
        <w:tab/>
        <w:t>账龄</w:t>
        <w:tab/>
        <w:t>未偿还或结转的原因</w:t>
      </w:r>
    </w:p>
    <w:tbl>
      <w:tblPr>
        <w:tblOverlap w:val="never"/>
        <w:jc w:val="center"/>
        <w:tblLayout w:type="fixed"/>
      </w:tblPr>
      <w:tblGrid>
        <w:gridCol w:w="2573"/>
        <w:gridCol w:w="2011"/>
        <w:gridCol w:w="1843"/>
        <w:gridCol w:w="2722"/>
      </w:tblGrid>
      <w:tr>
        <w:trPr>
          <w:trHeight w:val="6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0"/>
                <w:szCs w:val="20"/>
              </w:rPr>
              <w:t>供应商</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13,828,377.52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p>
            <w:pPr>
              <w:pStyle w:val="Style2"/>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供应商尚未要求结算</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0"/>
                <w:szCs w:val="20"/>
              </w:rPr>
              <w:t>供应商</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9,203,867.22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供应商尚未要求结算</w:t>
            </w:r>
          </w:p>
        </w:tc>
      </w:tr>
      <w:tr>
        <w:trPr>
          <w:trHeight w:val="59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0"/>
                <w:szCs w:val="20"/>
              </w:rPr>
              <w:t>供应商</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5,571,725.41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供应商尚未要求结算</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0"/>
                <w:szCs w:val="20"/>
              </w:rPr>
              <w:t>供应商</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3,360,000.00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设备还未安装及调试完成</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rPr>
              <w:t>31,963,970.15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279" w:line="1" w:lineRule="exact"/>
      </w:pPr>
    </w:p>
    <w:p>
      <w:pPr>
        <w:pStyle w:val="Style52"/>
        <w:keepNext/>
        <w:keepLines/>
        <w:widowControl w:val="0"/>
        <w:shd w:val="clear" w:color="auto" w:fill="auto"/>
        <w:bidi w:val="0"/>
        <w:spacing w:before="0" w:after="420" w:line="240" w:lineRule="auto"/>
        <w:ind w:left="0" w:right="0" w:firstLine="0"/>
        <w:jc w:val="left"/>
        <w:rPr>
          <w:sz w:val="24"/>
          <w:szCs w:val="24"/>
        </w:rPr>
      </w:pPr>
      <w:bookmarkStart w:id="1054" w:name="bookmark1054"/>
      <w:bookmarkStart w:id="1055" w:name="bookmark1055"/>
      <w:bookmarkStart w:id="1056" w:name="bookmark1056"/>
      <w:bookmarkStart w:id="1057" w:name="bookmark1057"/>
      <w:r>
        <w:rPr>
          <w:rFonts w:ascii="Times New Roman" w:eastAsia="Times New Roman" w:hAnsi="Times New Roman" w:cs="Times New Roman"/>
          <w:b w:val="0"/>
          <w:bCs w:val="0"/>
          <w:color w:val="000000"/>
          <w:spacing w:val="0"/>
          <w:w w:val="100"/>
          <w:position w:val="0"/>
          <w:sz w:val="24"/>
          <w:szCs w:val="24"/>
        </w:rPr>
        <w:t>2</w:t>
      </w:r>
      <w:bookmarkEnd w:id="1056"/>
      <w:r>
        <w:rPr>
          <w:rFonts w:ascii="Times New Roman" w:eastAsia="Times New Roman" w:hAnsi="Times New Roman" w:cs="Times New Roman"/>
          <w:b w:val="0"/>
          <w:bCs w:val="0"/>
          <w:color w:val="000000"/>
          <w:spacing w:val="0"/>
          <w:w w:val="100"/>
          <w:position w:val="0"/>
          <w:sz w:val="24"/>
          <w:szCs w:val="24"/>
        </w:rPr>
        <w:t>4</w:t>
      </w:r>
      <w:r>
        <w:rPr>
          <w:b w:val="0"/>
          <w:bCs w:val="0"/>
          <w:color w:val="000000"/>
          <w:spacing w:val="0"/>
          <w:w w:val="100"/>
          <w:position w:val="0"/>
          <w:sz w:val="24"/>
          <w:szCs w:val="24"/>
        </w:rPr>
        <w:t>、预收款项</w:t>
      </w:r>
      <w:bookmarkEnd w:id="1054"/>
      <w:bookmarkEnd w:id="1055"/>
      <w:bookmarkEnd w:id="1057"/>
    </w:p>
    <w:p>
      <w:pPr>
        <w:pStyle w:val="Style52"/>
        <w:keepNext/>
        <w:keepLines/>
        <w:widowControl w:val="0"/>
        <w:shd w:val="clear" w:color="auto" w:fill="auto"/>
        <w:bidi w:val="0"/>
        <w:spacing w:before="0" w:after="140" w:line="240" w:lineRule="auto"/>
        <w:ind w:left="0" w:right="0" w:firstLine="640"/>
        <w:jc w:val="left"/>
      </w:pPr>
      <w:bookmarkStart w:id="1054" w:name="bookmark1054"/>
      <w:bookmarkStart w:id="1055" w:name="bookmark1055"/>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）预收款项列示</w:t>
      </w:r>
      <w:bookmarkEnd w:id="1054"/>
      <w:bookmarkEnd w:id="1055"/>
    </w:p>
    <w:tbl>
      <w:tblPr>
        <w:tblOverlap w:val="never"/>
        <w:jc w:val="center"/>
        <w:tblLayout w:type="fixed"/>
      </w:tblPr>
      <w:tblGrid>
        <w:gridCol w:w="3312"/>
        <w:gridCol w:w="2549"/>
        <w:gridCol w:w="3144"/>
      </w:tblGrid>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2020.12.31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2019.12.31</w:t>
            </w:r>
          </w:p>
        </w:tc>
      </w:tr>
      <w:tr>
        <w:trPr>
          <w:trHeight w:val="45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5,614,843.33</w:t>
            </w:r>
          </w:p>
        </w:tc>
      </w:tr>
      <w:tr>
        <w:trPr>
          <w:trHeight w:val="475"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2,685,181.97</w:t>
            </w:r>
          </w:p>
        </w:tc>
      </w:tr>
    </w:tbl>
    <w:p>
      <w:pPr>
        <w:widowControl w:val="0"/>
        <w:spacing w:line="1" w:lineRule="exact"/>
      </w:pPr>
      <w:r>
        <w:br w:type="page"/>
      </w:r>
    </w:p>
    <w:tbl>
      <w:tblPr>
        <w:tblOverlap w:val="never"/>
        <w:jc w:val="center"/>
        <w:tblLayout w:type="fixed"/>
      </w:tblPr>
      <w:tblGrid>
        <w:gridCol w:w="3312"/>
        <w:gridCol w:w="2549"/>
        <w:gridCol w:w="3144"/>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90,180.00</w:t>
            </w:r>
          </w:p>
        </w:tc>
      </w:tr>
      <w:tr>
        <w:trPr>
          <w:trHeight w:val="45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362,639.02</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8,752,844.32</w:t>
            </w:r>
          </w:p>
        </w:tc>
      </w:tr>
    </w:tbl>
    <w:p>
      <w:pPr>
        <w:widowControl w:val="0"/>
        <w:spacing w:after="299" w:line="1" w:lineRule="exact"/>
      </w:pPr>
    </w:p>
    <w:p>
      <w:pPr>
        <w:pStyle w:val="Style52"/>
        <w:keepNext/>
        <w:keepLines/>
        <w:widowControl w:val="0"/>
        <w:numPr>
          <w:ilvl w:val="0"/>
          <w:numId w:val="61"/>
        </w:numPr>
        <w:shd w:val="clear" w:color="auto" w:fill="auto"/>
        <w:bidi w:val="0"/>
        <w:spacing w:before="0" w:after="360" w:line="240" w:lineRule="auto"/>
        <w:ind w:left="0" w:right="0" w:firstLine="0"/>
        <w:jc w:val="both"/>
        <w:rPr>
          <w:sz w:val="24"/>
          <w:szCs w:val="24"/>
        </w:rPr>
      </w:pPr>
      <w:bookmarkStart w:id="1058" w:name="bookmark1058"/>
      <w:bookmarkStart w:id="1059" w:name="bookmark1059"/>
      <w:bookmarkStart w:id="1060" w:name="bookmark1060"/>
      <w:bookmarkStart w:id="1061" w:name="bookmark1061"/>
      <w:bookmarkEnd w:id="1060"/>
      <w:r>
        <w:rPr>
          <w:b w:val="0"/>
          <w:bCs w:val="0"/>
          <w:color w:val="000000"/>
          <w:spacing w:val="0"/>
          <w:w w:val="100"/>
          <w:position w:val="0"/>
          <w:sz w:val="24"/>
          <w:szCs w:val="24"/>
        </w:rPr>
        <w:t>合同负债</w:t>
      </w:r>
      <w:bookmarkEnd w:id="1058"/>
      <w:bookmarkEnd w:id="1059"/>
      <w:bookmarkEnd w:id="1061"/>
    </w:p>
    <w:p>
      <w:pPr>
        <w:pStyle w:val="Style128"/>
        <w:keepNext w:val="0"/>
        <w:keepLines w:val="0"/>
        <w:widowControl w:val="0"/>
        <w:pBdr>
          <w:top w:val="single" w:sz="4" w:space="0" w:color="auto"/>
        </w:pBdr>
        <w:shd w:val="clear" w:color="auto" w:fill="auto"/>
        <w:tabs>
          <w:tab w:pos="4742" w:val="left"/>
          <w:tab w:pos="7579" w:val="left"/>
        </w:tabs>
        <w:bidi w:val="0"/>
        <w:spacing w:before="0" w:after="140" w:line="240" w:lineRule="auto"/>
        <w:ind w:left="0" w:right="0" w:firstLine="0"/>
        <w:jc w:val="center"/>
      </w:pPr>
      <w:r>
        <w:rPr>
          <w:rFonts w:ascii="SimSun" w:eastAsia="SimSun" w:hAnsi="SimSun" w:cs="SimSun"/>
          <w:b/>
          <w:bCs/>
          <w:color w:val="000000"/>
          <w:spacing w:val="0"/>
          <w:w w:val="100"/>
          <w:position w:val="0"/>
          <w:sz w:val="20"/>
          <w:szCs w:val="20"/>
        </w:rPr>
        <w:t>项目</w:t>
        <w:tab/>
      </w:r>
      <w:r>
        <w:rPr>
          <w:b/>
          <w:bCs/>
          <w:color w:val="000000"/>
          <w:spacing w:val="0"/>
          <w:w w:val="100"/>
          <w:position w:val="0"/>
        </w:rPr>
        <w:t>2020.12.31</w:t>
        <w:tab/>
        <w:t>2019.12.31</w:t>
      </w:r>
    </w:p>
    <w:tbl>
      <w:tblPr>
        <w:tblOverlap w:val="never"/>
        <w:jc w:val="center"/>
        <w:tblLayout w:type="fixed"/>
      </w:tblPr>
      <w:tblGrid>
        <w:gridCol w:w="3840"/>
        <w:gridCol w:w="2554"/>
        <w:gridCol w:w="2866"/>
      </w:tblGrid>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8,092,035.13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一</w:t>
            </w:r>
          </w:p>
        </w:tc>
      </w:tr>
      <w:tr>
        <w:trPr>
          <w:trHeight w:val="475"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b/>
                <w:bCs/>
                <w:color w:val="000000"/>
                <w:spacing w:val="0"/>
                <w:w w:val="100"/>
                <w:position w:val="0"/>
              </w:rPr>
              <w:t>8,092,035.13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40" w:after="0" w:line="240" w:lineRule="auto"/>
              <w:ind w:left="2460" w:right="0" w:firstLine="0"/>
              <w:jc w:val="both"/>
            </w:pPr>
            <w:r>
              <w:rPr>
                <w:color w:val="000000"/>
                <w:spacing w:val="0"/>
                <w:w w:val="100"/>
                <w:position w:val="0"/>
              </w:rPr>
              <w:t>——</w:t>
            </w:r>
          </w:p>
        </w:tc>
      </w:tr>
    </w:tbl>
    <w:p>
      <w:pPr>
        <w:widowControl w:val="0"/>
        <w:spacing w:after="139" w:line="1" w:lineRule="exact"/>
      </w:pPr>
    </w:p>
    <w:p>
      <w:pPr>
        <w:pStyle w:val="Style44"/>
        <w:keepNext w:val="0"/>
        <w:keepLines w:val="0"/>
        <w:widowControl w:val="0"/>
        <w:pBdr>
          <w:bottom w:val="single" w:sz="4" w:space="0" w:color="auto"/>
        </w:pBdr>
        <w:shd w:val="clear" w:color="auto" w:fill="auto"/>
        <w:bidi w:val="0"/>
        <w:spacing w:before="0" w:after="200" w:line="240" w:lineRule="auto"/>
        <w:ind w:left="0" w:right="0" w:firstLine="620"/>
        <w:jc w:val="left"/>
        <w:rPr>
          <w:sz w:val="20"/>
          <w:szCs w:val="20"/>
        </w:rPr>
      </w:pPr>
      <w:r>
        <w:rPr>
          <w:color w:val="000000"/>
          <w:spacing w:val="0"/>
          <w:w w:val="100"/>
          <w:position w:val="0"/>
          <w:sz w:val="20"/>
          <w:szCs w:val="20"/>
        </w:rPr>
        <w:t>分类</w:t>
      </w:r>
    </w:p>
    <w:p>
      <w:pPr>
        <w:pStyle w:val="Style38"/>
        <w:keepNext w:val="0"/>
        <w:keepLines w:val="0"/>
        <w:widowControl w:val="0"/>
        <w:shd w:val="clear" w:color="auto" w:fill="auto"/>
        <w:tabs>
          <w:tab w:pos="5131" w:val="left"/>
          <w:tab w:pos="7968" w:val="left"/>
        </w:tabs>
        <w:bidi w:val="0"/>
        <w:spacing w:before="0" w:after="0" w:line="240" w:lineRule="auto"/>
        <w:ind w:left="499" w:right="0" w:firstLine="0"/>
        <w:jc w:val="left"/>
      </w:pPr>
      <w:r>
        <w:rPr>
          <w:b/>
          <w:bCs/>
          <w:color w:val="000000"/>
          <w:spacing w:val="0"/>
          <w:w w:val="100"/>
          <w:position w:val="0"/>
          <w:sz w:val="20"/>
          <w:szCs w:val="20"/>
        </w:rPr>
        <w:t>项目</w:t>
        <w:tab/>
      </w:r>
      <w:r>
        <w:rPr>
          <w:rFonts w:ascii="Times New Roman" w:eastAsia="Times New Roman" w:hAnsi="Times New Roman" w:cs="Times New Roman"/>
          <w:b/>
          <w:bCs/>
          <w:color w:val="000000"/>
          <w:spacing w:val="0"/>
          <w:w w:val="100"/>
          <w:position w:val="0"/>
        </w:rPr>
        <w:t>2020.12.31</w:t>
        <w:tab/>
        <w:t>2019.12.31</w:t>
      </w:r>
    </w:p>
    <w:tbl>
      <w:tblPr>
        <w:tblOverlap w:val="never"/>
        <w:jc w:val="center"/>
        <w:tblLayout w:type="fixed"/>
      </w:tblPr>
      <w:tblGrid>
        <w:gridCol w:w="3734"/>
        <w:gridCol w:w="2549"/>
        <w:gridCol w:w="2870"/>
      </w:tblGrid>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8,092,035.13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20"/>
                <w:szCs w:val="20"/>
              </w:rPr>
            </w:pPr>
            <w:r>
              <w:rPr>
                <w:color w:val="000000"/>
                <w:spacing w:val="0"/>
                <w:w w:val="100"/>
                <w:position w:val="0"/>
                <w:sz w:val="20"/>
                <w:szCs w:val="20"/>
              </w:rPr>
              <w:t>——</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b/>
                <w:bCs/>
                <w:color w:val="000000"/>
                <w:spacing w:val="0"/>
                <w:w w:val="100"/>
                <w:position w:val="0"/>
              </w:rPr>
              <w:t>8,092,035.13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一</w:t>
            </w:r>
          </w:p>
        </w:tc>
      </w:tr>
    </w:tbl>
    <w:p>
      <w:pPr>
        <w:widowControl w:val="0"/>
        <w:spacing w:after="299" w:line="1" w:lineRule="exact"/>
      </w:pPr>
    </w:p>
    <w:p>
      <w:pPr>
        <w:pStyle w:val="Style52"/>
        <w:keepNext/>
        <w:keepLines/>
        <w:widowControl w:val="0"/>
        <w:shd w:val="clear" w:color="auto" w:fill="auto"/>
        <w:bidi w:val="0"/>
        <w:spacing w:before="0" w:after="420" w:line="240" w:lineRule="auto"/>
        <w:ind w:left="0" w:right="0" w:firstLine="0"/>
        <w:jc w:val="left"/>
        <w:rPr>
          <w:sz w:val="24"/>
          <w:szCs w:val="24"/>
        </w:rPr>
      </w:pPr>
      <w:bookmarkStart w:id="1062" w:name="bookmark1062"/>
      <w:bookmarkStart w:id="1063" w:name="bookmark1063"/>
      <w:bookmarkStart w:id="1064" w:name="bookmark1064"/>
      <w:bookmarkStart w:id="1065" w:name="bookmark1065"/>
      <w:r>
        <w:rPr>
          <w:rFonts w:ascii="Times New Roman" w:eastAsia="Times New Roman" w:hAnsi="Times New Roman" w:cs="Times New Roman"/>
          <w:b w:val="0"/>
          <w:bCs w:val="0"/>
          <w:color w:val="000000"/>
          <w:spacing w:val="0"/>
          <w:w w:val="100"/>
          <w:position w:val="0"/>
          <w:sz w:val="24"/>
          <w:szCs w:val="24"/>
        </w:rPr>
        <w:t>2</w:t>
      </w:r>
      <w:bookmarkEnd w:id="1064"/>
      <w:r>
        <w:rPr>
          <w:rFonts w:ascii="Times New Roman" w:eastAsia="Times New Roman" w:hAnsi="Times New Roman" w:cs="Times New Roman"/>
          <w:b w:val="0"/>
          <w:bCs w:val="0"/>
          <w:color w:val="000000"/>
          <w:spacing w:val="0"/>
          <w:w w:val="100"/>
          <w:position w:val="0"/>
          <w:sz w:val="24"/>
          <w:szCs w:val="24"/>
        </w:rPr>
        <w:t>6</w:t>
      </w:r>
      <w:r>
        <w:rPr>
          <w:b w:val="0"/>
          <w:bCs w:val="0"/>
          <w:color w:val="000000"/>
          <w:spacing w:val="0"/>
          <w:w w:val="100"/>
          <w:position w:val="0"/>
          <w:sz w:val="24"/>
          <w:szCs w:val="24"/>
        </w:rPr>
        <w:t>、应付职工薪酬</w:t>
      </w:r>
      <w:bookmarkEnd w:id="1062"/>
      <w:bookmarkEnd w:id="1063"/>
      <w:bookmarkEnd w:id="1065"/>
    </w:p>
    <w:p>
      <w:pPr>
        <w:pStyle w:val="Style52"/>
        <w:keepNext/>
        <w:keepLines/>
        <w:widowControl w:val="0"/>
        <w:pBdr>
          <w:bottom w:val="single" w:sz="4" w:space="0" w:color="auto"/>
        </w:pBdr>
        <w:shd w:val="clear" w:color="auto" w:fill="auto"/>
        <w:bidi w:val="0"/>
        <w:spacing w:before="0" w:after="200" w:line="240" w:lineRule="auto"/>
        <w:ind w:left="0" w:right="0" w:firstLine="740"/>
        <w:jc w:val="left"/>
      </w:pPr>
      <w:bookmarkStart w:id="1062" w:name="bookmark1062"/>
      <w:bookmarkStart w:id="1063" w:name="bookmark1063"/>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)应付职工薪酬列示</w:t>
      </w:r>
      <w:bookmarkEnd w:id="1062"/>
      <w:bookmarkEnd w:id="1063"/>
    </w:p>
    <w:p>
      <w:pPr>
        <w:pStyle w:val="Style38"/>
        <w:keepNext w:val="0"/>
        <w:keepLines w:val="0"/>
        <w:widowControl w:val="0"/>
        <w:shd w:val="clear" w:color="auto" w:fill="auto"/>
        <w:tabs>
          <w:tab w:pos="2640" w:val="left"/>
          <w:tab w:pos="4325" w:val="left"/>
          <w:tab w:pos="6240" w:val="left"/>
          <w:tab w:pos="8045" w:val="left"/>
        </w:tabs>
        <w:bidi w:val="0"/>
        <w:spacing w:before="0" w:after="0" w:line="240" w:lineRule="auto"/>
        <w:ind w:left="413" w:right="0" w:firstLine="0"/>
        <w:jc w:val="left"/>
        <w:rPr>
          <w:sz w:val="20"/>
          <w:szCs w:val="20"/>
        </w:rPr>
      </w:pPr>
      <w:r>
        <w:rPr>
          <w:b/>
          <w:bCs/>
          <w:color w:val="000000"/>
          <w:spacing w:val="0"/>
          <w:w w:val="100"/>
          <w:position w:val="0"/>
          <w:sz w:val="20"/>
          <w:szCs w:val="20"/>
        </w:rPr>
        <w:t>项目</w:t>
        <w:tab/>
        <w:t>期初余额</w:t>
        <w:tab/>
        <w:t>本期增加</w:t>
        <w:tab/>
        <w:t>本期减少</w:t>
        <w:tab/>
        <w:t>期末余额</w:t>
      </w:r>
    </w:p>
    <w:tbl>
      <w:tblPr>
        <w:tblOverlap w:val="never"/>
        <w:jc w:val="center"/>
        <w:tblLayout w:type="fixed"/>
      </w:tblPr>
      <w:tblGrid>
        <w:gridCol w:w="2314"/>
        <w:gridCol w:w="1560"/>
        <w:gridCol w:w="1843"/>
        <w:gridCol w:w="1915"/>
        <w:gridCol w:w="1661"/>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27,288,453.04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150,973,515.20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150,618,017.41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27,643,950.83</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78" w:lineRule="exact"/>
              <w:ind w:left="420" w:right="0" w:firstLine="0"/>
              <w:jc w:val="left"/>
              <w:rPr>
                <w:sz w:val="20"/>
                <w:szCs w:val="20"/>
              </w:rPr>
            </w:pPr>
            <w:r>
              <w:rPr>
                <w:color w:val="000000"/>
                <w:spacing w:val="0"/>
                <w:w w:val="100"/>
                <w:position w:val="0"/>
                <w:sz w:val="20"/>
                <w:szCs w:val="20"/>
              </w:rPr>
              <w:t>二、离职后福利</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设 定提存计划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87,565.99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1,927,410.24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1,974,166.05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40,810.18</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678,833.23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1,005,813.03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1,684,646.26</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28,054,852.26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153,906,738.47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bCs/>
                <w:color w:val="000000"/>
                <w:spacing w:val="0"/>
                <w:w w:val="100"/>
                <w:position w:val="0"/>
              </w:rPr>
              <w:t>154,276,829.72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27,684,761.01</w:t>
            </w:r>
          </w:p>
        </w:tc>
      </w:tr>
    </w:tbl>
    <w:p>
      <w:pPr>
        <w:widowControl w:val="0"/>
        <w:spacing w:after="139" w:line="1" w:lineRule="exact"/>
      </w:pPr>
    </w:p>
    <w:p>
      <w:pPr>
        <w:pStyle w:val="Style44"/>
        <w:keepNext w:val="0"/>
        <w:keepLines w:val="0"/>
        <w:widowControl w:val="0"/>
        <w:pBdr>
          <w:bottom w:val="single" w:sz="4" w:space="0" w:color="auto"/>
        </w:pBdr>
        <w:shd w:val="clear" w:color="auto" w:fill="auto"/>
        <w:bidi w:val="0"/>
        <w:spacing w:before="0" w:after="200" w:line="240" w:lineRule="auto"/>
        <w:ind w:left="0" w:right="0" w:firstLine="740"/>
        <w:jc w:val="left"/>
      </w:pP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p>
    <w:p>
      <w:pPr>
        <w:pStyle w:val="Style38"/>
        <w:keepNext w:val="0"/>
        <w:keepLines w:val="0"/>
        <w:widowControl w:val="0"/>
        <w:shd w:val="clear" w:color="auto" w:fill="auto"/>
        <w:tabs>
          <w:tab w:pos="2616" w:val="left"/>
          <w:tab w:pos="4301" w:val="left"/>
          <w:tab w:pos="6115" w:val="left"/>
          <w:tab w:pos="8088" w:val="left"/>
        </w:tabs>
        <w:bidi w:val="0"/>
        <w:spacing w:before="0" w:after="0" w:line="240" w:lineRule="auto"/>
        <w:ind w:left="413" w:right="0" w:firstLine="0"/>
        <w:jc w:val="left"/>
        <w:rPr>
          <w:sz w:val="20"/>
          <w:szCs w:val="20"/>
        </w:rPr>
      </w:pPr>
      <w:r>
        <w:rPr>
          <w:b/>
          <w:bCs/>
          <w:color w:val="000000"/>
          <w:spacing w:val="0"/>
          <w:w w:val="100"/>
          <w:position w:val="0"/>
          <w:sz w:val="20"/>
          <w:szCs w:val="20"/>
        </w:rPr>
        <w:t>项目</w:t>
        <w:tab/>
        <w:t>期初余额</w:t>
        <w:tab/>
        <w:t>本期增加</w:t>
        <w:tab/>
        <w:t>本期减少</w:t>
        <w:tab/>
        <w:t>期末余额</w:t>
      </w:r>
    </w:p>
    <w:tbl>
      <w:tblPr>
        <w:tblOverlap w:val="never"/>
        <w:jc w:val="center"/>
        <w:tblLayout w:type="fixed"/>
      </w:tblPr>
      <w:tblGrid>
        <w:gridCol w:w="2280"/>
        <w:gridCol w:w="1584"/>
        <w:gridCol w:w="1795"/>
        <w:gridCol w:w="1834"/>
        <w:gridCol w:w="1800"/>
      </w:tblGrid>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78" w:lineRule="exact"/>
              <w:ind w:left="420" w:right="0" w:firstLine="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、工资、奖金、津 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22,972,786.82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138,696,891.22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138,082,931.44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23,586,746.60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118,679.80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4,191,380.31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4,310,060.11</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3,376,267.44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3,376,267.44</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3,145,941.97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3,145,941.97</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11,282.59</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生育保险费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219,042.88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219,042.88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p>
      <w:pPr>
        <w:pStyle w:val="Style38"/>
        <w:keepNext w:val="0"/>
        <w:keepLines w:val="0"/>
        <w:widowControl w:val="0"/>
        <w:shd w:val="clear" w:color="auto" w:fill="auto"/>
        <w:tabs>
          <w:tab w:pos="2136" w:val="left"/>
          <w:tab w:pos="3744" w:val="left"/>
          <w:tab w:pos="5582" w:val="left"/>
          <w:tab w:pos="7531" w:val="left"/>
        </w:tabs>
        <w:bidi w:val="0"/>
        <w:spacing w:before="0" w:after="0" w:line="240" w:lineRule="auto"/>
        <w:ind w:left="0" w:right="0" w:firstLine="0"/>
        <w:jc w:val="center"/>
        <w:rPr>
          <w:sz w:val="20"/>
          <w:szCs w:val="20"/>
        </w:rPr>
      </w:pPr>
      <w:r>
        <w:rPr>
          <w:b/>
          <w:bCs/>
          <w:color w:val="000000"/>
          <w:spacing w:val="0"/>
          <w:w w:val="100"/>
          <w:position w:val="0"/>
          <w:sz w:val="20"/>
          <w:szCs w:val="20"/>
        </w:rPr>
        <w:t>项目</w:t>
        <w:tab/>
        <w:t>期初余额</w:t>
        <w:tab/>
        <w:t>本期增加</w:t>
        <w:tab/>
        <w:t>本期减少</w:t>
        <w:tab/>
        <w:t>期末余额</w:t>
      </w:r>
    </w:p>
    <w:tbl>
      <w:tblPr>
        <w:tblOverlap w:val="never"/>
        <w:jc w:val="center"/>
        <w:tblLayout w:type="fixed"/>
      </w:tblPr>
      <w:tblGrid>
        <w:gridCol w:w="2280"/>
        <w:gridCol w:w="1579"/>
        <w:gridCol w:w="1800"/>
        <w:gridCol w:w="1829"/>
        <w:gridCol w:w="1805"/>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4,586,976.23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4,586,976.23</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02" w:lineRule="exact"/>
              <w:ind w:left="420" w:right="0" w:firstLine="0"/>
              <w:jc w:val="left"/>
              <w:rPr>
                <w:sz w:val="20"/>
                <w:szCs w:val="20"/>
              </w:rPr>
            </w:pP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、工会经费和职工 教育经费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4,196,986.42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261,782.19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4,057,204.23</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27,288,453.04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150,973,515.20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150,618,017.41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rPr>
              <w:t>27,643,950.83</w:t>
            </w:r>
          </w:p>
        </w:tc>
      </w:tr>
    </w:tbl>
    <w:p>
      <w:pPr>
        <w:widowControl w:val="0"/>
        <w:spacing w:after="119" w:line="1" w:lineRule="exact"/>
      </w:pPr>
    </w:p>
    <w:p>
      <w:pPr>
        <w:pStyle w:val="Style44"/>
        <w:keepNext w:val="0"/>
        <w:keepLines w:val="0"/>
        <w:widowControl w:val="0"/>
        <w:numPr>
          <w:ilvl w:val="0"/>
          <w:numId w:val="63"/>
        </w:numPr>
        <w:pBdr>
          <w:bottom w:val="single" w:sz="4" w:space="0" w:color="auto"/>
        </w:pBdr>
        <w:shd w:val="clear" w:color="auto" w:fill="auto"/>
        <w:bidi w:val="0"/>
        <w:spacing w:before="0" w:after="240" w:line="240" w:lineRule="auto"/>
        <w:ind w:left="0" w:right="0" w:firstLine="640"/>
        <w:jc w:val="left"/>
      </w:pPr>
      <w:bookmarkStart w:id="1066" w:name="bookmark1066"/>
      <w:bookmarkEnd w:id="1066"/>
      <w:r>
        <w:rPr>
          <w:color w:val="000000"/>
          <w:spacing w:val="0"/>
          <w:w w:val="100"/>
          <w:position w:val="0"/>
        </w:rPr>
        <w:t>设定提存计划列示</w:t>
      </w:r>
    </w:p>
    <w:p>
      <w:pPr>
        <w:pStyle w:val="Style38"/>
        <w:keepNext w:val="0"/>
        <w:keepLines w:val="0"/>
        <w:widowControl w:val="0"/>
        <w:shd w:val="clear" w:color="auto" w:fill="auto"/>
        <w:tabs>
          <w:tab w:pos="2203" w:val="left"/>
          <w:tab w:pos="3888" w:val="left"/>
          <w:tab w:pos="5702" w:val="left"/>
          <w:tab w:pos="7493" w:val="left"/>
        </w:tabs>
        <w:bidi w:val="0"/>
        <w:spacing w:before="0" w:after="0" w:line="240" w:lineRule="auto"/>
        <w:ind w:left="0" w:right="0" w:firstLine="0"/>
        <w:jc w:val="center"/>
        <w:rPr>
          <w:sz w:val="20"/>
          <w:szCs w:val="20"/>
        </w:rPr>
      </w:pPr>
      <w:r>
        <w:rPr>
          <w:b/>
          <w:bCs/>
          <w:color w:val="000000"/>
          <w:spacing w:val="0"/>
          <w:w w:val="100"/>
          <w:position w:val="0"/>
          <w:sz w:val="20"/>
          <w:szCs w:val="20"/>
        </w:rPr>
        <w:t>项目</w:t>
        <w:tab/>
        <w:t>期初余额</w:t>
        <w:tab/>
        <w:t>本期增加</w:t>
        <w:tab/>
        <w:t>本期减少</w:t>
        <w:tab/>
        <w:t>期末余额</w:t>
      </w:r>
    </w:p>
    <w:tbl>
      <w:tblPr>
        <w:tblOverlap w:val="never"/>
        <w:jc w:val="center"/>
        <w:tblLayout w:type="fixed"/>
      </w:tblPr>
      <w:tblGrid>
        <w:gridCol w:w="2280"/>
        <w:gridCol w:w="1584"/>
        <w:gridCol w:w="1795"/>
        <w:gridCol w:w="1800"/>
        <w:gridCol w:w="1834"/>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87,565.99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1,862,754.50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1,909,510.31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40,810.18</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64,655.74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64,655.74</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b/>
                <w:bCs/>
                <w:color w:val="000000"/>
                <w:spacing w:val="0"/>
                <w:w w:val="100"/>
                <w:position w:val="0"/>
              </w:rPr>
              <w:t>87,565.99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b/>
                <w:bCs/>
                <w:color w:val="000000"/>
                <w:spacing w:val="0"/>
                <w:w w:val="100"/>
                <w:position w:val="0"/>
              </w:rPr>
              <w:t>1,927,410.24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b/>
                <w:bCs/>
                <w:color w:val="000000"/>
                <w:spacing w:val="0"/>
                <w:w w:val="100"/>
                <w:position w:val="0"/>
              </w:rPr>
              <w:t>1,974,166.05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b/>
                <w:bCs/>
                <w:color w:val="000000"/>
                <w:spacing w:val="0"/>
                <w:w w:val="100"/>
                <w:position w:val="0"/>
              </w:rPr>
              <w:t>40,810.18</w:t>
            </w:r>
          </w:p>
        </w:tc>
      </w:tr>
    </w:tbl>
    <w:p>
      <w:pPr>
        <w:widowControl w:val="0"/>
        <w:spacing w:after="299" w:line="1" w:lineRule="exact"/>
      </w:pPr>
    </w:p>
    <w:p>
      <w:pPr>
        <w:pStyle w:val="Style52"/>
        <w:keepNext/>
        <w:keepLines/>
        <w:widowControl w:val="0"/>
        <w:shd w:val="clear" w:color="auto" w:fill="auto"/>
        <w:bidi w:val="0"/>
        <w:spacing w:before="0" w:after="360" w:line="240" w:lineRule="auto"/>
        <w:ind w:left="0" w:right="0" w:firstLine="0"/>
        <w:jc w:val="left"/>
        <w:rPr>
          <w:sz w:val="24"/>
          <w:szCs w:val="24"/>
        </w:rPr>
      </w:pPr>
      <w:bookmarkStart w:id="1067" w:name="bookmark1067"/>
      <w:bookmarkStart w:id="1068" w:name="bookmark1068"/>
      <w:bookmarkStart w:id="1069" w:name="bookmark1069"/>
      <w:bookmarkStart w:id="1070" w:name="bookmark1070"/>
      <w:r>
        <w:rPr>
          <w:rFonts w:ascii="Times New Roman" w:eastAsia="Times New Roman" w:hAnsi="Times New Roman" w:cs="Times New Roman"/>
          <w:b w:val="0"/>
          <w:bCs w:val="0"/>
          <w:color w:val="000000"/>
          <w:spacing w:val="0"/>
          <w:w w:val="100"/>
          <w:position w:val="0"/>
          <w:sz w:val="24"/>
          <w:szCs w:val="24"/>
        </w:rPr>
        <w:t>2</w:t>
      </w:r>
      <w:bookmarkEnd w:id="1069"/>
      <w:r>
        <w:rPr>
          <w:rFonts w:ascii="Times New Roman" w:eastAsia="Times New Roman" w:hAnsi="Times New Roman" w:cs="Times New Roman"/>
          <w:b w:val="0"/>
          <w:bCs w:val="0"/>
          <w:color w:val="000000"/>
          <w:spacing w:val="0"/>
          <w:w w:val="100"/>
          <w:position w:val="0"/>
          <w:sz w:val="24"/>
          <w:szCs w:val="24"/>
        </w:rPr>
        <w:t>7</w:t>
      </w:r>
      <w:r>
        <w:rPr>
          <w:b w:val="0"/>
          <w:bCs w:val="0"/>
          <w:color w:val="000000"/>
          <w:spacing w:val="0"/>
          <w:w w:val="100"/>
          <w:position w:val="0"/>
          <w:sz w:val="24"/>
          <w:szCs w:val="24"/>
        </w:rPr>
        <w:t>、应交税费</w:t>
      </w:r>
      <w:bookmarkEnd w:id="1067"/>
      <w:bookmarkEnd w:id="1068"/>
      <w:bookmarkEnd w:id="1070"/>
    </w:p>
    <w:p>
      <w:pPr>
        <w:pStyle w:val="Style38"/>
        <w:keepNext w:val="0"/>
        <w:keepLines w:val="0"/>
        <w:widowControl w:val="0"/>
        <w:shd w:val="clear" w:color="auto" w:fill="auto"/>
        <w:tabs>
          <w:tab w:pos="4762" w:val="left"/>
          <w:tab w:pos="7382" w:val="left"/>
        </w:tabs>
        <w:bidi w:val="0"/>
        <w:spacing w:before="0" w:after="0" w:line="240" w:lineRule="auto"/>
        <w:ind w:left="0" w:right="0" w:firstLine="0"/>
        <w:jc w:val="center"/>
      </w:pPr>
      <w:r>
        <w:rPr>
          <w:b/>
          <w:bCs/>
          <w:color w:val="000000"/>
          <w:spacing w:val="0"/>
          <w:w w:val="100"/>
          <w:position w:val="0"/>
          <w:sz w:val="20"/>
          <w:szCs w:val="20"/>
        </w:rPr>
        <w:t>税项</w:t>
        <w:tab/>
      </w:r>
      <w:r>
        <w:rPr>
          <w:rFonts w:ascii="Times New Roman" w:eastAsia="Times New Roman" w:hAnsi="Times New Roman" w:cs="Times New Roman"/>
          <w:b/>
          <w:bCs/>
          <w:color w:val="000000"/>
          <w:spacing w:val="0"/>
          <w:w w:val="100"/>
          <w:position w:val="0"/>
        </w:rPr>
        <w:t>2020.12.31</w:t>
        <w:tab/>
        <w:t>2019.12.31</w:t>
      </w:r>
    </w:p>
    <w:tbl>
      <w:tblPr>
        <w:tblOverlap w:val="never"/>
        <w:jc w:val="left"/>
        <w:tblLayout w:type="fixed"/>
      </w:tblPr>
      <w:tblGrid>
        <w:gridCol w:w="3312"/>
        <w:gridCol w:w="2976"/>
        <w:gridCol w:w="2650"/>
      </w:tblGrid>
      <w:tr>
        <w:trPr>
          <w:trHeight w:val="46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590,146.78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610,954.94</w:t>
            </w:r>
          </w:p>
        </w:tc>
      </w:tr>
      <w:tr>
        <w:trPr>
          <w:trHeight w:val="45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422,290.53</w:t>
            </w:r>
          </w:p>
        </w:tc>
      </w:tr>
      <w:tr>
        <w:trPr>
          <w:trHeight w:val="45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361,441.49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248,632.76</w:t>
            </w:r>
          </w:p>
        </w:tc>
      </w:tr>
      <w:tr>
        <w:trPr>
          <w:trHeight w:val="45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19,616.26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100,501.77</w:t>
            </w:r>
          </w:p>
        </w:tc>
      </w:tr>
      <w:tr>
        <w:trPr>
          <w:trHeight w:val="45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14,011.61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54,450.05</w:t>
            </w:r>
          </w:p>
        </w:tc>
      </w:tr>
      <w:tr>
        <w:trPr>
          <w:trHeight w:val="45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365,692.22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453,488.64</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1,350,908.36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b/>
                <w:bCs/>
                <w:color w:val="000000"/>
                <w:spacing w:val="0"/>
                <w:w w:val="100"/>
                <w:position w:val="0"/>
              </w:rPr>
              <w:t>1,890,318.69</w:t>
            </w:r>
          </w:p>
        </w:tc>
      </w:tr>
    </w:tbl>
    <w:p>
      <w:pPr>
        <w:widowControl w:val="0"/>
        <w:spacing w:after="299" w:line="1" w:lineRule="exact"/>
      </w:pPr>
    </w:p>
    <w:p>
      <w:pPr>
        <w:pStyle w:val="Style52"/>
        <w:keepNext/>
        <w:keepLines/>
        <w:widowControl w:val="0"/>
        <w:shd w:val="clear" w:color="auto" w:fill="auto"/>
        <w:bidi w:val="0"/>
        <w:spacing w:before="0" w:after="360" w:line="240" w:lineRule="auto"/>
        <w:ind w:left="0" w:right="0" w:firstLine="0"/>
        <w:jc w:val="left"/>
        <w:rPr>
          <w:sz w:val="24"/>
          <w:szCs w:val="24"/>
        </w:rPr>
      </w:pPr>
      <w:bookmarkStart w:id="1071" w:name="bookmark1071"/>
      <w:bookmarkStart w:id="1072" w:name="bookmark1072"/>
      <w:bookmarkStart w:id="1073" w:name="bookmark1073"/>
      <w:bookmarkStart w:id="1074" w:name="bookmark1074"/>
      <w:r>
        <w:rPr>
          <w:rFonts w:ascii="Times New Roman" w:eastAsia="Times New Roman" w:hAnsi="Times New Roman" w:cs="Times New Roman"/>
          <w:b w:val="0"/>
          <w:bCs w:val="0"/>
          <w:color w:val="000000"/>
          <w:spacing w:val="0"/>
          <w:w w:val="100"/>
          <w:position w:val="0"/>
          <w:sz w:val="24"/>
          <w:szCs w:val="24"/>
        </w:rPr>
        <w:t>2</w:t>
      </w:r>
      <w:bookmarkEnd w:id="1073"/>
      <w:r>
        <w:rPr>
          <w:rFonts w:ascii="Times New Roman" w:eastAsia="Times New Roman" w:hAnsi="Times New Roman" w:cs="Times New Roman"/>
          <w:b w:val="0"/>
          <w:bCs w:val="0"/>
          <w:color w:val="000000"/>
          <w:spacing w:val="0"/>
          <w:w w:val="100"/>
          <w:position w:val="0"/>
          <w:sz w:val="24"/>
          <w:szCs w:val="24"/>
        </w:rPr>
        <w:t>8</w:t>
      </w:r>
      <w:r>
        <w:rPr>
          <w:b w:val="0"/>
          <w:bCs w:val="0"/>
          <w:color w:val="000000"/>
          <w:spacing w:val="0"/>
          <w:w w:val="100"/>
          <w:position w:val="0"/>
          <w:sz w:val="24"/>
          <w:szCs w:val="24"/>
        </w:rPr>
        <w:t>、其他应付款</w:t>
      </w:r>
      <w:bookmarkEnd w:id="1071"/>
      <w:bookmarkEnd w:id="1072"/>
      <w:bookmarkEnd w:id="1074"/>
    </w:p>
    <w:p>
      <w:pPr>
        <w:pStyle w:val="Style38"/>
        <w:keepNext w:val="0"/>
        <w:keepLines w:val="0"/>
        <w:widowControl w:val="0"/>
        <w:shd w:val="clear" w:color="auto" w:fill="auto"/>
        <w:tabs>
          <w:tab w:pos="5160" w:val="left"/>
          <w:tab w:pos="7848" w:val="left"/>
        </w:tabs>
        <w:bidi w:val="0"/>
        <w:spacing w:before="0" w:after="0" w:line="240" w:lineRule="auto"/>
        <w:ind w:left="499" w:right="0" w:firstLine="0"/>
        <w:jc w:val="left"/>
      </w:pPr>
      <w:r>
        <w:rPr>
          <w:b/>
          <w:bCs/>
          <w:color w:val="000000"/>
          <w:spacing w:val="0"/>
          <w:w w:val="100"/>
          <w:position w:val="0"/>
          <w:sz w:val="20"/>
          <w:szCs w:val="20"/>
        </w:rPr>
        <w:t>项目</w:t>
        <w:tab/>
      </w:r>
      <w:r>
        <w:rPr>
          <w:rFonts w:ascii="Times New Roman" w:eastAsia="Times New Roman" w:hAnsi="Times New Roman" w:cs="Times New Roman"/>
          <w:b/>
          <w:bCs/>
          <w:color w:val="000000"/>
          <w:spacing w:val="0"/>
          <w:w w:val="100"/>
          <w:position w:val="0"/>
        </w:rPr>
        <w:t>2020.12.31</w:t>
        <w:tab/>
        <w:t>2019.12.31</w:t>
      </w:r>
    </w:p>
    <w:tbl>
      <w:tblPr>
        <w:tblOverlap w:val="never"/>
        <w:jc w:val="left"/>
        <w:tblLayout w:type="fixed"/>
      </w:tblPr>
      <w:tblGrid>
        <w:gridCol w:w="3312"/>
        <w:gridCol w:w="2976"/>
        <w:gridCol w:w="2717"/>
      </w:tblGrid>
      <w:tr>
        <w:trPr>
          <w:trHeight w:val="46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236,736,393.16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292,484,985.80</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236,736,393.16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292,484,985.80</w:t>
            </w:r>
          </w:p>
        </w:tc>
      </w:tr>
    </w:tbl>
    <w:p>
      <w:pPr>
        <w:widowControl w:val="0"/>
        <w:spacing w:after="119" w:line="1" w:lineRule="exact"/>
      </w:pPr>
    </w:p>
    <w:p>
      <w:pPr>
        <w:pStyle w:val="Style44"/>
        <w:keepNext w:val="0"/>
        <w:keepLines w:val="0"/>
        <w:widowControl w:val="0"/>
        <w:shd w:val="clear" w:color="auto" w:fill="auto"/>
        <w:bidi w:val="0"/>
        <w:spacing w:before="0" w:after="240" w:line="240" w:lineRule="auto"/>
        <w:ind w:left="0" w:right="0" w:firstLine="520"/>
        <w:jc w:val="left"/>
        <w:rPr>
          <w:sz w:val="24"/>
          <w:szCs w:val="24"/>
        </w:rPr>
      </w:pPr>
      <w:r>
        <w:rPr>
          <w:color w:val="000000"/>
          <w:spacing w:val="0"/>
          <w:w w:val="100"/>
          <w:position w:val="0"/>
          <w:sz w:val="24"/>
          <w:szCs w:val="24"/>
        </w:rPr>
        <w:t>其他应付款情况</w:t>
      </w:r>
    </w:p>
    <w:p>
      <w:pPr>
        <w:pStyle w:val="Style44"/>
        <w:keepNext w:val="0"/>
        <w:keepLines w:val="0"/>
        <w:widowControl w:val="0"/>
        <w:pBdr>
          <w:bottom w:val="single" w:sz="4" w:space="0" w:color="auto"/>
        </w:pBdr>
        <w:shd w:val="clear" w:color="auto" w:fill="auto"/>
        <w:bidi w:val="0"/>
        <w:spacing w:before="0" w:after="180" w:line="240" w:lineRule="auto"/>
        <w:ind w:left="0" w:right="0" w:firstLine="520"/>
        <w:jc w:val="left"/>
        <w:rPr>
          <w:sz w:val="24"/>
          <w:szCs w:val="24"/>
        </w:rPr>
      </w:pPr>
      <w:r>
        <w:rPr>
          <w:color w:val="000000"/>
          <w:spacing w:val="0"/>
          <w:w w:val="100"/>
          <w:position w:val="0"/>
          <w:sz w:val="24"/>
          <w:szCs w:val="24"/>
        </w:rPr>
        <w:t>①按款项性质列示其他应付款</w:t>
      </w:r>
    </w:p>
    <w:p>
      <w:pPr>
        <w:pStyle w:val="Style128"/>
        <w:keepNext w:val="0"/>
        <w:keepLines w:val="0"/>
        <w:widowControl w:val="0"/>
        <w:pBdr>
          <w:bottom w:val="single" w:sz="4" w:space="0" w:color="auto"/>
        </w:pBdr>
        <w:shd w:val="clear" w:color="auto" w:fill="auto"/>
        <w:tabs>
          <w:tab w:pos="5181" w:val="left"/>
          <w:tab w:pos="8008" w:val="left"/>
        </w:tabs>
        <w:bidi w:val="0"/>
        <w:spacing w:before="0" w:after="260" w:line="240" w:lineRule="auto"/>
        <w:ind w:left="0" w:right="0" w:firstLine="520"/>
        <w:jc w:val="left"/>
      </w:pPr>
      <w:r>
        <w:rPr>
          <w:rFonts w:ascii="SimSun" w:eastAsia="SimSun" w:hAnsi="SimSun" w:cs="SimSun"/>
          <w:b/>
          <w:bCs/>
          <w:color w:val="000000"/>
          <w:spacing w:val="0"/>
          <w:w w:val="100"/>
          <w:position w:val="0"/>
          <w:sz w:val="20"/>
          <w:szCs w:val="20"/>
        </w:rPr>
        <w:t>项目</w:t>
        <w:tab/>
      </w:r>
      <w:r>
        <w:rPr>
          <w:b/>
          <w:bCs/>
          <w:color w:val="000000"/>
          <w:spacing w:val="0"/>
          <w:w w:val="100"/>
          <w:position w:val="0"/>
        </w:rPr>
        <w:t>2020.12.31</w:t>
        <w:tab/>
        <w:t>2019.12.31</w:t>
      </w:r>
      <w:r>
        <w:br w:type="page"/>
      </w:r>
    </w:p>
    <w:tbl>
      <w:tblPr>
        <w:tblOverlap w:val="never"/>
        <w:jc w:val="center"/>
        <w:tblLayout w:type="fixed"/>
      </w:tblPr>
      <w:tblGrid>
        <w:gridCol w:w="3312"/>
        <w:gridCol w:w="2976"/>
        <w:gridCol w:w="2861"/>
      </w:tblGrid>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暂收款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1,694,221.83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4,837,777.58</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非金融机构借款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164,013,359.42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170,172,356.34</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应付股权收购款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88,400,000.00</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3,919,177.00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3,476,876.49</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代收代付款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1,115,248.43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1,984,325.48</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预提费用及其他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18,394,386.48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23,613,649.91</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236,736,393.16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292,484,985.80</w:t>
            </w:r>
          </w:p>
        </w:tc>
      </w:tr>
    </w:tbl>
    <w:p>
      <w:pPr>
        <w:widowControl w:val="0"/>
        <w:spacing w:after="299" w:line="1" w:lineRule="exact"/>
      </w:pPr>
    </w:p>
    <w:p>
      <w:pPr>
        <w:pStyle w:val="Style52"/>
        <w:keepNext/>
        <w:keepLines/>
        <w:widowControl w:val="0"/>
        <w:shd w:val="clear" w:color="auto" w:fill="auto"/>
        <w:bidi w:val="0"/>
        <w:spacing w:before="0" w:after="360" w:line="240" w:lineRule="auto"/>
        <w:ind w:left="0" w:right="0" w:firstLine="0"/>
        <w:jc w:val="left"/>
        <w:rPr>
          <w:sz w:val="24"/>
          <w:szCs w:val="24"/>
        </w:rPr>
      </w:pPr>
      <w:bookmarkStart w:id="1075" w:name="bookmark1075"/>
      <w:bookmarkStart w:id="1076" w:name="bookmark1076"/>
      <w:bookmarkStart w:id="1077" w:name="bookmark1077"/>
      <w:bookmarkStart w:id="1078" w:name="bookmark1078"/>
      <w:r>
        <w:rPr>
          <w:rFonts w:ascii="Times New Roman" w:eastAsia="Times New Roman" w:hAnsi="Times New Roman" w:cs="Times New Roman"/>
          <w:b w:val="0"/>
          <w:bCs w:val="0"/>
          <w:color w:val="000000"/>
          <w:spacing w:val="0"/>
          <w:w w:val="100"/>
          <w:position w:val="0"/>
          <w:sz w:val="24"/>
          <w:szCs w:val="24"/>
        </w:rPr>
        <w:t>2</w:t>
      </w:r>
      <w:bookmarkEnd w:id="1077"/>
      <w:r>
        <w:rPr>
          <w:rFonts w:ascii="Times New Roman" w:eastAsia="Times New Roman" w:hAnsi="Times New Roman" w:cs="Times New Roman"/>
          <w:b w:val="0"/>
          <w:bCs w:val="0"/>
          <w:color w:val="000000"/>
          <w:spacing w:val="0"/>
          <w:w w:val="100"/>
          <w:position w:val="0"/>
          <w:sz w:val="24"/>
          <w:szCs w:val="24"/>
        </w:rPr>
        <w:t>9</w:t>
      </w:r>
      <w:r>
        <w:rPr>
          <w:b w:val="0"/>
          <w:bCs w:val="0"/>
          <w:color w:val="000000"/>
          <w:spacing w:val="0"/>
          <w:w w:val="100"/>
          <w:position w:val="0"/>
          <w:sz w:val="24"/>
          <w:szCs w:val="24"/>
        </w:rPr>
        <w:t>、一年内到期的非流动负债</w:t>
      </w:r>
      <w:bookmarkEnd w:id="1075"/>
      <w:bookmarkEnd w:id="1076"/>
      <w:bookmarkEnd w:id="1078"/>
    </w:p>
    <w:p>
      <w:pPr>
        <w:pStyle w:val="Style128"/>
        <w:keepNext w:val="0"/>
        <w:keepLines w:val="0"/>
        <w:widowControl w:val="0"/>
        <w:pBdr>
          <w:top w:val="single" w:sz="4" w:space="0" w:color="auto"/>
        </w:pBdr>
        <w:shd w:val="clear" w:color="auto" w:fill="auto"/>
        <w:tabs>
          <w:tab w:pos="6434" w:val="left"/>
          <w:tab w:pos="8339" w:val="left"/>
        </w:tabs>
        <w:bidi w:val="0"/>
        <w:spacing w:before="0" w:after="140" w:line="240" w:lineRule="auto"/>
        <w:ind w:left="0" w:right="0" w:firstLine="640"/>
        <w:jc w:val="left"/>
      </w:pPr>
      <w:r>
        <w:rPr>
          <w:rFonts w:ascii="SimSun" w:eastAsia="SimSun" w:hAnsi="SimSun" w:cs="SimSun"/>
          <w:b/>
          <w:bCs/>
          <w:color w:val="000000"/>
          <w:spacing w:val="0"/>
          <w:w w:val="100"/>
          <w:position w:val="0"/>
          <w:sz w:val="20"/>
          <w:szCs w:val="20"/>
        </w:rPr>
        <w:t>项目</w:t>
        <w:tab/>
      </w:r>
      <w:r>
        <w:rPr>
          <w:b/>
          <w:bCs/>
          <w:color w:val="000000"/>
          <w:spacing w:val="0"/>
          <w:w w:val="100"/>
          <w:position w:val="0"/>
        </w:rPr>
        <w:t>2020.12.31</w:t>
        <w:tab/>
        <w:t>2019.12.31</w:t>
      </w:r>
    </w:p>
    <w:tbl>
      <w:tblPr>
        <w:tblOverlap w:val="never"/>
        <w:jc w:val="center"/>
        <w:tblLayout w:type="fixed"/>
      </w:tblPr>
      <w:tblGrid>
        <w:gridCol w:w="5150"/>
        <w:gridCol w:w="2270"/>
        <w:gridCol w:w="1934"/>
      </w:tblGrid>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一年内到期的长期借款（附注五、</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20,000,000.00</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一年内到期的长期借款利息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636,033.14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135,216.67</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20,636,033.14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rPr>
              <w:t>20,135,216.67</w:t>
            </w:r>
          </w:p>
        </w:tc>
      </w:tr>
    </w:tbl>
    <w:p>
      <w:pPr>
        <w:widowControl w:val="0"/>
        <w:spacing w:after="299" w:line="1" w:lineRule="exact"/>
      </w:pPr>
    </w:p>
    <w:p>
      <w:pPr>
        <w:pStyle w:val="Style52"/>
        <w:keepNext/>
        <w:keepLines/>
        <w:widowControl w:val="0"/>
        <w:shd w:val="clear" w:color="auto" w:fill="auto"/>
        <w:bidi w:val="0"/>
        <w:spacing w:before="0" w:after="360" w:line="240" w:lineRule="auto"/>
        <w:ind w:left="0" w:right="0" w:firstLine="0"/>
        <w:jc w:val="left"/>
        <w:rPr>
          <w:sz w:val="24"/>
          <w:szCs w:val="24"/>
        </w:rPr>
      </w:pPr>
      <w:bookmarkStart w:id="1079" w:name="bookmark1079"/>
      <w:bookmarkStart w:id="1080" w:name="bookmark1080"/>
      <w:bookmarkStart w:id="1081" w:name="bookmark1081"/>
      <w:bookmarkStart w:id="1082" w:name="bookmark1082"/>
      <w:r>
        <w:rPr>
          <w:rFonts w:ascii="Times New Roman" w:eastAsia="Times New Roman" w:hAnsi="Times New Roman" w:cs="Times New Roman"/>
          <w:b w:val="0"/>
          <w:bCs w:val="0"/>
          <w:color w:val="000000"/>
          <w:spacing w:val="0"/>
          <w:w w:val="100"/>
          <w:position w:val="0"/>
          <w:sz w:val="24"/>
          <w:szCs w:val="24"/>
        </w:rPr>
        <w:t>3</w:t>
      </w:r>
      <w:bookmarkEnd w:id="1081"/>
      <w:r>
        <w:rPr>
          <w:rFonts w:ascii="Times New Roman" w:eastAsia="Times New Roman" w:hAnsi="Times New Roman" w:cs="Times New Roman"/>
          <w:b w:val="0"/>
          <w:bCs w:val="0"/>
          <w:color w:val="000000"/>
          <w:spacing w:val="0"/>
          <w:w w:val="100"/>
          <w:position w:val="0"/>
          <w:sz w:val="24"/>
          <w:szCs w:val="24"/>
        </w:rPr>
        <w:t>0</w:t>
      </w:r>
      <w:r>
        <w:rPr>
          <w:b w:val="0"/>
          <w:bCs w:val="0"/>
          <w:color w:val="000000"/>
          <w:spacing w:val="0"/>
          <w:w w:val="100"/>
          <w:position w:val="0"/>
          <w:sz w:val="24"/>
          <w:szCs w:val="24"/>
        </w:rPr>
        <w:t>、其他流动负债</w:t>
      </w:r>
      <w:bookmarkEnd w:id="1079"/>
      <w:bookmarkEnd w:id="1080"/>
      <w:bookmarkEnd w:id="1082"/>
    </w:p>
    <w:p>
      <w:pPr>
        <w:pStyle w:val="Style128"/>
        <w:keepNext w:val="0"/>
        <w:keepLines w:val="0"/>
        <w:widowControl w:val="0"/>
        <w:pBdr>
          <w:top w:val="single" w:sz="4" w:space="0" w:color="auto"/>
        </w:pBdr>
        <w:shd w:val="clear" w:color="auto" w:fill="auto"/>
        <w:tabs>
          <w:tab w:pos="5566" w:val="left"/>
          <w:tab w:pos="8119" w:val="left"/>
        </w:tabs>
        <w:bidi w:val="0"/>
        <w:spacing w:before="0" w:after="140" w:line="240" w:lineRule="auto"/>
        <w:ind w:left="0" w:right="0" w:firstLine="420"/>
        <w:jc w:val="left"/>
      </w:pPr>
      <w:r>
        <w:rPr>
          <w:rFonts w:ascii="SimSun" w:eastAsia="SimSun" w:hAnsi="SimSun" w:cs="SimSun"/>
          <w:b/>
          <w:bCs/>
          <w:color w:val="000000"/>
          <w:spacing w:val="0"/>
          <w:w w:val="100"/>
          <w:position w:val="0"/>
          <w:sz w:val="20"/>
          <w:szCs w:val="20"/>
        </w:rPr>
        <w:t>项目</w:t>
        <w:tab/>
      </w:r>
      <w:r>
        <w:rPr>
          <w:b/>
          <w:bCs/>
          <w:color w:val="000000"/>
          <w:spacing w:val="0"/>
          <w:w w:val="100"/>
          <w:position w:val="0"/>
        </w:rPr>
        <w:t>2020.12.31</w:t>
        <w:tab/>
        <w:t>2019.12.31</w:t>
      </w:r>
    </w:p>
    <w:tbl>
      <w:tblPr>
        <w:tblOverlap w:val="never"/>
        <w:jc w:val="center"/>
        <w:tblLayout w:type="fixed"/>
      </w:tblPr>
      <w:tblGrid>
        <w:gridCol w:w="4296"/>
        <w:gridCol w:w="2410"/>
        <w:gridCol w:w="2587"/>
      </w:tblGrid>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420"/>
              <w:jc w:val="left"/>
              <w:rPr>
                <w:sz w:val="20"/>
                <w:szCs w:val="20"/>
              </w:rPr>
            </w:pPr>
            <w:r>
              <w:rPr>
                <w:color w:val="000000"/>
                <w:spacing w:val="0"/>
                <w:w w:val="100"/>
                <w:position w:val="0"/>
                <w:sz w:val="20"/>
                <w:szCs w:val="20"/>
              </w:rPr>
              <w:t>待确认的华夏芯股权转让款（附注十三、</w:t>
            </w:r>
          </w:p>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37,352,589.16</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420"/>
              <w:jc w:val="left"/>
              <w:rPr>
                <w:sz w:val="20"/>
                <w:szCs w:val="20"/>
              </w:rPr>
            </w:pPr>
            <w:r>
              <w:rPr>
                <w:color w:val="000000"/>
                <w:spacing w:val="0"/>
                <w:w w:val="100"/>
                <w:position w:val="0"/>
                <w:sz w:val="20"/>
                <w:szCs w:val="20"/>
              </w:rPr>
              <w:t>待确认的星民智联回购款（附注十三、</w:t>
            </w:r>
          </w:p>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5,791,800.00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待转销增值税销项税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608,711.19</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未终止确认的商业承兑汇票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b/>
                <w:bCs/>
                <w:color w:val="000000"/>
                <w:spacing w:val="0"/>
                <w:w w:val="100"/>
                <w:position w:val="0"/>
              </w:rPr>
              <w:t>44,353,100.35</w:t>
            </w:r>
          </w:p>
        </w:tc>
        <w:tc>
          <w:tcPr>
            <w:tcBorders>
              <w:top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52"/>
        <w:keepNext/>
        <w:keepLines/>
        <w:widowControl w:val="0"/>
        <w:shd w:val="clear" w:color="auto" w:fill="auto"/>
        <w:bidi w:val="0"/>
        <w:spacing w:before="0" w:after="400" w:line="240" w:lineRule="auto"/>
        <w:ind w:left="0" w:right="0" w:firstLine="0"/>
        <w:jc w:val="left"/>
        <w:rPr>
          <w:sz w:val="24"/>
          <w:szCs w:val="24"/>
        </w:rPr>
      </w:pPr>
      <w:bookmarkStart w:id="1083" w:name="bookmark1083"/>
      <w:bookmarkStart w:id="1084" w:name="bookmark1084"/>
      <w:bookmarkStart w:id="1085" w:name="bookmark1085"/>
      <w:bookmarkStart w:id="1086" w:name="bookmark1086"/>
      <w:r>
        <w:rPr>
          <w:rFonts w:ascii="Times New Roman" w:eastAsia="Times New Roman" w:hAnsi="Times New Roman" w:cs="Times New Roman"/>
          <w:b w:val="0"/>
          <w:bCs w:val="0"/>
          <w:color w:val="000000"/>
          <w:spacing w:val="0"/>
          <w:w w:val="100"/>
          <w:position w:val="0"/>
          <w:sz w:val="24"/>
          <w:szCs w:val="24"/>
        </w:rPr>
        <w:t>3</w:t>
      </w:r>
      <w:bookmarkEnd w:id="1085"/>
      <w:r>
        <w:rPr>
          <w:rFonts w:ascii="Times New Roman" w:eastAsia="Times New Roman" w:hAnsi="Times New Roman" w:cs="Times New Roman"/>
          <w:b w:val="0"/>
          <w:bCs w:val="0"/>
          <w:color w:val="000000"/>
          <w:spacing w:val="0"/>
          <w:w w:val="100"/>
          <w:position w:val="0"/>
          <w:sz w:val="24"/>
          <w:szCs w:val="24"/>
        </w:rPr>
        <w:t>1</w:t>
      </w:r>
      <w:r>
        <w:rPr>
          <w:b w:val="0"/>
          <w:bCs w:val="0"/>
          <w:color w:val="000000"/>
          <w:spacing w:val="0"/>
          <w:w w:val="100"/>
          <w:position w:val="0"/>
          <w:sz w:val="24"/>
          <w:szCs w:val="24"/>
        </w:rPr>
        <w:t>、长期借款</w:t>
      </w:r>
      <w:bookmarkEnd w:id="1083"/>
      <w:bookmarkEnd w:id="1084"/>
      <w:bookmarkEnd w:id="1086"/>
    </w:p>
    <w:p>
      <w:pPr>
        <w:pStyle w:val="Style52"/>
        <w:keepNext/>
        <w:keepLines/>
        <w:widowControl w:val="0"/>
        <w:shd w:val="clear" w:color="auto" w:fill="auto"/>
        <w:bidi w:val="0"/>
        <w:spacing w:before="0" w:after="140" w:line="240" w:lineRule="auto"/>
        <w:ind w:left="0" w:right="0" w:firstLine="640"/>
        <w:jc w:val="left"/>
        <w:rPr>
          <w:sz w:val="24"/>
          <w:szCs w:val="24"/>
        </w:rPr>
      </w:pPr>
      <w:bookmarkStart w:id="1083" w:name="bookmark1083"/>
      <w:bookmarkStart w:id="1084" w:name="bookmark1084"/>
      <w:r>
        <w:rPr>
          <w:b w:val="0"/>
          <w:bCs w:val="0"/>
          <w:color w:val="000000"/>
          <w:spacing w:val="0"/>
          <w:w w:val="100"/>
          <w:position w:val="0"/>
          <w:sz w:val="24"/>
          <w:szCs w:val="24"/>
        </w:rPr>
        <w:t>（1）</w:t>
      </w:r>
      <w:r>
        <w:rPr>
          <w:b w:val="0"/>
          <w:bCs w:val="0"/>
          <w:color w:val="000000"/>
          <w:spacing w:val="0"/>
          <w:w w:val="100"/>
          <w:position w:val="0"/>
          <w:sz w:val="24"/>
          <w:szCs w:val="24"/>
        </w:rPr>
        <w:t>长期借款分类</w:t>
      </w:r>
      <w:bookmarkEnd w:id="1083"/>
      <w:bookmarkEnd w:id="1084"/>
    </w:p>
    <w:tbl>
      <w:tblPr>
        <w:tblOverlap w:val="never"/>
        <w:jc w:val="center"/>
        <w:tblLayout w:type="fixed"/>
      </w:tblPr>
      <w:tblGrid>
        <w:gridCol w:w="3451"/>
        <w:gridCol w:w="2837"/>
        <w:gridCol w:w="2866"/>
      </w:tblGrid>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借款类别</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2020.12.31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b/>
                <w:bCs/>
                <w:color w:val="000000"/>
                <w:spacing w:val="0"/>
                <w:w w:val="100"/>
                <w:position w:val="0"/>
              </w:rPr>
              <w:t>2019.12.31</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抵押、保证借款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62,000,000.00</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质押、抵押、保证借款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295,000,000.00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长期借款利息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636,033.14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135,216.67</w:t>
            </w:r>
          </w:p>
        </w:tc>
      </w:tr>
    </w:tbl>
    <w:p>
      <w:pPr>
        <w:widowControl w:val="0"/>
        <w:spacing w:line="1" w:lineRule="exact"/>
      </w:pPr>
      <w:r>
        <w:br w:type="page"/>
      </w:r>
    </w:p>
    <w:tbl>
      <w:tblPr>
        <w:tblOverlap w:val="never"/>
        <w:jc w:val="center"/>
        <w:tblLayout w:type="fixed"/>
      </w:tblPr>
      <w:tblGrid>
        <w:gridCol w:w="3451"/>
        <w:gridCol w:w="2837"/>
        <w:gridCol w:w="2866"/>
      </w:tblGrid>
      <w:tr>
        <w:trPr>
          <w:trHeight w:val="73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500"/>
              <w:jc w:val="left"/>
              <w:rPr>
                <w:sz w:val="20"/>
                <w:szCs w:val="20"/>
              </w:rPr>
            </w:pPr>
            <w:r>
              <w:rPr>
                <w:color w:val="000000"/>
                <w:spacing w:val="0"/>
                <w:w w:val="100"/>
                <w:position w:val="0"/>
                <w:sz w:val="20"/>
                <w:szCs w:val="20"/>
              </w:rPr>
              <w:t>减：一年内到期的长期借款</w:t>
            </w:r>
          </w:p>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（附注五、</w:t>
            </w:r>
            <w:r>
              <w:rPr>
                <w:rFonts w:ascii="Times New Roman" w:eastAsia="Times New Roman" w:hAnsi="Times New Roman" w:cs="Times New Roman"/>
                <w:color w:val="000000"/>
                <w:spacing w:val="0"/>
                <w:w w:val="100"/>
                <w:position w:val="0"/>
                <w:sz w:val="22"/>
                <w:szCs w:val="22"/>
              </w:rPr>
              <w:t>29</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20,636,033.14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20,135,216.67</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317,000,000.00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b/>
                <w:bCs/>
                <w:color w:val="000000"/>
                <w:spacing w:val="0"/>
                <w:w w:val="100"/>
                <w:position w:val="0"/>
              </w:rPr>
              <w:t>42,000,000.00</w:t>
            </w:r>
          </w:p>
        </w:tc>
      </w:tr>
    </w:tbl>
    <w:p>
      <w:pPr>
        <w:pStyle w:val="Style38"/>
        <w:keepNext w:val="0"/>
        <w:keepLines w:val="0"/>
        <w:widowControl w:val="0"/>
        <w:shd w:val="clear" w:color="auto" w:fill="auto"/>
        <w:bidi w:val="0"/>
        <w:spacing w:before="0" w:after="0" w:line="240" w:lineRule="auto"/>
        <w:ind w:left="470" w:right="0" w:firstLine="0"/>
        <w:jc w:val="left"/>
        <w:rPr>
          <w:sz w:val="20"/>
          <w:szCs w:val="20"/>
        </w:rPr>
      </w:pPr>
      <w:r>
        <w:rPr>
          <w:color w:val="000000"/>
          <w:spacing w:val="0"/>
          <w:w w:val="100"/>
          <w:position w:val="0"/>
          <w:sz w:val="20"/>
          <w:szCs w:val="20"/>
        </w:rPr>
        <w:t>注：质押、抵押、保证借款的抵押资产类别以及金额</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参见附注五、</w:t>
      </w:r>
      <w:r>
        <w:rPr>
          <w:rFonts w:ascii="Times New Roman" w:eastAsia="Times New Roman" w:hAnsi="Times New Roman" w:cs="Times New Roman"/>
          <w:color w:val="000000"/>
          <w:spacing w:val="0"/>
          <w:w w:val="100"/>
          <w:position w:val="0"/>
          <w:sz w:val="22"/>
          <w:szCs w:val="22"/>
        </w:rPr>
        <w:t>56</w:t>
      </w:r>
      <w:r>
        <w:rPr>
          <w:color w:val="000000"/>
          <w:spacing w:val="0"/>
          <w:w w:val="100"/>
          <w:position w:val="0"/>
          <w:sz w:val="20"/>
          <w:szCs w:val="20"/>
        </w:rPr>
        <w:t>说明。</w:t>
      </w:r>
    </w:p>
    <w:p>
      <w:pPr>
        <w:widowControl w:val="0"/>
        <w:spacing w:after="379" w:line="1" w:lineRule="exact"/>
      </w:pPr>
    </w:p>
    <w:p>
      <w:pPr>
        <w:pStyle w:val="Style52"/>
        <w:keepNext/>
        <w:keepLines/>
        <w:widowControl w:val="0"/>
        <w:shd w:val="clear" w:color="auto" w:fill="auto"/>
        <w:bidi w:val="0"/>
        <w:spacing w:before="0" w:after="380" w:line="240" w:lineRule="auto"/>
        <w:ind w:left="0" w:right="0" w:firstLine="0"/>
        <w:jc w:val="left"/>
        <w:rPr>
          <w:sz w:val="24"/>
          <w:szCs w:val="24"/>
        </w:rPr>
      </w:pPr>
      <w:bookmarkStart w:id="1087" w:name="bookmark1087"/>
      <w:bookmarkStart w:id="1088" w:name="bookmark1088"/>
      <w:bookmarkStart w:id="1089" w:name="bookmark1089"/>
      <w:bookmarkStart w:id="1090" w:name="bookmark1090"/>
      <w:r>
        <w:rPr>
          <w:rFonts w:ascii="Times New Roman" w:eastAsia="Times New Roman" w:hAnsi="Times New Roman" w:cs="Times New Roman"/>
          <w:b w:val="0"/>
          <w:bCs w:val="0"/>
          <w:color w:val="000000"/>
          <w:spacing w:val="0"/>
          <w:w w:val="100"/>
          <w:position w:val="0"/>
          <w:sz w:val="24"/>
          <w:szCs w:val="24"/>
        </w:rPr>
        <w:t>3</w:t>
      </w:r>
      <w:bookmarkEnd w:id="1089"/>
      <w:r>
        <w:rPr>
          <w:rFonts w:ascii="Times New Roman" w:eastAsia="Times New Roman" w:hAnsi="Times New Roman" w:cs="Times New Roman"/>
          <w:b w:val="0"/>
          <w:bCs w:val="0"/>
          <w:color w:val="000000"/>
          <w:spacing w:val="0"/>
          <w:w w:val="100"/>
          <w:position w:val="0"/>
          <w:sz w:val="24"/>
          <w:szCs w:val="24"/>
        </w:rPr>
        <w:t>2</w:t>
      </w:r>
      <w:r>
        <w:rPr>
          <w:b w:val="0"/>
          <w:bCs w:val="0"/>
          <w:color w:val="000000"/>
          <w:spacing w:val="0"/>
          <w:w w:val="100"/>
          <w:position w:val="0"/>
          <w:sz w:val="24"/>
          <w:szCs w:val="24"/>
        </w:rPr>
        <w:t>、递延收益</w:t>
      </w:r>
      <w:bookmarkEnd w:id="1087"/>
      <w:bookmarkEnd w:id="1088"/>
      <w:bookmarkEnd w:id="1090"/>
    </w:p>
    <w:p>
      <w:pPr>
        <w:pStyle w:val="Style38"/>
        <w:keepNext w:val="0"/>
        <w:keepLines w:val="0"/>
        <w:widowControl w:val="0"/>
        <w:shd w:val="clear" w:color="auto" w:fill="auto"/>
        <w:tabs>
          <w:tab w:pos="1608" w:val="left"/>
          <w:tab w:pos="3034" w:val="left"/>
          <w:tab w:pos="4464" w:val="left"/>
          <w:tab w:pos="6082" w:val="left"/>
          <w:tab w:pos="7747" w:val="left"/>
        </w:tabs>
        <w:bidi w:val="0"/>
        <w:spacing w:before="0" w:after="0" w:line="240" w:lineRule="auto"/>
        <w:ind w:left="0" w:right="0" w:firstLine="0"/>
        <w:jc w:val="center"/>
        <w:rPr>
          <w:sz w:val="20"/>
          <w:szCs w:val="20"/>
        </w:rPr>
      </w:pPr>
      <w:r>
        <w:rPr>
          <w:b/>
          <w:bCs/>
          <w:color w:val="000000"/>
          <w:spacing w:val="0"/>
          <w:w w:val="100"/>
          <w:position w:val="0"/>
          <w:sz w:val="20"/>
          <w:szCs w:val="20"/>
        </w:rPr>
        <w:t>项目</w:t>
        <w:tab/>
        <w:t>期初余额</w:t>
        <w:tab/>
        <w:t>本期增加</w:t>
        <w:tab/>
        <w:t>本期减少</w:t>
        <w:tab/>
        <w:t>期末余额</w:t>
        <w:tab/>
        <w:t>形成原因</w:t>
      </w:r>
    </w:p>
    <w:tbl>
      <w:tblPr>
        <w:tblOverlap w:val="never"/>
        <w:jc w:val="center"/>
        <w:tblLayout w:type="fixed"/>
      </w:tblPr>
      <w:tblGrid>
        <w:gridCol w:w="1680"/>
        <w:gridCol w:w="1560"/>
        <w:gridCol w:w="1310"/>
        <w:gridCol w:w="1522"/>
        <w:gridCol w:w="1704"/>
        <w:gridCol w:w="1517"/>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237,500.00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详见下表</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b/>
                <w:bCs/>
                <w:color w:val="000000"/>
                <w:spacing w:val="0"/>
                <w:w w:val="100"/>
                <w:position w:val="0"/>
              </w:rPr>
              <w:t>237,500.00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237,500.00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bl>
    <w:p>
      <w:pPr>
        <w:widowControl w:val="0"/>
        <w:spacing w:after="119" w:line="1" w:lineRule="exact"/>
      </w:pPr>
    </w:p>
    <w:p>
      <w:pPr>
        <w:pStyle w:val="Style44"/>
        <w:keepNext w:val="0"/>
        <w:keepLines w:val="0"/>
        <w:widowControl w:val="0"/>
        <w:pBdr>
          <w:bottom w:val="single" w:sz="4" w:space="0" w:color="auto"/>
        </w:pBdr>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其中，涉及政府补助的项目:</w:t>
      </w:r>
    </w:p>
    <w:p>
      <w:pPr>
        <w:widowControl w:val="0"/>
        <w:spacing w:line="1" w:lineRule="exact"/>
      </w:pPr>
      <w:r>
        <mc:AlternateContent>
          <mc:Choice Requires="wps">
            <w:drawing>
              <wp:anchor distT="354330" distB="295910" distL="0" distR="0" simplePos="0" relativeHeight="125829440" behindDoc="0" locked="0" layoutInCell="1" allowOverlap="1">
                <wp:simplePos x="0" y="0"/>
                <wp:positionH relativeFrom="page">
                  <wp:posOffset>1285875</wp:posOffset>
                </wp:positionH>
                <wp:positionV relativeFrom="paragraph">
                  <wp:posOffset>354330</wp:posOffset>
                </wp:positionV>
                <wp:extent cx="304800" cy="179705"/>
                <wp:wrapTopAndBottom/>
                <wp:docPr id="360" name="Shape 360"/>
                <a:graphic xmlns:a="http://schemas.openxmlformats.org/drawingml/2006/main">
                  <a:graphicData uri="http://schemas.microsoft.com/office/word/2010/wordprocessingShape">
                    <wps:wsp>
                      <wps:cNvSpPr txBox="1"/>
                      <wps:spPr>
                        <a:xfrm>
                          <a:ext cx="304800" cy="17970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xbxContent>
                      </wps:txbx>
                      <wps:bodyPr wrap="none" lIns="0" tIns="0" rIns="0" bIns="0">
                        <a:noAutoFit/>
                      </wps:bodyPr>
                    </wps:wsp>
                  </a:graphicData>
                </a:graphic>
              </wp:anchor>
            </w:drawing>
          </mc:Choice>
          <mc:Fallback>
            <w:pict>
              <v:shape id="_x0000_s1386" type="#_x0000_t202" style="position:absolute;margin-left:101.25pt;margin-top:27.900000000000002pt;width:24.pt;height:14.15pt;z-index:-125829313;mso-wrap-distance-left:0;mso-wrap-distance-top:27.900000000000002pt;mso-wrap-distance-right:0;mso-wrap-distance-bottom:23.300000000000001pt;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xbxContent>
                </v:textbox>
                <w10:wrap type="topAndBottom" anchorx="page"/>
              </v:shape>
            </w:pict>
          </mc:Fallback>
        </mc:AlternateContent>
      </w:r>
      <w:r>
        <mc:AlternateContent>
          <mc:Choice Requires="wps">
            <w:drawing>
              <wp:anchor distT="156210" distB="100965" distL="0" distR="0" simplePos="0" relativeHeight="125829442" behindDoc="0" locked="0" layoutInCell="1" allowOverlap="1">
                <wp:simplePos x="0" y="0"/>
                <wp:positionH relativeFrom="page">
                  <wp:posOffset>2193925</wp:posOffset>
                </wp:positionH>
                <wp:positionV relativeFrom="paragraph">
                  <wp:posOffset>156210</wp:posOffset>
                </wp:positionV>
                <wp:extent cx="1146175" cy="572770"/>
                <wp:wrapTopAndBottom/>
                <wp:docPr id="362" name="Shape 362"/>
                <a:graphic xmlns:a="http://schemas.openxmlformats.org/drawingml/2006/main">
                  <a:graphicData uri="http://schemas.microsoft.com/office/word/2010/wordprocessingShape">
                    <wps:wsp>
                      <wps:cNvSpPr txBox="1"/>
                      <wps:spPr>
                        <a:xfrm>
                          <a:ext cx="1146175" cy="572770"/>
                        </a:xfrm>
                        <a:prstGeom prst="rect"/>
                        <a:noFill/>
                      </wps:spPr>
                      <wps:txbx>
                        <w:txbxContent>
                          <w:p>
                            <w:pPr>
                              <w:pStyle w:val="Style44"/>
                              <w:keepNext w:val="0"/>
                              <w:keepLines w:val="0"/>
                              <w:widowControl w:val="0"/>
                              <w:shd w:val="clear" w:color="auto" w:fill="auto"/>
                              <w:bidi w:val="0"/>
                              <w:spacing w:before="0" w:after="60" w:line="240" w:lineRule="auto"/>
                              <w:ind w:left="0" w:right="0" w:firstLine="0"/>
                              <w:jc w:val="right"/>
                              <w:rPr>
                                <w:sz w:val="20"/>
                                <w:szCs w:val="20"/>
                              </w:rPr>
                            </w:pPr>
                            <w:r>
                              <w:rPr>
                                <w:b/>
                                <w:bCs/>
                                <w:color w:val="000000"/>
                                <w:spacing w:val="0"/>
                                <w:w w:val="100"/>
                                <w:position w:val="0"/>
                                <w:sz w:val="20"/>
                                <w:szCs w:val="20"/>
                              </w:rPr>
                              <w:t>本期新</w:t>
                            </w:r>
                          </w:p>
                          <w:p>
                            <w:pPr>
                              <w:pStyle w:val="Style44"/>
                              <w:keepNext w:val="0"/>
                              <w:keepLines w:val="0"/>
                              <w:widowControl w:val="0"/>
                              <w:shd w:val="clear" w:color="auto" w:fill="auto"/>
                              <w:bidi w:val="0"/>
                              <w:spacing w:before="0" w:after="60" w:line="240" w:lineRule="auto"/>
                              <w:ind w:left="0" w:right="0" w:firstLine="0"/>
                              <w:jc w:val="right"/>
                              <w:rPr>
                                <w:sz w:val="20"/>
                                <w:szCs w:val="20"/>
                              </w:rPr>
                            </w:pPr>
                            <w:r>
                              <w:rPr>
                                <w:b/>
                                <w:bCs/>
                                <w:color w:val="000000"/>
                                <w:spacing w:val="0"/>
                                <w:w w:val="100"/>
                                <w:position w:val="0"/>
                                <w:sz w:val="20"/>
                                <w:szCs w:val="20"/>
                              </w:rPr>
                              <w:t>期初余额增补助</w:t>
                            </w:r>
                          </w:p>
                          <w:p>
                            <w:pPr>
                              <w:pStyle w:val="Style44"/>
                              <w:keepNext w:val="0"/>
                              <w:keepLines w:val="0"/>
                              <w:widowControl w:val="0"/>
                              <w:shd w:val="clear" w:color="auto" w:fill="auto"/>
                              <w:bidi w:val="0"/>
                              <w:spacing w:before="0" w:after="60" w:line="240" w:lineRule="auto"/>
                              <w:ind w:left="1220" w:right="0" w:firstLine="0"/>
                              <w:jc w:val="left"/>
                              <w:rPr>
                                <w:sz w:val="20"/>
                                <w:szCs w:val="20"/>
                              </w:rPr>
                            </w:pPr>
                            <w:r>
                              <w:rPr>
                                <w:b/>
                                <w:bCs/>
                                <w:color w:val="000000"/>
                                <w:spacing w:val="0"/>
                                <w:w w:val="100"/>
                                <w:position w:val="0"/>
                                <w:sz w:val="20"/>
                                <w:szCs w:val="20"/>
                              </w:rPr>
                              <w:t>金额</w:t>
                            </w:r>
                          </w:p>
                        </w:txbxContent>
                      </wps:txbx>
                      <wps:bodyPr lIns="0" tIns="0" rIns="0" bIns="0">
                        <a:noAutoFit/>
                      </wps:bodyPr>
                    </wps:wsp>
                  </a:graphicData>
                </a:graphic>
              </wp:anchor>
            </w:drawing>
          </mc:Choice>
          <mc:Fallback>
            <w:pict>
              <v:shape id="_x0000_s1388" type="#_x0000_t202" style="position:absolute;margin-left:172.75pt;margin-top:12.300000000000001pt;width:90.25pt;height:45.100000000000001pt;z-index:-125829311;mso-wrap-distance-left:0;mso-wrap-distance-top:12.300000000000001pt;mso-wrap-distance-right:0;mso-wrap-distance-bottom:7.9500000000000002pt;mso-position-horizontal-relative:page" filled="f" stroked="f">
                <v:textbox inset="0,0,0,0">
                  <w:txbxContent>
                    <w:p>
                      <w:pPr>
                        <w:pStyle w:val="Style44"/>
                        <w:keepNext w:val="0"/>
                        <w:keepLines w:val="0"/>
                        <w:widowControl w:val="0"/>
                        <w:shd w:val="clear" w:color="auto" w:fill="auto"/>
                        <w:bidi w:val="0"/>
                        <w:spacing w:before="0" w:after="60" w:line="240" w:lineRule="auto"/>
                        <w:ind w:left="0" w:right="0" w:firstLine="0"/>
                        <w:jc w:val="right"/>
                        <w:rPr>
                          <w:sz w:val="20"/>
                          <w:szCs w:val="20"/>
                        </w:rPr>
                      </w:pPr>
                      <w:r>
                        <w:rPr>
                          <w:b/>
                          <w:bCs/>
                          <w:color w:val="000000"/>
                          <w:spacing w:val="0"/>
                          <w:w w:val="100"/>
                          <w:position w:val="0"/>
                          <w:sz w:val="20"/>
                          <w:szCs w:val="20"/>
                        </w:rPr>
                        <w:t>本期新</w:t>
                      </w:r>
                    </w:p>
                    <w:p>
                      <w:pPr>
                        <w:pStyle w:val="Style44"/>
                        <w:keepNext w:val="0"/>
                        <w:keepLines w:val="0"/>
                        <w:widowControl w:val="0"/>
                        <w:shd w:val="clear" w:color="auto" w:fill="auto"/>
                        <w:bidi w:val="0"/>
                        <w:spacing w:before="0" w:after="60" w:line="240" w:lineRule="auto"/>
                        <w:ind w:left="0" w:right="0" w:firstLine="0"/>
                        <w:jc w:val="right"/>
                        <w:rPr>
                          <w:sz w:val="20"/>
                          <w:szCs w:val="20"/>
                        </w:rPr>
                      </w:pPr>
                      <w:r>
                        <w:rPr>
                          <w:b/>
                          <w:bCs/>
                          <w:color w:val="000000"/>
                          <w:spacing w:val="0"/>
                          <w:w w:val="100"/>
                          <w:position w:val="0"/>
                          <w:sz w:val="20"/>
                          <w:szCs w:val="20"/>
                        </w:rPr>
                        <w:t>期初余额增补助</w:t>
                      </w:r>
                    </w:p>
                    <w:p>
                      <w:pPr>
                        <w:pStyle w:val="Style44"/>
                        <w:keepNext w:val="0"/>
                        <w:keepLines w:val="0"/>
                        <w:widowControl w:val="0"/>
                        <w:shd w:val="clear" w:color="auto" w:fill="auto"/>
                        <w:bidi w:val="0"/>
                        <w:spacing w:before="0" w:after="60" w:line="240" w:lineRule="auto"/>
                        <w:ind w:left="1220" w:right="0" w:firstLine="0"/>
                        <w:jc w:val="left"/>
                        <w:rPr>
                          <w:sz w:val="20"/>
                          <w:szCs w:val="20"/>
                        </w:rPr>
                      </w:pPr>
                      <w:r>
                        <w:rPr>
                          <w:b/>
                          <w:bCs/>
                          <w:color w:val="000000"/>
                          <w:spacing w:val="0"/>
                          <w:w w:val="100"/>
                          <w:position w:val="0"/>
                          <w:sz w:val="20"/>
                          <w:szCs w:val="20"/>
                        </w:rPr>
                        <w:t>金额</w:t>
                      </w:r>
                    </w:p>
                  </w:txbxContent>
                </v:textbox>
                <w10:wrap type="topAndBottom" anchorx="page"/>
              </v:shape>
            </w:pict>
          </mc:Fallback>
        </mc:AlternateContent>
      </w:r>
      <w:r>
        <mc:AlternateContent>
          <mc:Choice Requires="wps">
            <w:drawing>
              <wp:anchor distT="25400" distB="0" distL="0" distR="0" simplePos="0" relativeHeight="125829444" behindDoc="0" locked="0" layoutInCell="1" allowOverlap="1">
                <wp:simplePos x="0" y="0"/>
                <wp:positionH relativeFrom="page">
                  <wp:posOffset>3437890</wp:posOffset>
                </wp:positionH>
                <wp:positionV relativeFrom="paragraph">
                  <wp:posOffset>25400</wp:posOffset>
                </wp:positionV>
                <wp:extent cx="450850" cy="804545"/>
                <wp:wrapTopAndBottom/>
                <wp:docPr id="364" name="Shape 364"/>
                <a:graphic xmlns:a="http://schemas.openxmlformats.org/drawingml/2006/main">
                  <a:graphicData uri="http://schemas.microsoft.com/office/word/2010/wordprocessingShape">
                    <wps:wsp>
                      <wps:cNvSpPr txBox="1"/>
                      <wps:spPr>
                        <a:xfrm>
                          <a:ext cx="450850" cy="804545"/>
                        </a:xfrm>
                        <a:prstGeom prst="rect"/>
                        <a:noFill/>
                      </wps:spPr>
                      <wps:txbx>
                        <w:txbxContent>
                          <w:p>
                            <w:pPr>
                              <w:pStyle w:val="Style44"/>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本期计</w:t>
                              <w:br/>
                              <w:t>入营业</w:t>
                              <w:br/>
                              <w:t>外收入</w:t>
                              <w:br/>
                              <w:t>金额</w:t>
                            </w:r>
                          </w:p>
                        </w:txbxContent>
                      </wps:txbx>
                      <wps:bodyPr lIns="0" tIns="0" rIns="0" bIns="0">
                        <a:noAutoFit/>
                      </wps:bodyPr>
                    </wps:wsp>
                  </a:graphicData>
                </a:graphic>
              </wp:anchor>
            </w:drawing>
          </mc:Choice>
          <mc:Fallback>
            <w:pict>
              <v:shape id="_x0000_s1390" type="#_x0000_t202" style="position:absolute;margin-left:270.69999999999999pt;margin-top:2.pt;width:35.5pt;height:63.350000000000001pt;z-index:-125829309;mso-wrap-distance-left:0;mso-wrap-distance-top:2.pt;mso-wrap-distance-right:0;mso-position-horizontal-relative:page" filled="f" stroked="f">
                <v:textbox inset="0,0,0,0">
                  <w:txbxContent>
                    <w:p>
                      <w:pPr>
                        <w:pStyle w:val="Style44"/>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本期计</w:t>
                        <w:br/>
                        <w:t>入营业</w:t>
                        <w:br/>
                        <w:t>外收入</w:t>
                        <w:br/>
                        <w:t>金额</w:t>
                      </w:r>
                    </w:p>
                  </w:txbxContent>
                </v:textbox>
                <w10:wrap type="topAndBottom" anchorx="page"/>
              </v:shape>
            </w:pict>
          </mc:Fallback>
        </mc:AlternateContent>
      </w:r>
      <w:r>
        <mc:AlternateContent>
          <mc:Choice Requires="wps">
            <w:drawing>
              <wp:anchor distT="80010" distB="100965" distL="0" distR="0" simplePos="0" relativeHeight="125829446" behindDoc="0" locked="0" layoutInCell="1" allowOverlap="1">
                <wp:simplePos x="0" y="0"/>
                <wp:positionH relativeFrom="page">
                  <wp:posOffset>4017010</wp:posOffset>
                </wp:positionH>
                <wp:positionV relativeFrom="paragraph">
                  <wp:posOffset>80010</wp:posOffset>
                </wp:positionV>
                <wp:extent cx="1304290" cy="648970"/>
                <wp:wrapTopAndBottom/>
                <wp:docPr id="366" name="Shape 366"/>
                <a:graphic xmlns:a="http://schemas.openxmlformats.org/drawingml/2006/main">
                  <a:graphicData uri="http://schemas.microsoft.com/office/word/2010/wordprocessingShape">
                    <wps:wsp>
                      <wps:cNvSpPr txBox="1"/>
                      <wps:spPr>
                        <a:xfrm>
                          <a:ext cx="1304290" cy="648970"/>
                        </a:xfrm>
                        <a:prstGeom prst="rect"/>
                        <a:noFill/>
                      </wps:spPr>
                      <wps:txbx>
                        <w:txbxContent>
                          <w:p>
                            <w:pPr>
                              <w:pStyle w:val="Style44"/>
                              <w:keepNext w:val="0"/>
                              <w:keepLines w:val="0"/>
                              <w:widowControl w:val="0"/>
                              <w:shd w:val="clear" w:color="auto" w:fill="auto"/>
                              <w:bidi w:val="0"/>
                              <w:spacing w:before="0" w:after="60" w:line="346" w:lineRule="exact"/>
                              <w:ind w:left="0" w:right="0" w:firstLine="0"/>
                              <w:jc w:val="left"/>
                              <w:rPr>
                                <w:sz w:val="20"/>
                                <w:szCs w:val="20"/>
                              </w:rPr>
                            </w:pPr>
                            <w:r>
                              <w:rPr>
                                <w:b/>
                                <w:bCs/>
                                <w:color w:val="000000"/>
                                <w:spacing w:val="0"/>
                                <w:w w:val="100"/>
                                <w:position w:val="0"/>
                                <w:sz w:val="20"/>
                                <w:szCs w:val="20"/>
                              </w:rPr>
                              <w:t>本期计入本期冲减 其他收益成本费用</w:t>
                            </w:r>
                          </w:p>
                          <w:p>
                            <w:pPr>
                              <w:pStyle w:val="Style44"/>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金额</w:t>
                            </w:r>
                          </w:p>
                        </w:txbxContent>
                      </wps:txbx>
                      <wps:bodyPr lIns="0" tIns="0" rIns="0" bIns="0">
                        <a:noAutoFit/>
                      </wps:bodyPr>
                    </wps:wsp>
                  </a:graphicData>
                </a:graphic>
              </wp:anchor>
            </w:drawing>
          </mc:Choice>
          <mc:Fallback>
            <w:pict>
              <v:shape id="_x0000_s1392" type="#_x0000_t202" style="position:absolute;margin-left:316.30000000000001pt;margin-top:6.2999999999999998pt;width:102.7pt;height:51.100000000000001pt;z-index:-125829307;mso-wrap-distance-left:0;mso-wrap-distance-top:6.2999999999999998pt;mso-wrap-distance-right:0;mso-wrap-distance-bottom:7.9500000000000002pt;mso-position-horizontal-relative:page" filled="f" stroked="f">
                <v:textbox inset="0,0,0,0">
                  <w:txbxContent>
                    <w:p>
                      <w:pPr>
                        <w:pStyle w:val="Style44"/>
                        <w:keepNext w:val="0"/>
                        <w:keepLines w:val="0"/>
                        <w:widowControl w:val="0"/>
                        <w:shd w:val="clear" w:color="auto" w:fill="auto"/>
                        <w:bidi w:val="0"/>
                        <w:spacing w:before="0" w:after="60" w:line="346" w:lineRule="exact"/>
                        <w:ind w:left="0" w:right="0" w:firstLine="0"/>
                        <w:jc w:val="left"/>
                        <w:rPr>
                          <w:sz w:val="20"/>
                          <w:szCs w:val="20"/>
                        </w:rPr>
                      </w:pPr>
                      <w:r>
                        <w:rPr>
                          <w:b/>
                          <w:bCs/>
                          <w:color w:val="000000"/>
                          <w:spacing w:val="0"/>
                          <w:w w:val="100"/>
                          <w:position w:val="0"/>
                          <w:sz w:val="20"/>
                          <w:szCs w:val="20"/>
                        </w:rPr>
                        <w:t>本期计入本期冲减 其他收益成本费用</w:t>
                      </w:r>
                    </w:p>
                    <w:p>
                      <w:pPr>
                        <w:pStyle w:val="Style44"/>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金额</w:t>
                      </w:r>
                    </w:p>
                  </w:txbxContent>
                </v:textbox>
                <w10:wrap type="topAndBottom" anchorx="page"/>
              </v:shape>
            </w:pict>
          </mc:Fallback>
        </mc:AlternateContent>
      </w:r>
      <w:r>
        <mc:AlternateContent>
          <mc:Choice Requires="wps">
            <w:drawing>
              <wp:anchor distT="156210" distB="100965" distL="0" distR="0" simplePos="0" relativeHeight="125829448" behindDoc="0" locked="0" layoutInCell="1" allowOverlap="1">
                <wp:simplePos x="0" y="0"/>
                <wp:positionH relativeFrom="page">
                  <wp:posOffset>4873625</wp:posOffset>
                </wp:positionH>
                <wp:positionV relativeFrom="paragraph">
                  <wp:posOffset>156210</wp:posOffset>
                </wp:positionV>
                <wp:extent cx="1822450" cy="572770"/>
                <wp:wrapTopAndBottom/>
                <wp:docPr id="368" name="Shape 368"/>
                <a:graphic xmlns:a="http://schemas.openxmlformats.org/drawingml/2006/main">
                  <a:graphicData uri="http://schemas.microsoft.com/office/word/2010/wordprocessingShape">
                    <wps:wsp>
                      <wps:cNvSpPr txBox="1"/>
                      <wps:spPr>
                        <a:xfrm>
                          <a:ext cx="1822450" cy="572770"/>
                        </a:xfrm>
                        <a:prstGeom prst="rect"/>
                        <a:noFill/>
                      </wps:spPr>
                      <wps:txbx>
                        <w:txbxContent>
                          <w:p>
                            <w:pPr>
                              <w:pStyle w:val="Style44"/>
                              <w:keepNext w:val="0"/>
                              <w:keepLines w:val="0"/>
                              <w:widowControl w:val="0"/>
                              <w:shd w:val="clear" w:color="auto" w:fill="auto"/>
                              <w:bidi w:val="0"/>
                              <w:spacing w:before="0" w:after="0" w:line="442" w:lineRule="exact"/>
                              <w:ind w:left="0" w:right="0" w:firstLine="840"/>
                              <w:jc w:val="both"/>
                              <w:rPr>
                                <w:sz w:val="20"/>
                                <w:szCs w:val="20"/>
                              </w:rPr>
                            </w:pPr>
                            <w:r>
                              <w:rPr>
                                <w:b/>
                                <w:bCs/>
                                <w:color w:val="000000"/>
                                <w:spacing w:val="0"/>
                                <w:w w:val="100"/>
                                <w:position w:val="0"/>
                                <w:sz w:val="20"/>
                                <w:szCs w:val="20"/>
                              </w:rPr>
                              <w:t>其他期末与与收益 金额变动余额相关</w:t>
                            </w:r>
                          </w:p>
                        </w:txbxContent>
                      </wps:txbx>
                      <wps:bodyPr lIns="0" tIns="0" rIns="0" bIns="0">
                        <a:noAutoFit/>
                      </wps:bodyPr>
                    </wps:wsp>
                  </a:graphicData>
                </a:graphic>
              </wp:anchor>
            </w:drawing>
          </mc:Choice>
          <mc:Fallback>
            <w:pict>
              <v:shape id="_x0000_s1394" type="#_x0000_t202" style="position:absolute;margin-left:383.75pt;margin-top:12.300000000000001pt;width:143.5pt;height:45.100000000000001pt;z-index:-125829305;mso-wrap-distance-left:0;mso-wrap-distance-top:12.300000000000001pt;mso-wrap-distance-right:0;mso-wrap-distance-bottom:7.9500000000000002pt;mso-position-horizontal-relative:page" filled="f" stroked="f">
                <v:textbox inset="0,0,0,0">
                  <w:txbxContent>
                    <w:p>
                      <w:pPr>
                        <w:pStyle w:val="Style44"/>
                        <w:keepNext w:val="0"/>
                        <w:keepLines w:val="0"/>
                        <w:widowControl w:val="0"/>
                        <w:shd w:val="clear" w:color="auto" w:fill="auto"/>
                        <w:bidi w:val="0"/>
                        <w:spacing w:before="0" w:after="0" w:line="442" w:lineRule="exact"/>
                        <w:ind w:left="0" w:right="0" w:firstLine="840"/>
                        <w:jc w:val="both"/>
                        <w:rPr>
                          <w:sz w:val="20"/>
                          <w:szCs w:val="20"/>
                        </w:rPr>
                      </w:pPr>
                      <w:r>
                        <w:rPr>
                          <w:b/>
                          <w:bCs/>
                          <w:color w:val="000000"/>
                          <w:spacing w:val="0"/>
                          <w:w w:val="100"/>
                          <w:position w:val="0"/>
                          <w:sz w:val="20"/>
                          <w:szCs w:val="20"/>
                        </w:rPr>
                        <w:t>其他期末与与收益 金额变动余额相关</w:t>
                      </w:r>
                    </w:p>
                  </w:txbxContent>
                </v:textbox>
                <w10:wrap type="topAndBottom" anchorx="page"/>
              </v:shape>
            </w:pict>
          </mc:Fallback>
        </mc:AlternateContent>
      </w:r>
    </w:p>
    <w:tbl>
      <w:tblPr>
        <w:tblOverlap w:val="never"/>
        <w:jc w:val="center"/>
        <w:tblLayout w:type="fixed"/>
      </w:tblPr>
      <w:tblGrid>
        <w:gridCol w:w="2314"/>
        <w:gridCol w:w="1133"/>
        <w:gridCol w:w="854"/>
        <w:gridCol w:w="864"/>
        <w:gridCol w:w="1181"/>
        <w:gridCol w:w="1070"/>
        <w:gridCol w:w="566"/>
        <w:gridCol w:w="566"/>
        <w:gridCol w:w="1027"/>
      </w:tblGrid>
      <w:tr>
        <w:trPr>
          <w:trHeight w:val="85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78" w:lineRule="exact"/>
              <w:ind w:left="180" w:right="0" w:firstLine="0"/>
              <w:jc w:val="left"/>
              <w:rPr>
                <w:sz w:val="20"/>
                <w:szCs w:val="20"/>
              </w:rPr>
            </w:pPr>
            <w:r>
              <w:rPr>
                <w:color w:val="000000"/>
                <w:spacing w:val="0"/>
                <w:w w:val="100"/>
                <w:position w:val="0"/>
                <w:sz w:val="20"/>
                <w:szCs w:val="20"/>
              </w:rPr>
              <w:t>基于身份认证应用场 景的金融级安全芯片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与资产相 关</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合 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237,500.00</w:t>
            </w: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237,500.00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52"/>
        <w:keepNext/>
        <w:keepLines/>
        <w:widowControl w:val="0"/>
        <w:shd w:val="clear" w:color="auto" w:fill="auto"/>
        <w:bidi w:val="0"/>
        <w:spacing w:before="0" w:line="240" w:lineRule="auto"/>
        <w:ind w:left="0" w:right="0" w:firstLine="0"/>
        <w:jc w:val="left"/>
        <w:rPr>
          <w:sz w:val="24"/>
          <w:szCs w:val="24"/>
        </w:rPr>
      </w:pPr>
      <w:bookmarkStart w:id="1091" w:name="bookmark1091"/>
      <w:bookmarkStart w:id="1092" w:name="bookmark1092"/>
      <w:bookmarkStart w:id="1093" w:name="bookmark1093"/>
      <w:r>
        <w:rPr>
          <w:rFonts w:ascii="Times New Roman" w:eastAsia="Times New Roman" w:hAnsi="Times New Roman" w:cs="Times New Roman"/>
          <w:b w:val="0"/>
          <w:bCs w:val="0"/>
          <w:color w:val="000000"/>
          <w:spacing w:val="0"/>
          <w:w w:val="100"/>
          <w:position w:val="0"/>
          <w:sz w:val="24"/>
          <w:szCs w:val="24"/>
        </w:rPr>
        <w:t>33</w:t>
      </w:r>
      <w:r>
        <w:rPr>
          <w:b w:val="0"/>
          <w:bCs w:val="0"/>
          <w:color w:val="000000"/>
          <w:spacing w:val="0"/>
          <w:w w:val="100"/>
          <w:position w:val="0"/>
          <w:sz w:val="24"/>
          <w:szCs w:val="24"/>
        </w:rPr>
        <w:t>、股本</w:t>
      </w:r>
      <w:bookmarkEnd w:id="1091"/>
      <w:bookmarkEnd w:id="1092"/>
      <w:bookmarkEnd w:id="1093"/>
    </w:p>
    <w:tbl>
      <w:tblPr>
        <w:tblOverlap w:val="never"/>
        <w:jc w:val="center"/>
        <w:tblLayout w:type="fixed"/>
      </w:tblPr>
      <w:tblGrid>
        <w:gridCol w:w="1858"/>
        <w:gridCol w:w="1603"/>
        <w:gridCol w:w="710"/>
        <w:gridCol w:w="749"/>
        <w:gridCol w:w="840"/>
        <w:gridCol w:w="1075"/>
        <w:gridCol w:w="1301"/>
        <w:gridCol w:w="1632"/>
      </w:tblGrid>
      <w:tr>
        <w:trPr>
          <w:trHeight w:val="413"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2020.01.01</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本期增减</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2020.12.31</w:t>
            </w:r>
          </w:p>
        </w:tc>
      </w:tr>
      <w:tr>
        <w:trPr>
          <w:trHeight w:val="61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rPr>
                <w:sz w:val="20"/>
                <w:szCs w:val="20"/>
              </w:rPr>
            </w:pPr>
            <w:r>
              <w:rPr>
                <w:b/>
                <w:bCs/>
                <w:color w:val="000000"/>
                <w:spacing w:val="0"/>
                <w:w w:val="100"/>
                <w:position w:val="0"/>
                <w:sz w:val="20"/>
                <w:szCs w:val="20"/>
              </w:rPr>
              <w:t>发行 新股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送股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公积金 转股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20"/>
                <w:szCs w:val="20"/>
              </w:rPr>
            </w:pPr>
            <w:r>
              <w:rPr>
                <w:b/>
                <w:bCs/>
                <w:color w:val="000000"/>
                <w:spacing w:val="0"/>
                <w:w w:val="100"/>
                <w:position w:val="0"/>
                <w:sz w:val="20"/>
                <w:szCs w:val="20"/>
              </w:rPr>
              <w:t>小计</w:t>
            </w:r>
          </w:p>
        </w:tc>
        <w:tc>
          <w:tcPr>
            <w:vMerge/>
            <w:tcBorders>
              <w:left w:val="single" w:sz="4"/>
            </w:tcBorders>
            <w:shd w:val="clear" w:color="auto" w:fill="FFFFFF"/>
            <w:vAlign w:val="center"/>
          </w:tcPr>
          <w:p>
            <w:pPr/>
          </w:p>
        </w:tc>
      </w:tr>
      <w:tr>
        <w:trPr>
          <w:trHeight w:val="58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280"/>
              <w:jc w:val="left"/>
              <w:rPr>
                <w:sz w:val="20"/>
                <w:szCs w:val="20"/>
              </w:rPr>
            </w:pPr>
            <w:r>
              <w:rPr>
                <w:color w:val="000000"/>
                <w:spacing w:val="0"/>
                <w:w w:val="100"/>
                <w:position w:val="0"/>
                <w:sz w:val="20"/>
                <w:szCs w:val="20"/>
              </w:rPr>
              <w:t>有限售条件股</w:t>
            </w:r>
          </w:p>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1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12,558,300.00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12,560,625.00</w:t>
            </w:r>
          </w:p>
        </w:tc>
      </w:tr>
      <w:tr>
        <w:trPr>
          <w:trHeight w:val="53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有限售条件股份</w:t>
            </w:r>
          </w:p>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合讦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12,558,300.00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12,560,625.00</w:t>
            </w:r>
          </w:p>
        </w:tc>
      </w:tr>
      <w:tr>
        <w:trPr>
          <w:trHeight w:val="52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无限售条件股</w:t>
            </w:r>
          </w:p>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545,056,700.00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545,054,375.00</w:t>
            </w:r>
          </w:p>
        </w:tc>
      </w:tr>
      <w:tr>
        <w:trPr>
          <w:trHeight w:val="67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93" w:lineRule="exact"/>
              <w:ind w:left="280" w:right="0" w:firstLine="0"/>
              <w:jc w:val="left"/>
              <w:rPr>
                <w:sz w:val="20"/>
                <w:szCs w:val="20"/>
              </w:rPr>
            </w:pPr>
            <w:r>
              <w:rPr>
                <w:color w:val="000000"/>
                <w:spacing w:val="0"/>
                <w:w w:val="100"/>
                <w:position w:val="0"/>
                <w:sz w:val="20"/>
                <w:szCs w:val="20"/>
              </w:rPr>
              <w:t>无限售条件股份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545,056,700.00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545,054,375.00</w:t>
            </w:r>
          </w:p>
        </w:tc>
      </w:tr>
      <w:tr>
        <w:trPr>
          <w:trHeight w:val="42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557,615,000.00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557,615,000.00</w:t>
            </w:r>
          </w:p>
        </w:tc>
      </w:tr>
    </w:tbl>
    <w:p>
      <w:pPr>
        <w:sectPr>
          <w:headerReference w:type="default" r:id="rId131"/>
          <w:footerReference w:type="default" r:id="rId132"/>
          <w:headerReference w:type="even" r:id="rId133"/>
          <w:footerReference w:type="even" r:id="rId134"/>
          <w:footnotePr>
            <w:pos w:val="pageBottom"/>
            <w:numFmt w:val="decimal"/>
            <w:numRestart w:val="continuous"/>
          </w:footnotePr>
          <w:pgSz w:w="11900" w:h="16840"/>
          <w:pgMar w:top="1136" w:right="885" w:bottom="1275" w:left="801" w:header="0" w:footer="3" w:gutter="0"/>
          <w:cols w:space="720"/>
          <w:noEndnote/>
          <w:rtlGutter w:val="0"/>
          <w:docGrid w:linePitch="360"/>
        </w:sectPr>
      </w:pPr>
    </w:p>
    <w:p>
      <w:pPr>
        <w:pStyle w:val="Style52"/>
        <w:keepNext/>
        <w:keepLines/>
        <w:widowControl w:val="0"/>
        <w:shd w:val="clear" w:color="auto" w:fill="auto"/>
        <w:bidi w:val="0"/>
        <w:spacing w:before="0" w:after="400" w:line="240" w:lineRule="auto"/>
        <w:ind w:left="0" w:right="0" w:firstLine="0"/>
        <w:jc w:val="left"/>
        <w:rPr>
          <w:sz w:val="24"/>
          <w:szCs w:val="24"/>
        </w:rPr>
      </w:pPr>
      <w:r>
        <mc:AlternateContent>
          <mc:Choice Requires="wps">
            <w:drawing>
              <wp:anchor distT="0" distB="0" distL="0" distR="0" simplePos="0" relativeHeight="125829450" behindDoc="0" locked="0" layoutInCell="1" allowOverlap="1">
                <wp:simplePos x="0" y="0"/>
                <wp:positionH relativeFrom="page">
                  <wp:posOffset>3382645</wp:posOffset>
                </wp:positionH>
                <wp:positionV relativeFrom="paragraph">
                  <wp:posOffset>444500</wp:posOffset>
                </wp:positionV>
                <wp:extent cx="585470" cy="176530"/>
                <wp:wrapSquare wrapText="bothSides"/>
                <wp:docPr id="378" name="Shape 378"/>
                <a:graphic xmlns:a="http://schemas.openxmlformats.org/drawingml/2006/main">
                  <a:graphicData uri="http://schemas.microsoft.com/office/word/2010/wordprocessingShape">
                    <wps:wsp>
                      <wps:cNvSpPr txBox="1"/>
                      <wps:spPr>
                        <a:xfrm>
                          <a:ext cx="585470" cy="1765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本期增加</w:t>
                            </w:r>
                          </w:p>
                        </w:txbxContent>
                      </wps:txbx>
                      <wps:bodyPr wrap="none" lIns="0" tIns="0" rIns="0" bIns="0">
                        <a:noAutoFit/>
                      </wps:bodyPr>
                    </wps:wsp>
                  </a:graphicData>
                </a:graphic>
              </wp:anchor>
            </w:drawing>
          </mc:Choice>
          <mc:Fallback>
            <w:pict>
              <v:shape id="_x0000_s1404" type="#_x0000_t202" style="position:absolute;margin-left:266.35000000000002pt;margin-top:35.pt;width:46.100000000000001pt;height:13.9pt;z-index:-125829303;mso-wrap-distance-left:0;mso-wrap-distance-right:0;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本期增加</w:t>
                      </w:r>
                    </w:p>
                  </w:txbxContent>
                </v:textbox>
                <w10:wrap type="square" anchorx="page"/>
              </v:shape>
            </w:pict>
          </mc:Fallback>
        </mc:AlternateContent>
      </w:r>
      <w:r>
        <mc:AlternateContent>
          <mc:Choice Requires="wps">
            <w:drawing>
              <wp:anchor distT="0" distB="0" distL="0" distR="0" simplePos="0" relativeHeight="125829452" behindDoc="0" locked="0" layoutInCell="1" allowOverlap="1">
                <wp:simplePos x="0" y="0"/>
                <wp:positionH relativeFrom="page">
                  <wp:posOffset>4540885</wp:posOffset>
                </wp:positionH>
                <wp:positionV relativeFrom="paragraph">
                  <wp:posOffset>444500</wp:posOffset>
                </wp:positionV>
                <wp:extent cx="588010" cy="179705"/>
                <wp:wrapSquare wrapText="bothSides"/>
                <wp:docPr id="380" name="Shape 380"/>
                <a:graphic xmlns:a="http://schemas.openxmlformats.org/drawingml/2006/main">
                  <a:graphicData uri="http://schemas.microsoft.com/office/word/2010/wordprocessingShape">
                    <wps:wsp>
                      <wps:cNvSpPr txBox="1"/>
                      <wps:spPr>
                        <a:xfrm>
                          <a:ext cx="588010" cy="17970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本期减少</w:t>
                            </w:r>
                          </w:p>
                        </w:txbxContent>
                      </wps:txbx>
                      <wps:bodyPr wrap="none" lIns="0" tIns="0" rIns="0" bIns="0">
                        <a:noAutoFit/>
                      </wps:bodyPr>
                    </wps:wsp>
                  </a:graphicData>
                </a:graphic>
              </wp:anchor>
            </w:drawing>
          </mc:Choice>
          <mc:Fallback>
            <w:pict>
              <v:shape id="_x0000_s1406" type="#_x0000_t202" style="position:absolute;margin-left:357.55000000000001pt;margin-top:35.pt;width:46.300000000000004pt;height:14.15pt;z-index:-125829301;mso-wrap-distance-left:0;mso-wrap-distance-right:0;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本期减少</w:t>
                      </w:r>
                    </w:p>
                  </w:txbxContent>
                </v:textbox>
                <w10:wrap type="square" anchorx="page"/>
              </v:shape>
            </w:pict>
          </mc:Fallback>
        </mc:AlternateContent>
      </w:r>
      <w:bookmarkStart w:id="1094" w:name="bookmark1094"/>
      <w:bookmarkStart w:id="1095" w:name="bookmark1095"/>
      <w:bookmarkStart w:id="1096" w:name="bookmark1096"/>
      <w:bookmarkStart w:id="1097" w:name="bookmark1097"/>
      <w:r>
        <w:rPr>
          <w:rFonts w:ascii="Times New Roman" w:eastAsia="Times New Roman" w:hAnsi="Times New Roman" w:cs="Times New Roman"/>
          <w:b w:val="0"/>
          <w:bCs w:val="0"/>
          <w:color w:val="000000"/>
          <w:spacing w:val="0"/>
          <w:w w:val="100"/>
          <w:position w:val="0"/>
          <w:sz w:val="24"/>
          <w:szCs w:val="24"/>
        </w:rPr>
        <w:t>3</w:t>
      </w:r>
      <w:bookmarkEnd w:id="1096"/>
      <w:r>
        <w:rPr>
          <w:rFonts w:ascii="Times New Roman" w:eastAsia="Times New Roman" w:hAnsi="Times New Roman" w:cs="Times New Roman"/>
          <w:b w:val="0"/>
          <w:bCs w:val="0"/>
          <w:color w:val="000000"/>
          <w:spacing w:val="0"/>
          <w:w w:val="100"/>
          <w:position w:val="0"/>
          <w:sz w:val="24"/>
          <w:szCs w:val="24"/>
        </w:rPr>
        <w:t>4</w:t>
      </w:r>
      <w:r>
        <w:rPr>
          <w:b w:val="0"/>
          <w:bCs w:val="0"/>
          <w:color w:val="000000"/>
          <w:spacing w:val="0"/>
          <w:w w:val="100"/>
          <w:position w:val="0"/>
          <w:sz w:val="24"/>
          <w:szCs w:val="24"/>
        </w:rPr>
        <w:t>、资本公积</w:t>
      </w:r>
      <w:bookmarkEnd w:id="1094"/>
      <w:bookmarkEnd w:id="1095"/>
      <w:bookmarkEnd w:id="1097"/>
    </w:p>
    <w:tbl>
      <w:tblPr>
        <w:tblOverlap w:val="never"/>
        <w:jc w:val="left"/>
        <w:tblLayout w:type="fixed"/>
      </w:tblPr>
      <w:tblGrid>
        <w:gridCol w:w="1877"/>
        <w:gridCol w:w="1829"/>
        <w:gridCol w:w="1824"/>
        <w:gridCol w:w="1829"/>
        <w:gridCol w:w="1858"/>
      </w:tblGrid>
      <w:tr>
        <w:trPr>
          <w:trHeight w:val="470" w:hRule="exact"/>
        </w:trPr>
        <w:tc>
          <w:tcPr>
            <w:tcBorders>
              <w:top w:val="single" w:sz="4"/>
            </w:tcBorders>
            <w:shd w:val="clear" w:color="auto" w:fill="FFFFFF"/>
            <w:vAlign w:val="center"/>
          </w:tcPr>
          <w:p>
            <w:pPr>
              <w:pStyle w:val="Style2"/>
              <w:keepNext w:val="0"/>
              <w:keepLines w:val="0"/>
              <w:framePr w:w="9216" w:h="1416" w:vSpace="379" w:wrap="notBeside" w:vAnchor="text" w:hAnchor="text" w:x="500" w:y="38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股本溢价</w:t>
            </w:r>
          </w:p>
        </w:tc>
        <w:tc>
          <w:tcPr>
            <w:tcBorders>
              <w:top w:val="single" w:sz="4"/>
              <w:left w:val="single" w:sz="4"/>
            </w:tcBorders>
            <w:shd w:val="clear" w:color="auto" w:fill="FFFFFF"/>
            <w:vAlign w:val="center"/>
          </w:tcPr>
          <w:p>
            <w:pPr>
              <w:pStyle w:val="Style2"/>
              <w:keepNext w:val="0"/>
              <w:keepLines w:val="0"/>
              <w:framePr w:w="9216" w:h="1416" w:vSpace="379" w:wrap="notBeside" w:vAnchor="text" w:hAnchor="text" w:x="500" w:y="38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2,069,693,298.27</w:t>
            </w:r>
          </w:p>
        </w:tc>
        <w:tc>
          <w:tcPr>
            <w:tcBorders>
              <w:top w:val="single" w:sz="4"/>
              <w:left w:val="single" w:sz="4"/>
            </w:tcBorders>
            <w:shd w:val="clear" w:color="auto" w:fill="FFFFFF"/>
            <w:vAlign w:val="top"/>
          </w:tcPr>
          <w:p>
            <w:pPr>
              <w:framePr w:w="9216" w:h="1416" w:vSpace="379" w:wrap="notBeside" w:vAnchor="text" w:hAnchor="text" w:x="500" w:y="380"/>
              <w:widowControl w:val="0"/>
              <w:rPr>
                <w:sz w:val="10"/>
                <w:szCs w:val="10"/>
              </w:rPr>
            </w:pPr>
          </w:p>
        </w:tc>
        <w:tc>
          <w:tcPr>
            <w:tcBorders>
              <w:top w:val="single" w:sz="4"/>
              <w:left w:val="single" w:sz="4"/>
            </w:tcBorders>
            <w:shd w:val="clear" w:color="auto" w:fill="FFFFFF"/>
            <w:vAlign w:val="top"/>
          </w:tcPr>
          <w:p>
            <w:pPr>
              <w:framePr w:w="9216" w:h="1416" w:vSpace="379" w:wrap="notBeside" w:vAnchor="text" w:hAnchor="text" w:x="500" w:y="380"/>
              <w:widowControl w:val="0"/>
              <w:rPr>
                <w:sz w:val="10"/>
                <w:szCs w:val="10"/>
              </w:rPr>
            </w:pPr>
          </w:p>
        </w:tc>
        <w:tc>
          <w:tcPr>
            <w:tcBorders>
              <w:top w:val="single" w:sz="4"/>
              <w:left w:val="single" w:sz="4"/>
            </w:tcBorders>
            <w:shd w:val="clear" w:color="auto" w:fill="FFFFFF"/>
            <w:vAlign w:val="center"/>
          </w:tcPr>
          <w:p>
            <w:pPr>
              <w:pStyle w:val="Style2"/>
              <w:keepNext w:val="0"/>
              <w:keepLines w:val="0"/>
              <w:framePr w:w="9216" w:h="1416" w:vSpace="379" w:wrap="notBeside" w:vAnchor="text" w:hAnchor="text" w:x="500" w:y="38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2,069,693,298.27</w:t>
            </w:r>
          </w:p>
        </w:tc>
      </w:tr>
      <w:tr>
        <w:trPr>
          <w:trHeight w:val="466" w:hRule="exact"/>
        </w:trPr>
        <w:tc>
          <w:tcPr>
            <w:tcBorders>
              <w:top w:val="single" w:sz="4"/>
            </w:tcBorders>
            <w:shd w:val="clear" w:color="auto" w:fill="FFFFFF"/>
            <w:vAlign w:val="center"/>
          </w:tcPr>
          <w:p>
            <w:pPr>
              <w:pStyle w:val="Style2"/>
              <w:keepNext w:val="0"/>
              <w:keepLines w:val="0"/>
              <w:framePr w:w="9216" w:h="1416" w:vSpace="379" w:wrap="notBeside" w:vAnchor="text" w:hAnchor="text" w:x="500" w:y="38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其他资本公积</w:t>
            </w:r>
          </w:p>
        </w:tc>
        <w:tc>
          <w:tcPr>
            <w:tcBorders>
              <w:top w:val="single" w:sz="4"/>
              <w:left w:val="single" w:sz="4"/>
            </w:tcBorders>
            <w:shd w:val="clear" w:color="auto" w:fill="FFFFFF"/>
            <w:vAlign w:val="center"/>
          </w:tcPr>
          <w:p>
            <w:pPr>
              <w:pStyle w:val="Style2"/>
              <w:keepNext w:val="0"/>
              <w:keepLines w:val="0"/>
              <w:framePr w:w="9216" w:h="1416" w:vSpace="379" w:wrap="notBeside" w:vAnchor="text" w:hAnchor="text" w:x="500" w:y="38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1,822,382.59</w:t>
            </w:r>
          </w:p>
        </w:tc>
        <w:tc>
          <w:tcPr>
            <w:tcBorders>
              <w:top w:val="single" w:sz="4"/>
              <w:left w:val="single" w:sz="4"/>
            </w:tcBorders>
            <w:shd w:val="clear" w:color="auto" w:fill="FFFFFF"/>
            <w:vAlign w:val="top"/>
          </w:tcPr>
          <w:p>
            <w:pPr>
              <w:framePr w:w="9216" w:h="1416" w:vSpace="379" w:wrap="notBeside" w:vAnchor="text" w:hAnchor="text" w:x="500" w:y="380"/>
              <w:widowControl w:val="0"/>
              <w:rPr>
                <w:sz w:val="10"/>
                <w:szCs w:val="10"/>
              </w:rPr>
            </w:pPr>
          </w:p>
        </w:tc>
        <w:tc>
          <w:tcPr>
            <w:tcBorders>
              <w:top w:val="single" w:sz="4"/>
              <w:left w:val="single" w:sz="4"/>
            </w:tcBorders>
            <w:shd w:val="clear" w:color="auto" w:fill="FFFFFF"/>
            <w:vAlign w:val="top"/>
          </w:tcPr>
          <w:p>
            <w:pPr>
              <w:framePr w:w="9216" w:h="1416" w:vSpace="379" w:wrap="notBeside" w:vAnchor="text" w:hAnchor="text" w:x="500" w:y="380"/>
              <w:widowControl w:val="0"/>
              <w:rPr>
                <w:sz w:val="10"/>
                <w:szCs w:val="10"/>
              </w:rPr>
            </w:pPr>
          </w:p>
        </w:tc>
        <w:tc>
          <w:tcPr>
            <w:tcBorders>
              <w:top w:val="single" w:sz="4"/>
              <w:left w:val="single" w:sz="4"/>
            </w:tcBorders>
            <w:shd w:val="clear" w:color="auto" w:fill="FFFFFF"/>
            <w:vAlign w:val="center"/>
          </w:tcPr>
          <w:p>
            <w:pPr>
              <w:pStyle w:val="Style2"/>
              <w:keepNext w:val="0"/>
              <w:keepLines w:val="0"/>
              <w:framePr w:w="9216" w:h="1416" w:vSpace="379" w:wrap="notBeside" w:vAnchor="text" w:hAnchor="text" w:x="500" w:y="38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1,822,382.59</w:t>
            </w:r>
          </w:p>
        </w:tc>
      </w:tr>
      <w:tr>
        <w:trPr>
          <w:trHeight w:val="480" w:hRule="exact"/>
        </w:trPr>
        <w:tc>
          <w:tcPr>
            <w:tcBorders>
              <w:top w:val="single" w:sz="4"/>
              <w:bottom w:val="single" w:sz="4"/>
            </w:tcBorders>
            <w:shd w:val="clear" w:color="auto" w:fill="FFFFFF"/>
            <w:vAlign w:val="center"/>
          </w:tcPr>
          <w:p>
            <w:pPr>
              <w:pStyle w:val="Style2"/>
              <w:keepNext w:val="0"/>
              <w:keepLines w:val="0"/>
              <w:framePr w:w="9216" w:h="1416" w:vSpace="379" w:wrap="notBeside" w:vAnchor="text" w:hAnchor="text" w:x="500" w:y="38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framePr w:w="9216" w:h="1416" w:vSpace="379" w:wrap="notBeside" w:vAnchor="text" w:hAnchor="text" w:x="500" w:y="38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2,071,515,680.86</w:t>
            </w:r>
          </w:p>
        </w:tc>
        <w:tc>
          <w:tcPr>
            <w:tcBorders>
              <w:top w:val="single" w:sz="4"/>
              <w:left w:val="single" w:sz="4"/>
              <w:bottom w:val="single" w:sz="4"/>
            </w:tcBorders>
            <w:shd w:val="clear" w:color="auto" w:fill="FFFFFF"/>
            <w:vAlign w:val="top"/>
          </w:tcPr>
          <w:p>
            <w:pPr>
              <w:framePr w:w="9216" w:h="1416" w:vSpace="379" w:wrap="notBeside" w:vAnchor="text" w:hAnchor="text" w:x="500" w:y="380"/>
              <w:widowControl w:val="0"/>
              <w:rPr>
                <w:sz w:val="10"/>
                <w:szCs w:val="10"/>
              </w:rPr>
            </w:pPr>
          </w:p>
        </w:tc>
        <w:tc>
          <w:tcPr>
            <w:tcBorders>
              <w:top w:val="single" w:sz="4"/>
              <w:left w:val="single" w:sz="4"/>
              <w:bottom w:val="single" w:sz="4"/>
            </w:tcBorders>
            <w:shd w:val="clear" w:color="auto" w:fill="FFFFFF"/>
            <w:vAlign w:val="top"/>
          </w:tcPr>
          <w:p>
            <w:pPr>
              <w:framePr w:w="9216" w:h="1416" w:vSpace="379" w:wrap="notBeside" w:vAnchor="text" w:hAnchor="text" w:x="500" w:y="380"/>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9216" w:h="1416" w:vSpace="379" w:wrap="notBeside" w:vAnchor="text" w:hAnchor="text" w:x="500" w:y="38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2,071,515,680.86</w:t>
            </w:r>
          </w:p>
        </w:tc>
      </w:tr>
    </w:tbl>
    <w:p>
      <w:pPr>
        <w:pStyle w:val="Style38"/>
        <w:keepNext w:val="0"/>
        <w:keepLines w:val="0"/>
        <w:framePr w:w="1037" w:h="274" w:hSpace="499" w:wrap="notBeside" w:vAnchor="text" w:hAnchor="text" w:x="2770" w:y="1"/>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2020.01.01</w:t>
      </w:r>
    </w:p>
    <w:p>
      <w:pPr>
        <w:pStyle w:val="Style38"/>
        <w:keepNext w:val="0"/>
        <w:keepLines w:val="0"/>
        <w:framePr w:w="1037" w:h="274" w:hSpace="499" w:wrap="notBeside" w:vAnchor="text" w:hAnchor="text" w:x="8252" w:y="1"/>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2020.12.31</w:t>
      </w:r>
    </w:p>
    <w:p>
      <w:pPr>
        <w:widowControl w:val="0"/>
        <w:spacing w:line="1" w:lineRule="exact"/>
      </w:pPr>
    </w:p>
    <w:p>
      <w:pPr>
        <w:pStyle w:val="Style52"/>
        <w:keepNext/>
        <w:keepLines/>
        <w:widowControl w:val="0"/>
        <w:shd w:val="clear" w:color="auto" w:fill="auto"/>
        <w:bidi w:val="0"/>
        <w:spacing w:before="0" w:line="240" w:lineRule="auto"/>
        <w:ind w:left="0" w:right="0" w:firstLine="0"/>
        <w:jc w:val="left"/>
        <w:rPr>
          <w:sz w:val="24"/>
          <w:szCs w:val="24"/>
        </w:rPr>
      </w:pPr>
      <w:bookmarkStart w:id="1098" w:name="bookmark1098"/>
      <w:bookmarkStart w:id="1099" w:name="bookmark1099"/>
      <w:bookmarkStart w:id="1100" w:name="bookmark1100"/>
      <w:bookmarkStart w:id="1101" w:name="bookmark1101"/>
      <w:r>
        <w:rPr>
          <w:rFonts w:ascii="Times New Roman" w:eastAsia="Times New Roman" w:hAnsi="Times New Roman" w:cs="Times New Roman"/>
          <w:b w:val="0"/>
          <w:bCs w:val="0"/>
          <w:color w:val="000000"/>
          <w:spacing w:val="0"/>
          <w:w w:val="100"/>
          <w:position w:val="0"/>
          <w:sz w:val="24"/>
          <w:szCs w:val="24"/>
        </w:rPr>
        <w:t>3</w:t>
      </w:r>
      <w:bookmarkEnd w:id="1100"/>
      <w:r>
        <w:rPr>
          <w:rFonts w:ascii="Times New Roman" w:eastAsia="Times New Roman" w:hAnsi="Times New Roman" w:cs="Times New Roman"/>
          <w:b w:val="0"/>
          <w:bCs w:val="0"/>
          <w:color w:val="000000"/>
          <w:spacing w:val="0"/>
          <w:w w:val="100"/>
          <w:position w:val="0"/>
          <w:sz w:val="24"/>
          <w:szCs w:val="24"/>
        </w:rPr>
        <w:t>5</w:t>
      </w:r>
      <w:r>
        <w:rPr>
          <w:b w:val="0"/>
          <w:bCs w:val="0"/>
          <w:color w:val="000000"/>
          <w:spacing w:val="0"/>
          <w:w w:val="100"/>
          <w:position w:val="0"/>
          <w:sz w:val="24"/>
          <w:szCs w:val="24"/>
        </w:rPr>
        <w:t>、其他综合收益</w:t>
      </w:r>
      <w:bookmarkEnd w:id="1098"/>
      <w:bookmarkEnd w:id="1099"/>
      <w:bookmarkEnd w:id="1101"/>
    </w:p>
    <w:tbl>
      <w:tblPr>
        <w:tblOverlap w:val="never"/>
        <w:jc w:val="center"/>
        <w:tblLayout w:type="fixed"/>
      </w:tblPr>
      <w:tblGrid>
        <w:gridCol w:w="1469"/>
        <w:gridCol w:w="1469"/>
        <w:gridCol w:w="1363"/>
        <w:gridCol w:w="1133"/>
        <w:gridCol w:w="677"/>
        <w:gridCol w:w="1363"/>
        <w:gridCol w:w="710"/>
        <w:gridCol w:w="1502"/>
      </w:tblGrid>
      <w:tr>
        <w:trPr>
          <w:trHeight w:val="46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b/>
                <w:bCs/>
                <w:color w:val="000000"/>
                <w:spacing w:val="0"/>
                <w:w w:val="100"/>
                <w:position w:val="0"/>
                <w:sz w:val="19"/>
                <w:szCs w:val="19"/>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期初余额</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本期发生金额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b/>
                <w:bCs/>
                <w:color w:val="000000"/>
                <w:spacing w:val="0"/>
                <w:w w:val="100"/>
                <w:position w:val="0"/>
                <w:sz w:val="19"/>
                <w:szCs w:val="19"/>
              </w:rPr>
              <w:t>期末余额</w:t>
            </w:r>
          </w:p>
        </w:tc>
      </w:tr>
      <w:tr>
        <w:trPr>
          <w:trHeight w:val="1699"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9"/>
                <w:szCs w:val="19"/>
              </w:rPr>
            </w:pPr>
            <w:r>
              <w:rPr>
                <w:b/>
                <w:bCs/>
                <w:color w:val="000000"/>
                <w:spacing w:val="0"/>
                <w:w w:val="100"/>
                <w:position w:val="0"/>
                <w:sz w:val="19"/>
                <w:szCs w:val="19"/>
              </w:rPr>
              <w:t>本年所得税 前发生额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9"/>
                <w:szCs w:val="19"/>
              </w:rPr>
            </w:pPr>
            <w:r>
              <w:rPr>
                <w:b/>
                <w:bCs/>
                <w:color w:val="000000"/>
                <w:spacing w:val="0"/>
                <w:w w:val="100"/>
                <w:position w:val="0"/>
                <w:sz w:val="19"/>
                <w:szCs w:val="19"/>
              </w:rPr>
              <w:t>减:前期计 入其他综 合收益当 期转入损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减：</w:t>
            </w:r>
          </w:p>
          <w:p>
            <w:pPr>
              <w:pStyle w:val="Style2"/>
              <w:keepNext w:val="0"/>
              <w:keepLines w:val="0"/>
              <w:widowControl w:val="0"/>
              <w:shd w:val="clear" w:color="auto" w:fill="auto"/>
              <w:bidi w:val="0"/>
              <w:spacing w:before="0" w:after="80" w:line="331" w:lineRule="exact"/>
              <w:ind w:left="0" w:right="0" w:firstLine="0"/>
              <w:jc w:val="left"/>
              <w:rPr>
                <w:sz w:val="19"/>
                <w:szCs w:val="19"/>
              </w:rPr>
            </w:pPr>
            <w:r>
              <w:rPr>
                <w:b/>
                <w:bCs/>
                <w:color w:val="000000"/>
                <w:spacing w:val="0"/>
                <w:w w:val="100"/>
                <w:position w:val="0"/>
                <w:sz w:val="19"/>
                <w:szCs w:val="19"/>
              </w:rPr>
              <w:t>所得 税费</w:t>
            </w:r>
          </w:p>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9"/>
                <w:szCs w:val="19"/>
              </w:rPr>
            </w:pPr>
            <w:r>
              <w:rPr>
                <w:b/>
                <w:bCs/>
                <w:color w:val="000000"/>
                <w:spacing w:val="0"/>
                <w:w w:val="100"/>
                <w:position w:val="0"/>
                <w:sz w:val="19"/>
                <w:szCs w:val="19"/>
              </w:rPr>
              <w:t>税后归属于 母公司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9"/>
                <w:szCs w:val="19"/>
              </w:rPr>
            </w:pPr>
            <w:r>
              <w:rPr>
                <w:b/>
                <w:bCs/>
                <w:color w:val="000000"/>
                <w:spacing w:val="0"/>
                <w:w w:val="100"/>
                <w:position w:val="0"/>
                <w:sz w:val="19"/>
                <w:szCs w:val="19"/>
              </w:rPr>
              <w:t>税后 归属 于少 数股 东</w:t>
            </w:r>
          </w:p>
        </w:tc>
        <w:tc>
          <w:tcPr>
            <w:vMerge/>
            <w:tcBorders>
              <w:left w:val="single" w:sz="4"/>
            </w:tcBorders>
            <w:shd w:val="clear" w:color="auto" w:fill="FFFFFF"/>
            <w:vAlign w:val="center"/>
          </w:tcPr>
          <w:p>
            <w:pPr/>
          </w:p>
        </w:tc>
      </w:tr>
      <w:tr>
        <w:trPr>
          <w:trHeight w:val="138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260" w:right="0" w:firstLine="0"/>
              <w:jc w:val="left"/>
              <w:rPr>
                <w:sz w:val="19"/>
                <w:szCs w:val="19"/>
              </w:rPr>
            </w:pPr>
            <w:r>
              <w:rPr>
                <w:color w:val="000000"/>
                <w:spacing w:val="0"/>
                <w:w w:val="100"/>
                <w:position w:val="0"/>
                <w:sz w:val="19"/>
                <w:szCs w:val="19"/>
              </w:rPr>
              <w:t>一、不能重 分类进损益 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-13,192,938.44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10,122,226.59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10,122,226.59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-3,070,711.85</w:t>
            </w:r>
          </w:p>
        </w:tc>
      </w:tr>
      <w:tr>
        <w:trPr>
          <w:trHeight w:val="138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260" w:right="0" w:firstLine="0"/>
              <w:jc w:val="left"/>
              <w:rPr>
                <w:sz w:val="19"/>
                <w:szCs w:val="19"/>
              </w:rPr>
            </w:pPr>
            <w:r>
              <w:rPr>
                <w:color w:val="000000"/>
                <w:spacing w:val="0"/>
                <w:w w:val="100"/>
                <w:position w:val="0"/>
                <w:sz w:val="19"/>
                <w:szCs w:val="19"/>
              </w:rPr>
              <w:t>其中：其他 权益工具投 资公允价值 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-13,192,938.44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10,122,226.59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10,122,226.59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-3,070,711.85</w:t>
            </w:r>
          </w:p>
        </w:tc>
      </w:tr>
      <w:tr>
        <w:trPr>
          <w:trHeight w:val="139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80" w:line="300" w:lineRule="exact"/>
              <w:ind w:left="260" w:right="0" w:firstLine="0"/>
              <w:jc w:val="left"/>
              <w:rPr>
                <w:sz w:val="19"/>
                <w:szCs w:val="19"/>
              </w:rPr>
            </w:pPr>
            <w:r>
              <w:rPr>
                <w:color w:val="000000"/>
                <w:spacing w:val="0"/>
                <w:w w:val="100"/>
                <w:position w:val="0"/>
                <w:sz w:val="19"/>
                <w:szCs w:val="19"/>
              </w:rPr>
              <w:t>二、将重分 类进损益的 其他综合收</w:t>
            </w:r>
          </w:p>
          <w:p>
            <w:pPr>
              <w:pStyle w:val="Style2"/>
              <w:keepNext w:val="0"/>
              <w:keepLines w:val="0"/>
              <w:widowControl w:val="0"/>
              <w:shd w:val="clear" w:color="auto" w:fill="auto"/>
              <w:bidi w:val="0"/>
              <w:spacing w:before="0" w:after="0" w:line="240" w:lineRule="auto"/>
              <w:ind w:left="0" w:right="0" w:firstLine="260"/>
              <w:jc w:val="left"/>
              <w:rPr>
                <w:sz w:val="8"/>
                <w:szCs w:val="8"/>
              </w:rPr>
            </w:pPr>
            <w:r>
              <w:rPr>
                <w:rFonts w:ascii="Times New Roman" w:eastAsia="Times New Roman" w:hAnsi="Times New Roman" w:cs="Times New Roman"/>
                <w:color w:val="000000"/>
                <w:spacing w:val="0"/>
                <w:w w:val="100"/>
                <w:position w:val="0"/>
                <w:sz w:val="8"/>
                <w:szCs w:val="8"/>
              </w:rPr>
              <w:t>_S_Z.</w:t>
            </w:r>
          </w:p>
          <w:p>
            <w:pPr>
              <w:pStyle w:val="Style2"/>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138,919,665.86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-1,574,753.73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-1,574,753.73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137,344,912.13</w:t>
            </w:r>
          </w:p>
        </w:tc>
      </w:tr>
      <w:tr>
        <w:trPr>
          <w:trHeight w:val="138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0" w:lineRule="exact"/>
              <w:ind w:left="260" w:right="0" w:firstLine="0"/>
              <w:jc w:val="left"/>
              <w:rPr>
                <w:sz w:val="19"/>
                <w:szCs w:val="19"/>
              </w:rPr>
            </w:pPr>
            <w:r>
              <w:rPr>
                <w:color w:val="000000"/>
                <w:spacing w:val="0"/>
                <w:w w:val="100"/>
                <w:position w:val="0"/>
                <w:sz w:val="19"/>
                <w:szCs w:val="19"/>
              </w:rPr>
              <w:t>其中：权益 法下可转损 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1,193,069.46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635,315.95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635,315.95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1,828,385.41</w:t>
            </w:r>
          </w:p>
        </w:tc>
      </w:tr>
      <w:tr>
        <w:trPr>
          <w:trHeight w:val="76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260" w:right="0" w:firstLine="0"/>
              <w:jc w:val="left"/>
              <w:rPr>
                <w:sz w:val="19"/>
                <w:szCs w:val="19"/>
              </w:rPr>
            </w:pPr>
            <w:r>
              <w:rPr>
                <w:color w:val="000000"/>
                <w:spacing w:val="0"/>
                <w:w w:val="100"/>
                <w:position w:val="0"/>
                <w:sz w:val="19"/>
                <w:szCs w:val="19"/>
              </w:rPr>
              <w:t>外币财务报 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3,183,117.96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-2,210,069.68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-2,210,069.68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973,048.28</w:t>
            </w:r>
          </w:p>
        </w:tc>
      </w:tr>
      <w:tr>
        <w:trPr>
          <w:trHeight w:val="170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260" w:right="0" w:firstLine="0"/>
              <w:jc w:val="left"/>
              <w:rPr>
                <w:sz w:val="19"/>
                <w:szCs w:val="19"/>
              </w:rPr>
            </w:pPr>
            <w:r>
              <w:rPr>
                <w:color w:val="000000"/>
                <w:spacing w:val="0"/>
                <w:w w:val="100"/>
                <w:position w:val="0"/>
                <w:sz w:val="19"/>
                <w:szCs w:val="19"/>
              </w:rPr>
              <w:t>其他资产转 换为公允价 值模式计量 的投资性房 地产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134,543,478.44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134,543,478.44</w:t>
            </w:r>
          </w:p>
        </w:tc>
      </w:tr>
    </w:tbl>
    <w:p>
      <w:pPr>
        <w:widowControl w:val="0"/>
        <w:spacing w:line="1" w:lineRule="exact"/>
      </w:pPr>
      <w:r>
        <w:br w:type="page"/>
      </w:r>
    </w:p>
    <w:tbl>
      <w:tblPr>
        <w:tblOverlap w:val="never"/>
        <w:jc w:val="center"/>
        <w:tblLayout w:type="fixed"/>
      </w:tblPr>
      <w:tblGrid>
        <w:gridCol w:w="1469"/>
        <w:gridCol w:w="1469"/>
        <w:gridCol w:w="1363"/>
        <w:gridCol w:w="1133"/>
        <w:gridCol w:w="677"/>
        <w:gridCol w:w="1363"/>
        <w:gridCol w:w="710"/>
        <w:gridCol w:w="1502"/>
      </w:tblGrid>
      <w:tr>
        <w:trPr>
          <w:trHeight w:val="47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b/>
                <w:bCs/>
                <w:color w:val="000000"/>
                <w:spacing w:val="0"/>
                <w:w w:val="100"/>
                <w:position w:val="0"/>
                <w:sz w:val="19"/>
                <w:szCs w:val="19"/>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期初余额</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本期发生金额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b/>
                <w:bCs/>
                <w:color w:val="000000"/>
                <w:spacing w:val="0"/>
                <w:w w:val="100"/>
                <w:position w:val="0"/>
                <w:sz w:val="19"/>
                <w:szCs w:val="19"/>
              </w:rPr>
              <w:t>期末余额</w:t>
            </w:r>
          </w:p>
        </w:tc>
      </w:tr>
      <w:tr>
        <w:trPr>
          <w:trHeight w:val="1699"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9"/>
                <w:szCs w:val="19"/>
              </w:rPr>
            </w:pPr>
            <w:r>
              <w:rPr>
                <w:b/>
                <w:bCs/>
                <w:color w:val="000000"/>
                <w:spacing w:val="0"/>
                <w:w w:val="100"/>
                <w:position w:val="0"/>
                <w:sz w:val="19"/>
                <w:szCs w:val="19"/>
              </w:rPr>
              <w:t>本年所得税 前发生额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9"/>
                <w:szCs w:val="19"/>
              </w:rPr>
            </w:pPr>
            <w:r>
              <w:rPr>
                <w:b/>
                <w:bCs/>
                <w:color w:val="000000"/>
                <w:spacing w:val="0"/>
                <w:w w:val="100"/>
                <w:position w:val="0"/>
                <w:sz w:val="19"/>
                <w:szCs w:val="19"/>
              </w:rPr>
              <w:t>减:前期计 入其他综 合收益当 期转入损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减：</w:t>
            </w:r>
          </w:p>
          <w:p>
            <w:pPr>
              <w:pStyle w:val="Style2"/>
              <w:keepNext w:val="0"/>
              <w:keepLines w:val="0"/>
              <w:widowControl w:val="0"/>
              <w:shd w:val="clear" w:color="auto" w:fill="auto"/>
              <w:bidi w:val="0"/>
              <w:spacing w:before="0" w:after="0" w:line="324" w:lineRule="exact"/>
              <w:ind w:left="0" w:right="0" w:firstLine="0"/>
              <w:jc w:val="center"/>
              <w:rPr>
                <w:sz w:val="19"/>
                <w:szCs w:val="19"/>
              </w:rPr>
            </w:pPr>
            <w:r>
              <w:rPr>
                <w:b/>
                <w:bCs/>
                <w:color w:val="000000"/>
                <w:spacing w:val="0"/>
                <w:w w:val="100"/>
                <w:position w:val="0"/>
                <w:sz w:val="19"/>
                <w:szCs w:val="19"/>
              </w:rPr>
              <w:t>所得 税费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9"/>
                <w:szCs w:val="19"/>
              </w:rPr>
            </w:pPr>
            <w:r>
              <w:rPr>
                <w:b/>
                <w:bCs/>
                <w:color w:val="000000"/>
                <w:spacing w:val="0"/>
                <w:w w:val="100"/>
                <w:position w:val="0"/>
                <w:sz w:val="19"/>
                <w:szCs w:val="19"/>
              </w:rPr>
              <w:t>税后归属于 母公司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9"/>
                <w:szCs w:val="19"/>
              </w:rPr>
            </w:pPr>
            <w:r>
              <w:rPr>
                <w:b/>
                <w:bCs/>
                <w:color w:val="000000"/>
                <w:spacing w:val="0"/>
                <w:w w:val="100"/>
                <w:position w:val="0"/>
                <w:sz w:val="19"/>
                <w:szCs w:val="19"/>
              </w:rPr>
              <w:t>税后 归属 于少 数股 东</w:t>
            </w:r>
          </w:p>
        </w:tc>
        <w:tc>
          <w:tcPr>
            <w:vMerge/>
            <w:tcBorders>
              <w:left w:val="single" w:sz="4"/>
            </w:tcBorders>
            <w:shd w:val="clear" w:color="auto" w:fill="FFFFFF"/>
            <w:vAlign w:val="center"/>
          </w:tcPr>
          <w:p>
            <w:pPr/>
          </w:p>
        </w:tc>
      </w:tr>
      <w:tr>
        <w:trPr>
          <w:trHeight w:val="78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9"/>
                <w:szCs w:val="19"/>
              </w:rPr>
            </w:pPr>
            <w:r>
              <w:rPr>
                <w:b/>
                <w:bCs/>
                <w:color w:val="000000"/>
                <w:spacing w:val="0"/>
                <w:w w:val="100"/>
                <w:position w:val="0"/>
                <w:sz w:val="19"/>
                <w:szCs w:val="19"/>
              </w:rPr>
              <w:t>其他综合收 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125,726,727.42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b/>
                <w:bCs/>
                <w:color w:val="000000"/>
                <w:spacing w:val="0"/>
                <w:w w:val="100"/>
                <w:position w:val="0"/>
                <w:sz w:val="20"/>
                <w:szCs w:val="20"/>
              </w:rPr>
              <w:t>8,547,472.86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b/>
                <w:bCs/>
                <w:color w:val="000000"/>
                <w:spacing w:val="0"/>
                <w:w w:val="100"/>
                <w:position w:val="0"/>
                <w:sz w:val="20"/>
                <w:szCs w:val="20"/>
              </w:rPr>
              <w:t>8,547,472.86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134,274,200.28</w:t>
            </w:r>
          </w:p>
        </w:tc>
      </w:tr>
    </w:tbl>
    <w:p>
      <w:pPr>
        <w:widowControl w:val="0"/>
        <w:spacing w:after="299" w:line="1" w:lineRule="exact"/>
      </w:pPr>
    </w:p>
    <w:p>
      <w:pPr>
        <w:pStyle w:val="Style52"/>
        <w:keepNext/>
        <w:keepLines/>
        <w:widowControl w:val="0"/>
        <w:shd w:val="clear" w:color="auto" w:fill="auto"/>
        <w:bidi w:val="0"/>
        <w:spacing w:before="0" w:after="400" w:line="240" w:lineRule="auto"/>
        <w:ind w:left="0" w:right="0" w:firstLine="0"/>
        <w:jc w:val="left"/>
        <w:rPr>
          <w:sz w:val="24"/>
          <w:szCs w:val="24"/>
        </w:rPr>
      </w:pPr>
      <w:bookmarkStart w:id="1102" w:name="bookmark1102"/>
      <w:bookmarkStart w:id="1103" w:name="bookmark1103"/>
      <w:bookmarkStart w:id="1104" w:name="bookmark1104"/>
      <w:bookmarkStart w:id="1105" w:name="bookmark1105"/>
      <w:r>
        <w:rPr>
          <w:rFonts w:ascii="Times New Roman" w:eastAsia="Times New Roman" w:hAnsi="Times New Roman" w:cs="Times New Roman"/>
          <w:b w:val="0"/>
          <w:bCs w:val="0"/>
          <w:color w:val="000000"/>
          <w:spacing w:val="0"/>
          <w:w w:val="100"/>
          <w:position w:val="0"/>
          <w:sz w:val="24"/>
          <w:szCs w:val="24"/>
        </w:rPr>
        <w:t>3</w:t>
      </w:r>
      <w:bookmarkEnd w:id="1104"/>
      <w:r>
        <w:rPr>
          <w:rFonts w:ascii="Times New Roman" w:eastAsia="Times New Roman" w:hAnsi="Times New Roman" w:cs="Times New Roman"/>
          <w:b w:val="0"/>
          <w:bCs w:val="0"/>
          <w:color w:val="000000"/>
          <w:spacing w:val="0"/>
          <w:w w:val="100"/>
          <w:position w:val="0"/>
          <w:sz w:val="24"/>
          <w:szCs w:val="24"/>
        </w:rPr>
        <w:t>6</w:t>
      </w:r>
      <w:r>
        <w:rPr>
          <w:b w:val="0"/>
          <w:bCs w:val="0"/>
          <w:color w:val="000000"/>
          <w:spacing w:val="0"/>
          <w:w w:val="100"/>
          <w:position w:val="0"/>
          <w:sz w:val="24"/>
          <w:szCs w:val="24"/>
        </w:rPr>
        <w:t>、专项储备</w:t>
      </w:r>
      <w:bookmarkEnd w:id="1102"/>
      <w:bookmarkEnd w:id="1103"/>
      <w:bookmarkEnd w:id="1105"/>
    </w:p>
    <w:p>
      <w:pPr>
        <w:pStyle w:val="Style128"/>
        <w:keepNext w:val="0"/>
        <w:keepLines w:val="0"/>
        <w:widowControl w:val="0"/>
        <w:pBdr>
          <w:top w:val="single" w:sz="4" w:space="0" w:color="auto"/>
        </w:pBdr>
        <w:shd w:val="clear" w:color="auto" w:fill="auto"/>
        <w:tabs>
          <w:tab w:pos="2406" w:val="left"/>
          <w:tab w:pos="4268" w:val="left"/>
          <w:tab w:pos="6078" w:val="left"/>
          <w:tab w:pos="7887" w:val="left"/>
        </w:tabs>
        <w:bidi w:val="0"/>
        <w:spacing w:before="0" w:after="120" w:line="240" w:lineRule="auto"/>
        <w:ind w:left="0" w:right="0" w:firstLine="620"/>
        <w:jc w:val="left"/>
      </w:pPr>
      <w:r>
        <w:rPr>
          <w:rFonts w:ascii="SimSun" w:eastAsia="SimSun" w:hAnsi="SimSun" w:cs="SimSun"/>
          <w:b/>
          <w:bCs/>
          <w:color w:val="000000"/>
          <w:spacing w:val="0"/>
          <w:w w:val="100"/>
          <w:position w:val="0"/>
          <w:sz w:val="20"/>
          <w:szCs w:val="20"/>
        </w:rPr>
        <w:t>项目</w:t>
        <w:tab/>
      </w:r>
      <w:r>
        <w:rPr>
          <w:b/>
          <w:bCs/>
          <w:color w:val="000000"/>
          <w:spacing w:val="0"/>
          <w:w w:val="100"/>
          <w:position w:val="0"/>
        </w:rPr>
        <w:t>2020.01.01</w:t>
        <w:tab/>
      </w:r>
      <w:r>
        <w:rPr>
          <w:rFonts w:ascii="SimSun" w:eastAsia="SimSun" w:hAnsi="SimSun" w:cs="SimSun"/>
          <w:b/>
          <w:bCs/>
          <w:color w:val="000000"/>
          <w:spacing w:val="0"/>
          <w:w w:val="100"/>
          <w:position w:val="0"/>
          <w:sz w:val="20"/>
          <w:szCs w:val="20"/>
        </w:rPr>
        <w:t>本期增加</w:t>
        <w:tab/>
        <w:t>本期减少</w:t>
        <w:tab/>
      </w:r>
      <w:r>
        <w:rPr>
          <w:b/>
          <w:bCs/>
          <w:color w:val="000000"/>
          <w:spacing w:val="0"/>
          <w:w w:val="100"/>
          <w:position w:val="0"/>
        </w:rPr>
        <w:t>2020.12.31</w:t>
      </w:r>
    </w:p>
    <w:tbl>
      <w:tblPr>
        <w:tblOverlap w:val="never"/>
        <w:jc w:val="center"/>
        <w:tblLayout w:type="fixed"/>
      </w:tblPr>
      <w:tblGrid>
        <w:gridCol w:w="1872"/>
        <w:gridCol w:w="1829"/>
        <w:gridCol w:w="1829"/>
        <w:gridCol w:w="1824"/>
        <w:gridCol w:w="1862"/>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安全生产费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727,673.58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727,673.58</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b/>
                <w:bCs/>
                <w:color w:val="000000"/>
                <w:spacing w:val="0"/>
                <w:w w:val="100"/>
                <w:position w:val="0"/>
              </w:rPr>
              <w:t>727,673.58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b/>
                <w:bCs/>
                <w:color w:val="000000"/>
                <w:spacing w:val="0"/>
                <w:w w:val="100"/>
                <w:position w:val="0"/>
              </w:rPr>
              <w:t>727,673.58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52"/>
        <w:keepNext/>
        <w:keepLines/>
        <w:widowControl w:val="0"/>
        <w:shd w:val="clear" w:color="auto" w:fill="auto"/>
        <w:bidi w:val="0"/>
        <w:spacing w:before="0" w:after="400" w:line="240" w:lineRule="auto"/>
        <w:ind w:left="0" w:right="0" w:firstLine="0"/>
        <w:jc w:val="left"/>
        <w:rPr>
          <w:sz w:val="24"/>
          <w:szCs w:val="24"/>
        </w:rPr>
      </w:pPr>
      <w:bookmarkStart w:id="1106" w:name="bookmark1106"/>
      <w:bookmarkStart w:id="1107" w:name="bookmark1107"/>
      <w:bookmarkStart w:id="1108" w:name="bookmark1108"/>
      <w:bookmarkStart w:id="1109" w:name="bookmark1109"/>
      <w:r>
        <w:rPr>
          <w:rFonts w:ascii="Times New Roman" w:eastAsia="Times New Roman" w:hAnsi="Times New Roman" w:cs="Times New Roman"/>
          <w:b w:val="0"/>
          <w:bCs w:val="0"/>
          <w:color w:val="000000"/>
          <w:spacing w:val="0"/>
          <w:w w:val="100"/>
          <w:position w:val="0"/>
          <w:sz w:val="24"/>
          <w:szCs w:val="24"/>
        </w:rPr>
        <w:t>3</w:t>
      </w:r>
      <w:bookmarkEnd w:id="1108"/>
      <w:r>
        <w:rPr>
          <w:rFonts w:ascii="Times New Roman" w:eastAsia="Times New Roman" w:hAnsi="Times New Roman" w:cs="Times New Roman"/>
          <w:b w:val="0"/>
          <w:bCs w:val="0"/>
          <w:color w:val="000000"/>
          <w:spacing w:val="0"/>
          <w:w w:val="100"/>
          <w:position w:val="0"/>
          <w:sz w:val="24"/>
          <w:szCs w:val="24"/>
        </w:rPr>
        <w:t>7</w:t>
      </w:r>
      <w:r>
        <w:rPr>
          <w:b w:val="0"/>
          <w:bCs w:val="0"/>
          <w:color w:val="000000"/>
          <w:spacing w:val="0"/>
          <w:w w:val="100"/>
          <w:position w:val="0"/>
          <w:sz w:val="24"/>
          <w:szCs w:val="24"/>
        </w:rPr>
        <w:t>、盈余公积</w:t>
      </w:r>
      <w:bookmarkEnd w:id="1106"/>
      <w:bookmarkEnd w:id="1107"/>
      <w:bookmarkEnd w:id="1109"/>
    </w:p>
    <w:p>
      <w:pPr>
        <w:pStyle w:val="Style128"/>
        <w:keepNext w:val="0"/>
        <w:keepLines w:val="0"/>
        <w:widowControl w:val="0"/>
        <w:pBdr>
          <w:top w:val="single" w:sz="4" w:space="0" w:color="auto"/>
        </w:pBdr>
        <w:shd w:val="clear" w:color="auto" w:fill="auto"/>
        <w:tabs>
          <w:tab w:pos="2406" w:val="left"/>
          <w:tab w:pos="4268" w:val="left"/>
          <w:tab w:pos="6078" w:val="left"/>
          <w:tab w:pos="7887" w:val="left"/>
        </w:tabs>
        <w:bidi w:val="0"/>
        <w:spacing w:before="0" w:after="120" w:line="240" w:lineRule="auto"/>
        <w:ind w:left="0" w:right="0" w:firstLine="620"/>
        <w:jc w:val="left"/>
      </w:pPr>
      <w:r>
        <w:rPr>
          <w:rFonts w:ascii="SimSun" w:eastAsia="SimSun" w:hAnsi="SimSun" w:cs="SimSun"/>
          <w:b/>
          <w:bCs/>
          <w:color w:val="000000"/>
          <w:spacing w:val="0"/>
          <w:w w:val="100"/>
          <w:position w:val="0"/>
          <w:sz w:val="20"/>
          <w:szCs w:val="20"/>
        </w:rPr>
        <w:t>项目</w:t>
        <w:tab/>
      </w:r>
      <w:r>
        <w:rPr>
          <w:b/>
          <w:bCs/>
          <w:color w:val="000000"/>
          <w:spacing w:val="0"/>
          <w:w w:val="100"/>
          <w:position w:val="0"/>
        </w:rPr>
        <w:t>2020.01.01</w:t>
        <w:tab/>
      </w:r>
      <w:r>
        <w:rPr>
          <w:rFonts w:ascii="SimSun" w:eastAsia="SimSun" w:hAnsi="SimSun" w:cs="SimSun"/>
          <w:b/>
          <w:bCs/>
          <w:color w:val="000000"/>
          <w:spacing w:val="0"/>
          <w:w w:val="100"/>
          <w:position w:val="0"/>
          <w:sz w:val="20"/>
          <w:szCs w:val="20"/>
        </w:rPr>
        <w:t>本期增加</w:t>
        <w:tab/>
        <w:t>本期减少</w:t>
        <w:tab/>
      </w:r>
      <w:r>
        <w:rPr>
          <w:b/>
          <w:bCs/>
          <w:color w:val="000000"/>
          <w:spacing w:val="0"/>
          <w:w w:val="100"/>
          <w:position w:val="0"/>
        </w:rPr>
        <w:t>2020.12.31</w:t>
      </w:r>
    </w:p>
    <w:tbl>
      <w:tblPr>
        <w:tblOverlap w:val="never"/>
        <w:jc w:val="center"/>
        <w:tblLayout w:type="fixed"/>
      </w:tblPr>
      <w:tblGrid>
        <w:gridCol w:w="1877"/>
        <w:gridCol w:w="1829"/>
        <w:gridCol w:w="1824"/>
        <w:gridCol w:w="1829"/>
        <w:gridCol w:w="1858"/>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68,560,890.84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68,560,890.84</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bCs/>
                <w:color w:val="000000"/>
                <w:spacing w:val="0"/>
                <w:w w:val="100"/>
                <w:position w:val="0"/>
              </w:rPr>
              <w:t>68,560,890.84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bCs/>
                <w:color w:val="000000"/>
                <w:spacing w:val="0"/>
                <w:w w:val="100"/>
                <w:position w:val="0"/>
              </w:rPr>
              <w:t>68,560,890.84</w:t>
            </w:r>
          </w:p>
        </w:tc>
      </w:tr>
    </w:tbl>
    <w:p>
      <w:pPr>
        <w:widowControl w:val="0"/>
        <w:spacing w:after="299" w:line="1" w:lineRule="exact"/>
      </w:pPr>
    </w:p>
    <w:p>
      <w:pPr>
        <w:pStyle w:val="Style52"/>
        <w:keepNext/>
        <w:keepLines/>
        <w:widowControl w:val="0"/>
        <w:shd w:val="clear" w:color="auto" w:fill="auto"/>
        <w:bidi w:val="0"/>
        <w:spacing w:before="0" w:after="400" w:line="240" w:lineRule="auto"/>
        <w:ind w:left="0" w:right="0" w:firstLine="0"/>
        <w:jc w:val="left"/>
        <w:rPr>
          <w:sz w:val="24"/>
          <w:szCs w:val="24"/>
        </w:rPr>
      </w:pPr>
      <w:bookmarkStart w:id="1110" w:name="bookmark1110"/>
      <w:bookmarkStart w:id="1111" w:name="bookmark1111"/>
      <w:bookmarkStart w:id="1112" w:name="bookmark1112"/>
      <w:bookmarkStart w:id="1113" w:name="bookmark1113"/>
      <w:r>
        <w:rPr>
          <w:rFonts w:ascii="Times New Roman" w:eastAsia="Times New Roman" w:hAnsi="Times New Roman" w:cs="Times New Roman"/>
          <w:b w:val="0"/>
          <w:bCs w:val="0"/>
          <w:color w:val="000000"/>
          <w:spacing w:val="0"/>
          <w:w w:val="100"/>
          <w:position w:val="0"/>
          <w:sz w:val="24"/>
          <w:szCs w:val="24"/>
        </w:rPr>
        <w:t>3</w:t>
      </w:r>
      <w:bookmarkEnd w:id="1112"/>
      <w:r>
        <w:rPr>
          <w:rFonts w:ascii="Times New Roman" w:eastAsia="Times New Roman" w:hAnsi="Times New Roman" w:cs="Times New Roman"/>
          <w:b w:val="0"/>
          <w:bCs w:val="0"/>
          <w:color w:val="000000"/>
          <w:spacing w:val="0"/>
          <w:w w:val="100"/>
          <w:position w:val="0"/>
          <w:sz w:val="24"/>
          <w:szCs w:val="24"/>
        </w:rPr>
        <w:t>8</w:t>
      </w:r>
      <w:r>
        <w:rPr>
          <w:b w:val="0"/>
          <w:bCs w:val="0"/>
          <w:color w:val="000000"/>
          <w:spacing w:val="0"/>
          <w:w w:val="100"/>
          <w:position w:val="0"/>
          <w:sz w:val="24"/>
          <w:szCs w:val="24"/>
        </w:rPr>
        <w:t>、未分配利润</w:t>
      </w:r>
      <w:bookmarkEnd w:id="1110"/>
      <w:bookmarkEnd w:id="1111"/>
      <w:bookmarkEnd w:id="1113"/>
    </w:p>
    <w:p>
      <w:pPr>
        <w:pStyle w:val="Style38"/>
        <w:keepNext w:val="0"/>
        <w:keepLines w:val="0"/>
        <w:widowControl w:val="0"/>
        <w:shd w:val="clear" w:color="auto" w:fill="auto"/>
        <w:tabs>
          <w:tab w:pos="5338" w:val="left"/>
          <w:tab w:pos="6720" w:val="left"/>
        </w:tabs>
        <w:bidi w:val="0"/>
        <w:spacing w:before="0" w:after="0" w:line="240" w:lineRule="auto"/>
        <w:ind w:left="0" w:right="0" w:firstLine="0"/>
        <w:jc w:val="center"/>
        <w:rPr>
          <w:sz w:val="20"/>
          <w:szCs w:val="20"/>
        </w:rPr>
      </w:pPr>
      <w:r>
        <w:rPr>
          <w:b/>
          <w:bCs/>
          <w:color w:val="000000"/>
          <w:spacing w:val="0"/>
          <w:w w:val="100"/>
          <w:position w:val="0"/>
          <w:sz w:val="20"/>
          <w:szCs w:val="20"/>
        </w:rPr>
        <w:t>项目</w:t>
        <w:tab/>
        <w:t>金额</w:t>
        <w:tab/>
        <w:t>提取或分配比例</w:t>
      </w:r>
    </w:p>
    <w:tbl>
      <w:tblPr>
        <w:tblOverlap w:val="never"/>
        <w:jc w:val="center"/>
        <w:tblLayout w:type="fixed"/>
      </w:tblPr>
      <w:tblGrid>
        <w:gridCol w:w="5141"/>
        <w:gridCol w:w="1997"/>
        <w:gridCol w:w="2078"/>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-1,643,571,660.13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调整期初未分配利润合计数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-1,643,571,660.13</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11,234,770.54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提取一般风险准备金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-1,632,336,889.59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spacing w:lineRule="exact" w:line="1"/>
        <w:rPr>
          <w:sz w:val="2"/>
          <w:szCs w:val="2"/>
        </w:rPr>
      </w:pPr>
      <w:r>
        <w:br w:type="page"/>
      </w:r>
    </w:p>
    <w:p>
      <w:pPr>
        <w:pStyle w:val="Style52"/>
        <w:keepNext/>
        <w:keepLines/>
        <w:widowControl w:val="0"/>
        <w:shd w:val="clear" w:color="auto" w:fill="auto"/>
        <w:bidi w:val="0"/>
        <w:spacing w:before="0" w:after="400" w:line="240" w:lineRule="auto"/>
        <w:ind w:left="0" w:right="0" w:firstLine="0"/>
        <w:jc w:val="left"/>
        <w:rPr>
          <w:sz w:val="24"/>
          <w:szCs w:val="24"/>
        </w:rPr>
      </w:pPr>
      <w:bookmarkStart w:id="1114" w:name="bookmark1114"/>
      <w:bookmarkStart w:id="1115" w:name="bookmark1115"/>
      <w:bookmarkStart w:id="1116" w:name="bookmark1116"/>
      <w:bookmarkStart w:id="1117" w:name="bookmark1117"/>
      <w:r>
        <w:rPr>
          <w:rFonts w:ascii="Times New Roman" w:eastAsia="Times New Roman" w:hAnsi="Times New Roman" w:cs="Times New Roman"/>
          <w:b w:val="0"/>
          <w:bCs w:val="0"/>
          <w:color w:val="000000"/>
          <w:spacing w:val="0"/>
          <w:w w:val="100"/>
          <w:position w:val="0"/>
          <w:sz w:val="24"/>
          <w:szCs w:val="24"/>
        </w:rPr>
        <w:t>3</w:t>
      </w:r>
      <w:bookmarkEnd w:id="1116"/>
      <w:r>
        <w:rPr>
          <w:rFonts w:ascii="Times New Roman" w:eastAsia="Times New Roman" w:hAnsi="Times New Roman" w:cs="Times New Roman"/>
          <w:b w:val="0"/>
          <w:bCs w:val="0"/>
          <w:color w:val="000000"/>
          <w:spacing w:val="0"/>
          <w:w w:val="100"/>
          <w:position w:val="0"/>
          <w:sz w:val="24"/>
          <w:szCs w:val="24"/>
        </w:rPr>
        <w:t>9</w:t>
      </w:r>
      <w:r>
        <w:rPr>
          <w:b w:val="0"/>
          <w:bCs w:val="0"/>
          <w:color w:val="000000"/>
          <w:spacing w:val="0"/>
          <w:w w:val="100"/>
          <w:position w:val="0"/>
          <w:sz w:val="24"/>
          <w:szCs w:val="24"/>
        </w:rPr>
        <w:t>、营业收入和营业成本</w:t>
      </w:r>
      <w:bookmarkEnd w:id="1114"/>
      <w:bookmarkEnd w:id="1115"/>
      <w:bookmarkEnd w:id="1117"/>
    </w:p>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)营业收入及成本列示如下:</w:t>
      </w:r>
    </w:p>
    <w:tbl>
      <w:tblPr>
        <w:tblOverlap w:val="never"/>
        <w:jc w:val="center"/>
        <w:tblLayout w:type="fixed"/>
      </w:tblPr>
      <w:tblGrid>
        <w:gridCol w:w="1867"/>
        <w:gridCol w:w="1838"/>
        <w:gridCol w:w="1838"/>
        <w:gridCol w:w="1838"/>
        <w:gridCol w:w="1872"/>
      </w:tblGrid>
      <w:tr>
        <w:trPr>
          <w:trHeight w:val="48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年度</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年度</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b/>
                <w:bCs/>
                <w:color w:val="000000"/>
                <w:spacing w:val="0"/>
                <w:w w:val="100"/>
                <w:position w:val="0"/>
                <w:sz w:val="20"/>
                <w:szCs w:val="2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b/>
                <w:bCs/>
                <w:color w:val="000000"/>
                <w:spacing w:val="0"/>
                <w:w w:val="100"/>
                <w:position w:val="0"/>
                <w:sz w:val="20"/>
                <w:szCs w:val="20"/>
              </w:rPr>
              <w:t>成本</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359,657,138.46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215,477,739.78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376,733,040.68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293,652,688.14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20,050,064.84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4,901,544.87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18,000,132.64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3,238,575.48</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379,707,203.30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220,379,284.65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394,733,173.32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296,891,263.62</w:t>
            </w:r>
          </w:p>
        </w:tc>
      </w:tr>
    </w:tbl>
    <w:p>
      <w:pPr>
        <w:widowControl w:val="0"/>
        <w:spacing w:after="19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)主营业务收入及成本(分行业)列示如下:</w:t>
      </w:r>
    </w:p>
    <w:tbl>
      <w:tblPr>
        <w:tblOverlap w:val="never"/>
        <w:jc w:val="center"/>
        <w:tblLayout w:type="fixed"/>
      </w:tblPr>
      <w:tblGrid>
        <w:gridCol w:w="2030"/>
        <w:gridCol w:w="1843"/>
        <w:gridCol w:w="1786"/>
        <w:gridCol w:w="1834"/>
        <w:gridCol w:w="1862"/>
      </w:tblGrid>
      <w:tr>
        <w:trPr>
          <w:trHeight w:val="437"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行业名称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年度</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年度</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成本</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88" w:lineRule="exact"/>
              <w:ind w:left="180" w:right="0" w:firstLine="0"/>
              <w:jc w:val="left"/>
              <w:rPr>
                <w:sz w:val="20"/>
                <w:szCs w:val="20"/>
              </w:rPr>
            </w:pPr>
            <w:r>
              <w:rPr>
                <w:color w:val="000000"/>
                <w:spacing w:val="0"/>
                <w:w w:val="100"/>
                <w:position w:val="0"/>
                <w:sz w:val="20"/>
                <w:szCs w:val="20"/>
              </w:rPr>
              <w:t>集成电路和关键 元器件等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226,078,278.75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108,880,182.08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230,594,047.63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167,210,792.12</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负极材料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133,578,859.71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106,597,557.70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146,138,993.05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126,441,896.02</w:t>
            </w: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359,657,138.46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rPr>
              <w:t>215,477,739.78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376,733,040.68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293,652,688.14</w:t>
            </w:r>
          </w:p>
        </w:tc>
      </w:tr>
    </w:tbl>
    <w:p>
      <w:pPr>
        <w:widowControl w:val="0"/>
        <w:spacing w:after="19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)主营业务收入及成本(分产品)列示如下:</w:t>
      </w:r>
    </w:p>
    <w:tbl>
      <w:tblPr>
        <w:tblOverlap w:val="never"/>
        <w:jc w:val="center"/>
        <w:tblLayout w:type="fixed"/>
      </w:tblPr>
      <w:tblGrid>
        <w:gridCol w:w="2030"/>
        <w:gridCol w:w="1704"/>
        <w:gridCol w:w="1781"/>
        <w:gridCol w:w="1834"/>
        <w:gridCol w:w="1867"/>
      </w:tblGrid>
      <w:tr>
        <w:trPr>
          <w:trHeight w:val="427"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产品名称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年度</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年度</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b/>
                <w:bCs/>
                <w:color w:val="000000"/>
                <w:spacing w:val="0"/>
                <w:w w:val="100"/>
                <w:position w:val="0"/>
                <w:sz w:val="20"/>
                <w:szCs w:val="2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成本</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芯片类产品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157,322,194.70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85,949,867.49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175,348,162.65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114,943,383.60</w:t>
            </w: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技术服务业务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42,980,793.27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2,431,090.45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12,159,113.82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11,230,989.37</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25,775,290.78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20,499,224.14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43,086,771.16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41,036,419.15</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83" w:lineRule="exact"/>
              <w:ind w:left="180" w:right="0" w:firstLine="0"/>
              <w:jc w:val="left"/>
              <w:rPr>
                <w:sz w:val="20"/>
                <w:szCs w:val="20"/>
              </w:rPr>
            </w:pPr>
            <w:r>
              <w:rPr>
                <w:color w:val="000000"/>
                <w:spacing w:val="0"/>
                <w:w w:val="100"/>
                <w:position w:val="0"/>
                <w:sz w:val="20"/>
                <w:szCs w:val="20"/>
              </w:rPr>
              <w:t>负极材料销售及 加工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133,578,859.71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106,597,557.70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146,138,993.05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126,441,896.02</w:t>
            </w:r>
          </w:p>
        </w:tc>
      </w:tr>
      <w:tr>
        <w:trPr>
          <w:trHeight w:val="49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359,657,138.46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rPr>
              <w:t>215,477,739.78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376,733,040.68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293,652,688.14</w:t>
            </w:r>
          </w:p>
        </w:tc>
      </w:tr>
    </w:tbl>
    <w:p>
      <w:pPr>
        <w:widowControl w:val="0"/>
        <w:spacing w:after="19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)主营业务收入及成本(分地区)列示如下:</w:t>
      </w:r>
    </w:p>
    <w:tbl>
      <w:tblPr>
        <w:tblOverlap w:val="never"/>
        <w:jc w:val="center"/>
        <w:tblLayout w:type="fixed"/>
      </w:tblPr>
      <w:tblGrid>
        <w:gridCol w:w="1853"/>
        <w:gridCol w:w="1834"/>
        <w:gridCol w:w="1829"/>
        <w:gridCol w:w="1834"/>
        <w:gridCol w:w="1867"/>
      </w:tblGrid>
      <w:tr>
        <w:trP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地区名称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年度</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年度</w:t>
            </w:r>
          </w:p>
        </w:tc>
      </w:tr>
      <w:tr>
        <w:trPr>
          <w:trHeight w:val="4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成本</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336,978,784.61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210,797,225.40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350,176,039.01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279,159,653.01</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819,070.79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1,064,840.69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1,897,420.42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1,821,195.71</w:t>
            </w: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107,952,253.98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80,882,454.43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93,404,551.59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73,745,479.74</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华东地区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73,858,103.58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48,546,141.84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77,066,004.42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64,988,340.13</w:t>
            </w:r>
          </w:p>
        </w:tc>
      </w:tr>
    </w:tbl>
    <w:p>
      <w:pPr>
        <w:widowControl w:val="0"/>
        <w:spacing w:line="1" w:lineRule="exact"/>
        <w:sectPr>
          <w:headerReference w:type="default" r:id="rId135"/>
          <w:footerReference w:type="default" r:id="rId136"/>
          <w:headerReference w:type="even" r:id="rId137"/>
          <w:footerReference w:type="even" r:id="rId138"/>
          <w:headerReference w:type="first" r:id="rId139"/>
          <w:footerReference w:type="first" r:id="rId140"/>
          <w:footnotePr>
            <w:pos w:val="pageBottom"/>
            <w:numFmt w:val="decimal"/>
            <w:numRestart w:val="continuous"/>
          </w:footnotePr>
          <w:pgSz w:w="11900" w:h="16840"/>
          <w:pgMar w:top="1136" w:right="885" w:bottom="1275" w:left="801" w:header="0" w:footer="3" w:gutter="0"/>
          <w:cols w:space="720"/>
          <w:noEndnote/>
          <w:titlePg/>
          <w:rtlGutter w:val="0"/>
          <w:docGrid w:linePitch="360"/>
        </w:sectPr>
      </w:pPr>
    </w:p>
    <w:tbl>
      <w:tblPr>
        <w:tblOverlap w:val="never"/>
        <w:jc w:val="center"/>
        <w:tblLayout w:type="fixed"/>
      </w:tblPr>
      <w:tblGrid>
        <w:gridCol w:w="1858"/>
        <w:gridCol w:w="1829"/>
        <w:gridCol w:w="1834"/>
        <w:gridCol w:w="1834"/>
        <w:gridCol w:w="1862"/>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107,148,945.36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67,156,682.90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109,742,650.53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83,114,398.64</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8,825,833.58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7,385,151.74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29,530,182.32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21,770,374.15</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36,172,949.02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4,037,504.69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32,663,707.75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30,026,081.89</w:t>
            </w: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2,201,628.30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1,724,449.11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5,871,521.98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3,693,782.75</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二、境外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22,678,353.85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4,680,514.38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26,557,001.67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14,493,035.13</w:t>
            </w: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359,657,138.46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215,477,739.78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376,733,040.68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293,652,688.14</w:t>
            </w:r>
          </w:p>
        </w:tc>
      </w:tr>
    </w:tbl>
    <w:p>
      <w:pPr>
        <w:pStyle w:val="Style38"/>
        <w:keepNext w:val="0"/>
        <w:keepLines w:val="0"/>
        <w:widowControl w:val="0"/>
        <w:shd w:val="clear" w:color="auto" w:fill="auto"/>
        <w:bidi w:val="0"/>
        <w:spacing w:before="0" w:after="0" w:line="240" w:lineRule="auto"/>
        <w:ind w:left="586" w:right="0" w:firstLine="0"/>
        <w:jc w:val="left"/>
        <w:rPr>
          <w:sz w:val="20"/>
          <w:szCs w:val="20"/>
        </w:rPr>
      </w:pP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0"/>
          <w:szCs w:val="20"/>
        </w:rPr>
        <w:t>年度营业收入按收入确认时间列示如下:</w:t>
      </w:r>
    </w:p>
    <w:p>
      <w:pPr>
        <w:widowControl w:val="0"/>
        <w:spacing w:after="259" w:line="1" w:lineRule="exact"/>
      </w:pPr>
    </w:p>
    <w:p>
      <w:pPr>
        <w:widowControl w:val="0"/>
        <w:spacing w:line="1" w:lineRule="exact"/>
      </w:pPr>
    </w:p>
    <w:p>
      <w:pPr>
        <w:pStyle w:val="Style38"/>
        <w:keepNext w:val="0"/>
        <w:keepLines w:val="0"/>
        <w:widowControl w:val="0"/>
        <w:shd w:val="clear" w:color="auto" w:fill="auto"/>
        <w:tabs>
          <w:tab w:pos="2688" w:val="left"/>
          <w:tab w:pos="4440" w:val="left"/>
          <w:tab w:pos="6077" w:val="left"/>
          <w:tab w:pos="7421" w:val="left"/>
          <w:tab w:pos="8635" w:val="left"/>
        </w:tabs>
        <w:bidi w:val="0"/>
        <w:spacing w:before="0" w:after="0" w:line="240" w:lineRule="auto"/>
        <w:ind w:left="398" w:right="0" w:firstLine="0"/>
        <w:jc w:val="left"/>
        <w:rPr>
          <w:sz w:val="20"/>
          <w:szCs w:val="20"/>
        </w:rPr>
      </w:pPr>
      <w:r>
        <w:rPr>
          <w:b/>
          <w:bCs/>
          <w:color w:val="000000"/>
          <w:spacing w:val="0"/>
          <w:w w:val="100"/>
          <w:position w:val="0"/>
          <w:sz w:val="20"/>
          <w:szCs w:val="20"/>
        </w:rPr>
        <w:t>项目</w:t>
        <w:tab/>
        <w:t>产品销售</w:t>
        <w:tab/>
        <w:t>租赁收入</w:t>
        <w:tab/>
        <w:t>提供劳务</w:t>
        <w:tab/>
        <w:t>其它</w:t>
        <w:tab/>
        <w:t>合计</w:t>
      </w:r>
    </w:p>
    <w:tbl>
      <w:tblPr>
        <w:tblOverlap w:val="never"/>
        <w:jc w:val="center"/>
        <w:tblLayout w:type="fixed"/>
      </w:tblPr>
      <w:tblGrid>
        <w:gridCol w:w="2174"/>
        <w:gridCol w:w="1843"/>
        <w:gridCol w:w="1699"/>
        <w:gridCol w:w="1560"/>
        <w:gridCol w:w="706"/>
        <w:gridCol w:w="1709"/>
      </w:tblGrid>
      <w:tr>
        <w:trPr>
          <w:trHeight w:val="50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在某一时点确认收入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293,716,160.69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70,487,817.62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364,203,978.31</w:t>
            </w:r>
          </w:p>
        </w:tc>
      </w:tr>
      <w:tr>
        <w:trPr>
          <w:trHeight w:val="50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在某一时段确认收入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15,503,224.99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15,503,224.99</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bCs/>
                <w:color w:val="000000"/>
                <w:spacing w:val="0"/>
                <w:w w:val="100"/>
                <w:position w:val="0"/>
              </w:rPr>
              <w:t>293,716,160.69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15,503,224.99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70,487,817.62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379,707,203.30</w:t>
            </w:r>
          </w:p>
        </w:tc>
      </w:tr>
    </w:tbl>
    <w:p>
      <w:pPr>
        <w:widowControl w:val="0"/>
        <w:spacing w:after="139" w:line="1" w:lineRule="exact"/>
      </w:pPr>
    </w:p>
    <w:p>
      <w:pPr>
        <w:pStyle w:val="Style44"/>
        <w:keepNext w:val="0"/>
        <w:keepLines w:val="0"/>
        <w:widowControl w:val="0"/>
        <w:numPr>
          <w:ilvl w:val="0"/>
          <w:numId w:val="65"/>
        </w:numPr>
        <w:shd w:val="clear" w:color="auto" w:fill="auto"/>
        <w:bidi w:val="0"/>
        <w:spacing w:before="0" w:after="260" w:line="240" w:lineRule="auto"/>
        <w:ind w:left="0" w:right="0" w:firstLine="600"/>
        <w:jc w:val="left"/>
        <w:rPr>
          <w:sz w:val="20"/>
          <w:szCs w:val="20"/>
        </w:rPr>
      </w:pPr>
      <w:bookmarkStart w:id="1118" w:name="bookmark1118"/>
      <w:bookmarkEnd w:id="1118"/>
      <w:r>
        <w:rPr>
          <w:color w:val="000000"/>
          <w:spacing w:val="0"/>
          <w:w w:val="100"/>
          <w:position w:val="0"/>
          <w:sz w:val="20"/>
          <w:szCs w:val="20"/>
        </w:rPr>
        <w:t>履约义务相关的信息</w:t>
      </w:r>
    </w:p>
    <w:p>
      <w:pPr>
        <w:pStyle w:val="Style44"/>
        <w:keepNext w:val="0"/>
        <w:keepLines w:val="0"/>
        <w:widowControl w:val="0"/>
        <w:shd w:val="clear" w:color="auto" w:fill="auto"/>
        <w:bidi w:val="0"/>
        <w:spacing w:before="0" w:after="260" w:line="240" w:lineRule="auto"/>
        <w:ind w:left="0" w:right="0" w:firstLine="600"/>
        <w:jc w:val="left"/>
        <w:rPr>
          <w:sz w:val="20"/>
          <w:szCs w:val="20"/>
        </w:rPr>
      </w:pPr>
      <w:r>
        <w:rPr>
          <w:color w:val="000000"/>
          <w:spacing w:val="0"/>
          <w:w w:val="100"/>
          <w:position w:val="0"/>
          <w:sz w:val="20"/>
          <w:szCs w:val="20"/>
        </w:rPr>
        <w:t>本公司收入确认政策详见附注三、</w:t>
      </w:r>
      <w:r>
        <w:rPr>
          <w:rFonts w:ascii="Times New Roman" w:eastAsia="Times New Roman" w:hAnsi="Times New Roman" w:cs="Times New Roman"/>
          <w:color w:val="000000"/>
          <w:spacing w:val="0"/>
          <w:w w:val="100"/>
          <w:position w:val="0"/>
          <w:sz w:val="22"/>
          <w:szCs w:val="22"/>
        </w:rPr>
        <w:t>23</w:t>
      </w:r>
      <w:r>
        <w:rPr>
          <w:color w:val="000000"/>
          <w:spacing w:val="0"/>
          <w:w w:val="100"/>
          <w:position w:val="0"/>
          <w:sz w:val="20"/>
          <w:szCs w:val="20"/>
        </w:rPr>
        <w:t>。</w:t>
      </w:r>
    </w:p>
    <w:p>
      <w:pPr>
        <w:pStyle w:val="Style44"/>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公司芯片类产品、负极材料形成的产品收入均属于销售商品收入，对于不包含安装的销售商品收</w:t>
      </w:r>
    </w:p>
    <w:p>
      <w:pPr>
        <w:pStyle w:val="Style44"/>
        <w:keepNext w:val="0"/>
        <w:keepLines w:val="0"/>
        <w:widowControl w:val="0"/>
        <w:shd w:val="clear" w:color="auto" w:fill="auto"/>
        <w:bidi w:val="0"/>
        <w:spacing w:before="0" w:after="0" w:line="475" w:lineRule="exact"/>
        <w:ind w:left="0" w:right="0" w:firstLine="140"/>
        <w:jc w:val="both"/>
        <w:rPr>
          <w:sz w:val="20"/>
          <w:szCs w:val="20"/>
        </w:rPr>
      </w:pPr>
      <w:r>
        <w:rPr>
          <w:color w:val="000000"/>
          <w:spacing w:val="0"/>
          <w:w w:val="100"/>
          <w:position w:val="0"/>
          <w:sz w:val="20"/>
          <w:szCs w:val="20"/>
        </w:rPr>
        <w:t>入，本公司收入确认时点，以公司将商品控制权转移给购买方(即客户签收时点)确认商品销售收入 实现。</w:t>
      </w:r>
    </w:p>
    <w:p>
      <w:pPr>
        <w:pStyle w:val="Style44"/>
        <w:keepNext w:val="0"/>
        <w:keepLines w:val="0"/>
        <w:widowControl w:val="0"/>
        <w:shd w:val="clear" w:color="auto" w:fill="auto"/>
        <w:bidi w:val="0"/>
        <w:spacing w:before="0" w:after="260" w:line="470" w:lineRule="exact"/>
        <w:ind w:left="0" w:right="0" w:firstLine="600"/>
        <w:jc w:val="both"/>
        <w:rPr>
          <w:sz w:val="20"/>
          <w:szCs w:val="20"/>
        </w:rPr>
      </w:pPr>
      <w:r>
        <w:rPr>
          <w:color w:val="000000"/>
          <w:spacing w:val="0"/>
          <w:w w:val="100"/>
          <w:position w:val="0"/>
          <w:sz w:val="20"/>
          <w:szCs w:val="20"/>
        </w:rPr>
        <w:t xml:space="preserve">对于包含安装的销售商品收入，销售商品部分和提供劳务部分不能够区分，或虽能区分但不能够 单独计量的，将销售商品部分和提供劳务部分全部作为销售商品处理。将购买方验收时点作为控制权 </w:t>
      </w:r>
      <w:r>
        <w:rPr>
          <w:color w:val="000000"/>
          <w:spacing w:val="0"/>
          <w:w w:val="100"/>
          <w:position w:val="0"/>
          <w:sz w:val="20"/>
          <w:szCs w:val="20"/>
        </w:rPr>
        <w:t>转移时点，确认收入。</w:t>
      </w:r>
    </w:p>
    <w:p>
      <w:pPr>
        <w:pStyle w:val="Style44"/>
        <w:keepNext w:val="0"/>
        <w:keepLines w:val="0"/>
        <w:widowControl w:val="0"/>
        <w:numPr>
          <w:ilvl w:val="0"/>
          <w:numId w:val="65"/>
        </w:numPr>
        <w:shd w:val="clear" w:color="auto" w:fill="auto"/>
        <w:bidi w:val="0"/>
        <w:spacing w:before="0" w:after="140" w:line="240" w:lineRule="auto"/>
        <w:ind w:left="0" w:right="0" w:firstLine="600"/>
        <w:jc w:val="left"/>
        <w:rPr>
          <w:sz w:val="20"/>
          <w:szCs w:val="20"/>
        </w:rPr>
      </w:pPr>
      <w:bookmarkStart w:id="1119" w:name="bookmark1119"/>
      <w:bookmarkEnd w:id="1119"/>
      <w:r>
        <w:rPr>
          <w:color w:val="000000"/>
          <w:spacing w:val="0"/>
          <w:w w:val="100"/>
          <w:position w:val="0"/>
          <w:sz w:val="20"/>
          <w:szCs w:val="20"/>
        </w:rPr>
        <w:t>分摊至剩余履约义务交易价格相关信息</w:t>
      </w:r>
    </w:p>
    <w:tbl>
      <w:tblPr>
        <w:tblOverlap w:val="never"/>
        <w:jc w:val="center"/>
        <w:tblLayout w:type="fixed"/>
      </w:tblPr>
      <w:tblGrid>
        <w:gridCol w:w="5942"/>
        <w:gridCol w:w="3710"/>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31</w:t>
            </w:r>
            <w:r>
              <w:rPr>
                <w:b/>
                <w:bCs/>
                <w:color w:val="000000"/>
                <w:spacing w:val="0"/>
                <w:w w:val="100"/>
                <w:position w:val="0"/>
                <w:sz w:val="20"/>
                <w:szCs w:val="20"/>
              </w:rPr>
              <w:t>日</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78" w:lineRule="exact"/>
              <w:ind w:left="500" w:right="0" w:firstLine="0"/>
              <w:jc w:val="left"/>
              <w:rPr>
                <w:sz w:val="20"/>
                <w:szCs w:val="20"/>
              </w:rPr>
            </w:pPr>
            <w:r>
              <w:rPr>
                <w:color w:val="000000"/>
                <w:spacing w:val="0"/>
                <w:w w:val="100"/>
                <w:position w:val="0"/>
                <w:sz w:val="20"/>
                <w:szCs w:val="20"/>
              </w:rPr>
              <w:t>期末已签订合同、但尚未履行或尚未履行完毕的履约义 务所对应的收入金额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197,846,093.16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其中：预计将于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年度确认收入的金额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76,242,981.96</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预计将于</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sz w:val="20"/>
                <w:szCs w:val="20"/>
              </w:rPr>
              <w:t>年度确认收入的金额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12,702,720.85</w:t>
            </w:r>
          </w:p>
        </w:tc>
      </w:tr>
      <w:tr>
        <w:trPr>
          <w:trHeight w:val="81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1400" w:right="0" w:firstLine="0"/>
              <w:jc w:val="left"/>
              <w:rPr>
                <w:sz w:val="20"/>
                <w:szCs w:val="20"/>
              </w:rPr>
            </w:pPr>
            <w:r>
              <w:rPr>
                <w:color w:val="000000"/>
                <w:spacing w:val="0"/>
                <w:w w:val="100"/>
                <w:position w:val="0"/>
                <w:sz w:val="20"/>
                <w:szCs w:val="20"/>
              </w:rPr>
              <w:t>预计将于</w:t>
            </w:r>
            <w:r>
              <w:rPr>
                <w:rFonts w:ascii="Times New Roman" w:eastAsia="Times New Roman" w:hAnsi="Times New Roman" w:cs="Times New Roman"/>
                <w:color w:val="000000"/>
                <w:spacing w:val="0"/>
                <w:w w:val="100"/>
                <w:position w:val="0"/>
                <w:sz w:val="22"/>
                <w:szCs w:val="22"/>
              </w:rPr>
              <w:t>2023</w:t>
            </w:r>
            <w:r>
              <w:rPr>
                <w:color w:val="000000"/>
                <w:spacing w:val="0"/>
                <w:w w:val="100"/>
                <w:position w:val="0"/>
                <w:sz w:val="20"/>
                <w:szCs w:val="20"/>
              </w:rPr>
              <w:t>年及以后年度确认收</w:t>
            </w:r>
          </w:p>
          <w:p>
            <w:pPr>
              <w:pStyle w:val="Style2"/>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入的金额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108,900,390.35</w:t>
            </w:r>
          </w:p>
        </w:tc>
      </w:tr>
    </w:tbl>
    <w:p>
      <w:pPr>
        <w:spacing w:lineRule="exact" w:line="1"/>
        <w:rPr>
          <w:sz w:val="2"/>
          <w:szCs w:val="2"/>
        </w:rPr>
      </w:pPr>
      <w:r>
        <w:br w:type="page"/>
      </w:r>
    </w:p>
    <w:p>
      <w:pPr>
        <w:pStyle w:val="Style52"/>
        <w:keepNext/>
        <w:keepLines/>
        <w:widowControl w:val="0"/>
        <w:shd w:val="clear" w:color="auto" w:fill="auto"/>
        <w:bidi w:val="0"/>
        <w:spacing w:before="0" w:after="380" w:line="240" w:lineRule="auto"/>
        <w:ind w:left="0" w:right="0" w:firstLine="0"/>
        <w:jc w:val="left"/>
        <w:rPr>
          <w:sz w:val="24"/>
          <w:szCs w:val="24"/>
        </w:rPr>
      </w:pPr>
      <w:bookmarkStart w:id="1120" w:name="bookmark1120"/>
      <w:bookmarkStart w:id="1121" w:name="bookmark1121"/>
      <w:bookmarkStart w:id="1122" w:name="bookmark1122"/>
      <w:bookmarkStart w:id="1123" w:name="bookmark1123"/>
      <w:r>
        <w:rPr>
          <w:rFonts w:ascii="Times New Roman" w:eastAsia="Times New Roman" w:hAnsi="Times New Roman" w:cs="Times New Roman"/>
          <w:b w:val="0"/>
          <w:bCs w:val="0"/>
          <w:color w:val="000000"/>
          <w:spacing w:val="0"/>
          <w:w w:val="100"/>
          <w:position w:val="0"/>
          <w:sz w:val="24"/>
          <w:szCs w:val="24"/>
        </w:rPr>
        <w:t>4</w:t>
      </w:r>
      <w:bookmarkEnd w:id="1122"/>
      <w:r>
        <w:rPr>
          <w:rFonts w:ascii="Times New Roman" w:eastAsia="Times New Roman" w:hAnsi="Times New Roman" w:cs="Times New Roman"/>
          <w:b w:val="0"/>
          <w:bCs w:val="0"/>
          <w:color w:val="000000"/>
          <w:spacing w:val="0"/>
          <w:w w:val="100"/>
          <w:position w:val="0"/>
          <w:sz w:val="24"/>
          <w:szCs w:val="24"/>
        </w:rPr>
        <w:t>0</w:t>
      </w:r>
      <w:r>
        <w:rPr>
          <w:b w:val="0"/>
          <w:bCs w:val="0"/>
          <w:color w:val="000000"/>
          <w:spacing w:val="0"/>
          <w:w w:val="100"/>
          <w:position w:val="0"/>
          <w:sz w:val="24"/>
          <w:szCs w:val="24"/>
        </w:rPr>
        <w:t>、税金及附加</w:t>
      </w:r>
      <w:bookmarkEnd w:id="1120"/>
      <w:bookmarkEnd w:id="1121"/>
      <w:bookmarkEnd w:id="1123"/>
    </w:p>
    <w:p>
      <w:pPr>
        <w:pStyle w:val="Style38"/>
        <w:keepNext w:val="0"/>
        <w:keepLines w:val="0"/>
        <w:widowControl w:val="0"/>
        <w:shd w:val="clear" w:color="auto" w:fill="auto"/>
        <w:tabs>
          <w:tab w:pos="4666" w:val="left"/>
          <w:tab w:pos="7762" w:val="left"/>
        </w:tabs>
        <w:bidi w:val="0"/>
        <w:spacing w:before="0" w:after="0" w:line="240" w:lineRule="auto"/>
        <w:ind w:left="0" w:right="0" w:firstLine="0"/>
        <w:jc w:val="center"/>
        <w:rPr>
          <w:sz w:val="20"/>
          <w:szCs w:val="20"/>
        </w:rPr>
      </w:pPr>
      <w:r>
        <w:rPr>
          <w:b/>
          <w:bCs/>
          <w:color w:val="000000"/>
          <w:spacing w:val="0"/>
          <w:w w:val="100"/>
          <w:position w:val="0"/>
          <w:sz w:val="20"/>
          <w:szCs w:val="20"/>
        </w:rPr>
        <w:t>项 目</w:t>
        <w:tab/>
      </w: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年度</w:t>
        <w:tab/>
      </w: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年度</w:t>
      </w:r>
    </w:p>
    <w:tbl>
      <w:tblPr>
        <w:tblOverlap w:val="never"/>
        <w:jc w:val="center"/>
        <w:tblLayout w:type="fixed"/>
      </w:tblPr>
      <w:tblGrid>
        <w:gridCol w:w="3139"/>
        <w:gridCol w:w="3096"/>
        <w:gridCol w:w="3125"/>
      </w:tblGrid>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185,202.18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372,421.70</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133,798.55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282,545.05</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84,350.59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89,019.25</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158,623.99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289,318.23</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285,937.39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344,596.52</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56,253.30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78,016.00</w:t>
            </w: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b/>
                <w:bCs/>
                <w:color w:val="000000"/>
                <w:spacing w:val="0"/>
                <w:w w:val="100"/>
                <w:position w:val="0"/>
              </w:rPr>
              <w:t>904,166.00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1,455,916.75</w:t>
            </w:r>
          </w:p>
        </w:tc>
      </w:tr>
    </w:tbl>
    <w:p>
      <w:pPr>
        <w:widowControl w:val="0"/>
        <w:spacing w:after="299" w:line="1" w:lineRule="exact"/>
      </w:pPr>
    </w:p>
    <w:p>
      <w:pPr>
        <w:pStyle w:val="Style52"/>
        <w:keepNext/>
        <w:keepLines/>
        <w:widowControl w:val="0"/>
        <w:shd w:val="clear" w:color="auto" w:fill="auto"/>
        <w:bidi w:val="0"/>
        <w:spacing w:before="0" w:after="380" w:line="240" w:lineRule="auto"/>
        <w:ind w:left="0" w:right="0" w:firstLine="0"/>
        <w:jc w:val="left"/>
        <w:rPr>
          <w:sz w:val="24"/>
          <w:szCs w:val="24"/>
        </w:rPr>
      </w:pPr>
      <w:bookmarkStart w:id="1124" w:name="bookmark1124"/>
      <w:bookmarkStart w:id="1125" w:name="bookmark1125"/>
      <w:bookmarkStart w:id="1126" w:name="bookmark1126"/>
      <w:bookmarkStart w:id="1127" w:name="bookmark1127"/>
      <w:r>
        <w:rPr>
          <w:rFonts w:ascii="Times New Roman" w:eastAsia="Times New Roman" w:hAnsi="Times New Roman" w:cs="Times New Roman"/>
          <w:b w:val="0"/>
          <w:bCs w:val="0"/>
          <w:color w:val="000000"/>
          <w:spacing w:val="0"/>
          <w:w w:val="100"/>
          <w:position w:val="0"/>
          <w:sz w:val="24"/>
          <w:szCs w:val="24"/>
        </w:rPr>
        <w:t>4</w:t>
      </w:r>
      <w:bookmarkEnd w:id="1126"/>
      <w:r>
        <w:rPr>
          <w:rFonts w:ascii="Times New Roman" w:eastAsia="Times New Roman" w:hAnsi="Times New Roman" w:cs="Times New Roman"/>
          <w:b w:val="0"/>
          <w:bCs w:val="0"/>
          <w:color w:val="000000"/>
          <w:spacing w:val="0"/>
          <w:w w:val="100"/>
          <w:position w:val="0"/>
          <w:sz w:val="24"/>
          <w:szCs w:val="24"/>
        </w:rPr>
        <w:t>1</w:t>
      </w:r>
      <w:r>
        <w:rPr>
          <w:b w:val="0"/>
          <w:bCs w:val="0"/>
          <w:color w:val="000000"/>
          <w:spacing w:val="0"/>
          <w:w w:val="100"/>
          <w:position w:val="0"/>
          <w:sz w:val="24"/>
          <w:szCs w:val="24"/>
        </w:rPr>
        <w:t>、销售费用</w:t>
      </w:r>
      <w:bookmarkEnd w:id="1124"/>
      <w:bookmarkEnd w:id="1125"/>
      <w:bookmarkEnd w:id="1127"/>
    </w:p>
    <w:p>
      <w:pPr>
        <w:pStyle w:val="Style44"/>
        <w:keepNext w:val="0"/>
        <w:keepLines w:val="0"/>
        <w:widowControl w:val="0"/>
        <w:pBdr>
          <w:top w:val="single" w:sz="4" w:space="0" w:color="auto"/>
        </w:pBdr>
        <w:shd w:val="clear" w:color="auto" w:fill="auto"/>
        <w:tabs>
          <w:tab w:pos="5177" w:val="left"/>
          <w:tab w:pos="8225" w:val="left"/>
        </w:tabs>
        <w:bidi w:val="0"/>
        <w:spacing w:before="0" w:after="140" w:line="240" w:lineRule="auto"/>
        <w:ind w:left="0" w:right="0" w:firstLine="540"/>
        <w:jc w:val="left"/>
        <w:rPr>
          <w:sz w:val="20"/>
          <w:szCs w:val="20"/>
        </w:rPr>
      </w:pPr>
      <w:r>
        <w:rPr>
          <w:b/>
          <w:bCs/>
          <w:color w:val="000000"/>
          <w:spacing w:val="0"/>
          <w:w w:val="100"/>
          <w:position w:val="0"/>
          <w:sz w:val="20"/>
          <w:szCs w:val="20"/>
        </w:rPr>
        <w:t>项 目</w:t>
        <w:tab/>
      </w: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年度</w:t>
        <w:tab/>
      </w: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年度</w:t>
      </w:r>
    </w:p>
    <w:tbl>
      <w:tblPr>
        <w:tblOverlap w:val="never"/>
        <w:jc w:val="center"/>
        <w:tblLayout w:type="fixed"/>
      </w:tblPr>
      <w:tblGrid>
        <w:gridCol w:w="3240"/>
        <w:gridCol w:w="2899"/>
        <w:gridCol w:w="3077"/>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14,115,539.37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17,490,293.28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1,257,869.44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1,151,882.05</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2,564,228.91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4,369,494.64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1,034,028.21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604,649.41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市场咨询费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7,372,063.19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13,864,643.80</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2,119,772.47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2,423,345.16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运输费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5,226,740.56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差旅费及其他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2,889,118.23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4,739,943.75</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b/>
                <w:bCs/>
                <w:color w:val="000000"/>
                <w:spacing w:val="0"/>
                <w:w w:val="100"/>
                <w:position w:val="0"/>
              </w:rPr>
              <w:t>31,352,619.82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b/>
                <w:bCs/>
                <w:color w:val="000000"/>
                <w:spacing w:val="0"/>
                <w:w w:val="100"/>
                <w:position w:val="0"/>
              </w:rPr>
              <w:t>49,870,992.65</w:t>
            </w:r>
          </w:p>
        </w:tc>
      </w:tr>
    </w:tbl>
    <w:p>
      <w:pPr>
        <w:widowControl w:val="0"/>
        <w:spacing w:after="299" w:line="1" w:lineRule="exact"/>
      </w:pPr>
    </w:p>
    <w:p>
      <w:pPr>
        <w:pStyle w:val="Style52"/>
        <w:keepNext/>
        <w:keepLines/>
        <w:widowControl w:val="0"/>
        <w:shd w:val="clear" w:color="auto" w:fill="auto"/>
        <w:bidi w:val="0"/>
        <w:spacing w:before="0" w:after="380" w:line="240" w:lineRule="auto"/>
        <w:ind w:left="0" w:right="0" w:firstLine="0"/>
        <w:jc w:val="left"/>
        <w:rPr>
          <w:sz w:val="24"/>
          <w:szCs w:val="24"/>
        </w:rPr>
      </w:pPr>
      <w:bookmarkStart w:id="1128" w:name="bookmark1128"/>
      <w:bookmarkStart w:id="1129" w:name="bookmark1129"/>
      <w:bookmarkStart w:id="1130" w:name="bookmark1130"/>
      <w:bookmarkStart w:id="1131" w:name="bookmark1131"/>
      <w:r>
        <w:rPr>
          <w:rFonts w:ascii="Times New Roman" w:eastAsia="Times New Roman" w:hAnsi="Times New Roman" w:cs="Times New Roman"/>
          <w:b w:val="0"/>
          <w:bCs w:val="0"/>
          <w:color w:val="000000"/>
          <w:spacing w:val="0"/>
          <w:w w:val="100"/>
          <w:position w:val="0"/>
          <w:sz w:val="24"/>
          <w:szCs w:val="24"/>
        </w:rPr>
        <w:t>4</w:t>
      </w:r>
      <w:bookmarkEnd w:id="1130"/>
      <w:r>
        <w:rPr>
          <w:rFonts w:ascii="Times New Roman" w:eastAsia="Times New Roman" w:hAnsi="Times New Roman" w:cs="Times New Roman"/>
          <w:b w:val="0"/>
          <w:bCs w:val="0"/>
          <w:color w:val="000000"/>
          <w:spacing w:val="0"/>
          <w:w w:val="100"/>
          <w:position w:val="0"/>
          <w:sz w:val="24"/>
          <w:szCs w:val="24"/>
        </w:rPr>
        <w:t>2</w:t>
      </w:r>
      <w:r>
        <w:rPr>
          <w:b w:val="0"/>
          <w:bCs w:val="0"/>
          <w:color w:val="000000"/>
          <w:spacing w:val="0"/>
          <w:w w:val="100"/>
          <w:position w:val="0"/>
          <w:sz w:val="24"/>
          <w:szCs w:val="24"/>
        </w:rPr>
        <w:t>、管理费用</w:t>
      </w:r>
      <w:bookmarkEnd w:id="1128"/>
      <w:bookmarkEnd w:id="1129"/>
      <w:bookmarkEnd w:id="1131"/>
    </w:p>
    <w:p>
      <w:pPr>
        <w:pStyle w:val="Style44"/>
        <w:keepNext w:val="0"/>
        <w:keepLines w:val="0"/>
        <w:widowControl w:val="0"/>
        <w:pBdr>
          <w:top w:val="single" w:sz="4" w:space="0" w:color="auto"/>
        </w:pBdr>
        <w:shd w:val="clear" w:color="auto" w:fill="auto"/>
        <w:tabs>
          <w:tab w:pos="5177" w:val="left"/>
          <w:tab w:pos="8225" w:val="left"/>
        </w:tabs>
        <w:bidi w:val="0"/>
        <w:spacing w:before="0" w:after="140" w:line="240" w:lineRule="auto"/>
        <w:ind w:left="0" w:right="0" w:firstLine="540"/>
        <w:jc w:val="left"/>
        <w:rPr>
          <w:sz w:val="20"/>
          <w:szCs w:val="20"/>
        </w:rPr>
      </w:pPr>
      <w:r>
        <w:rPr>
          <w:b/>
          <w:bCs/>
          <w:color w:val="000000"/>
          <w:spacing w:val="0"/>
          <w:w w:val="100"/>
          <w:position w:val="0"/>
          <w:sz w:val="20"/>
          <w:szCs w:val="20"/>
        </w:rPr>
        <w:t>项 目</w:t>
        <w:tab/>
      </w: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年度</w:t>
        <w:tab/>
      </w: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年度</w:t>
      </w:r>
    </w:p>
    <w:tbl>
      <w:tblPr>
        <w:tblOverlap w:val="never"/>
        <w:jc w:val="center"/>
        <w:tblLayout w:type="fixed"/>
      </w:tblPr>
      <w:tblGrid>
        <w:gridCol w:w="3226"/>
        <w:gridCol w:w="2899"/>
        <w:gridCol w:w="3077"/>
      </w:tblGrid>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28,852,896.74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42,915,302.70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办公场地费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4,569,379.42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9,227,593.42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8,874,049.29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11,070,648.44</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4,087,565.06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7,054,591.53</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服务费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12,811,233.79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20,620,671.31</w:t>
            </w:r>
          </w:p>
        </w:tc>
      </w:tr>
    </w:tbl>
    <w:p>
      <w:pPr>
        <w:widowControl w:val="0"/>
        <w:spacing w:line="1" w:lineRule="exact"/>
      </w:pPr>
      <w:r>
        <w:br w:type="page"/>
      </w:r>
    </w:p>
    <w:tbl>
      <w:tblPr>
        <w:tblOverlap w:val="never"/>
        <w:jc w:val="center"/>
        <w:tblLayout w:type="fixed"/>
      </w:tblPr>
      <w:tblGrid>
        <w:gridCol w:w="3240"/>
        <w:gridCol w:w="2899"/>
        <w:gridCol w:w="3077"/>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办公费用及其他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7,466,916.49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11,359,079.38</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b/>
                <w:bCs/>
                <w:color w:val="000000"/>
                <w:spacing w:val="0"/>
                <w:w w:val="100"/>
                <w:position w:val="0"/>
              </w:rPr>
              <w:t>66,662,040.79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b/>
                <w:bCs/>
                <w:color w:val="000000"/>
                <w:spacing w:val="0"/>
                <w:w w:val="100"/>
                <w:position w:val="0"/>
              </w:rPr>
              <w:t>102,247,886.78</w:t>
            </w:r>
          </w:p>
        </w:tc>
      </w:tr>
    </w:tbl>
    <w:p>
      <w:pPr>
        <w:widowControl w:val="0"/>
        <w:spacing w:after="299" w:line="1" w:lineRule="exact"/>
      </w:pPr>
    </w:p>
    <w:p>
      <w:pPr>
        <w:pStyle w:val="Style52"/>
        <w:keepNext/>
        <w:keepLines/>
        <w:widowControl w:val="0"/>
        <w:shd w:val="clear" w:color="auto" w:fill="auto"/>
        <w:bidi w:val="0"/>
        <w:spacing w:before="0" w:after="380" w:line="240" w:lineRule="auto"/>
        <w:ind w:left="0" w:right="0" w:firstLine="0"/>
        <w:jc w:val="left"/>
        <w:rPr>
          <w:sz w:val="24"/>
          <w:szCs w:val="24"/>
        </w:rPr>
      </w:pPr>
      <w:bookmarkStart w:id="1132" w:name="bookmark1132"/>
      <w:bookmarkStart w:id="1133" w:name="bookmark1133"/>
      <w:bookmarkStart w:id="1134" w:name="bookmark1134"/>
      <w:bookmarkStart w:id="1135" w:name="bookmark1135"/>
      <w:r>
        <w:rPr>
          <w:rFonts w:ascii="Times New Roman" w:eastAsia="Times New Roman" w:hAnsi="Times New Roman" w:cs="Times New Roman"/>
          <w:b w:val="0"/>
          <w:bCs w:val="0"/>
          <w:color w:val="000000"/>
          <w:spacing w:val="0"/>
          <w:w w:val="100"/>
          <w:position w:val="0"/>
          <w:sz w:val="24"/>
          <w:szCs w:val="24"/>
        </w:rPr>
        <w:t>4</w:t>
      </w:r>
      <w:bookmarkEnd w:id="1134"/>
      <w:r>
        <w:rPr>
          <w:rFonts w:ascii="Times New Roman" w:eastAsia="Times New Roman" w:hAnsi="Times New Roman" w:cs="Times New Roman"/>
          <w:b w:val="0"/>
          <w:bCs w:val="0"/>
          <w:color w:val="000000"/>
          <w:spacing w:val="0"/>
          <w:w w:val="100"/>
          <w:position w:val="0"/>
          <w:sz w:val="24"/>
          <w:szCs w:val="24"/>
        </w:rPr>
        <w:t>3</w:t>
      </w:r>
      <w:r>
        <w:rPr>
          <w:b w:val="0"/>
          <w:bCs w:val="0"/>
          <w:color w:val="000000"/>
          <w:spacing w:val="0"/>
          <w:w w:val="100"/>
          <w:position w:val="0"/>
          <w:sz w:val="24"/>
          <w:szCs w:val="24"/>
        </w:rPr>
        <w:t>、研发费用</w:t>
      </w:r>
      <w:bookmarkEnd w:id="1132"/>
      <w:bookmarkEnd w:id="1133"/>
      <w:bookmarkEnd w:id="1135"/>
    </w:p>
    <w:p>
      <w:pPr>
        <w:pStyle w:val="Style38"/>
        <w:keepNext w:val="0"/>
        <w:keepLines w:val="0"/>
        <w:widowControl w:val="0"/>
        <w:shd w:val="clear" w:color="auto" w:fill="auto"/>
        <w:tabs>
          <w:tab w:pos="4637" w:val="left"/>
          <w:tab w:pos="7685" w:val="left"/>
        </w:tabs>
        <w:bidi w:val="0"/>
        <w:spacing w:before="0" w:after="0" w:line="240" w:lineRule="auto"/>
        <w:ind w:left="0" w:right="0" w:firstLine="0"/>
        <w:jc w:val="center"/>
        <w:rPr>
          <w:sz w:val="20"/>
          <w:szCs w:val="20"/>
        </w:rPr>
      </w:pPr>
      <w:r>
        <w:rPr>
          <w:b/>
          <w:bCs/>
          <w:color w:val="000000"/>
          <w:spacing w:val="0"/>
          <w:w w:val="100"/>
          <w:position w:val="0"/>
          <w:sz w:val="20"/>
          <w:szCs w:val="20"/>
        </w:rPr>
        <w:t>项 目</w:t>
        <w:tab/>
      </w: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年度</w:t>
        <w:tab/>
      </w: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年度</w:t>
      </w:r>
    </w:p>
    <w:tbl>
      <w:tblPr>
        <w:tblOverlap w:val="never"/>
        <w:jc w:val="center"/>
        <w:tblLayout w:type="fixed"/>
      </w:tblPr>
      <w:tblGrid>
        <w:gridCol w:w="3240"/>
        <w:gridCol w:w="2899"/>
        <w:gridCol w:w="3077"/>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68,007,164.82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69,319,781.44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办公场地费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5,165,919.32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6,388,314.84</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45,043,611.84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35,777,375.42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研发领料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1,885,593.88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5,717,496.29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专利申请维护费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1,414,420.13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1,180,563.76</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委托外部研究开发费用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4,012,270.64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7,161,649.86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检测费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3,017,325.45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1,979,421.30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3,958,563.82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4,203,578.82</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132,504,869.90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b/>
                <w:bCs/>
                <w:color w:val="000000"/>
                <w:spacing w:val="0"/>
                <w:w w:val="100"/>
                <w:position w:val="0"/>
              </w:rPr>
              <w:t>131,728,181.73</w:t>
            </w:r>
          </w:p>
        </w:tc>
      </w:tr>
    </w:tbl>
    <w:p>
      <w:pPr>
        <w:widowControl w:val="0"/>
        <w:spacing w:after="299" w:line="1" w:lineRule="exact"/>
      </w:pPr>
    </w:p>
    <w:p>
      <w:pPr>
        <w:pStyle w:val="Style52"/>
        <w:keepNext/>
        <w:keepLines/>
        <w:widowControl w:val="0"/>
        <w:shd w:val="clear" w:color="auto" w:fill="auto"/>
        <w:bidi w:val="0"/>
        <w:spacing w:before="0" w:after="380" w:line="240" w:lineRule="auto"/>
        <w:ind w:left="0" w:right="0" w:firstLine="0"/>
        <w:jc w:val="left"/>
        <w:rPr>
          <w:sz w:val="24"/>
          <w:szCs w:val="24"/>
        </w:rPr>
      </w:pPr>
      <w:bookmarkStart w:id="1136" w:name="bookmark1136"/>
      <w:bookmarkStart w:id="1137" w:name="bookmark1137"/>
      <w:bookmarkStart w:id="1138" w:name="bookmark1138"/>
      <w:bookmarkStart w:id="1139" w:name="bookmark1139"/>
      <w:r>
        <w:rPr>
          <w:rFonts w:ascii="Times New Roman" w:eastAsia="Times New Roman" w:hAnsi="Times New Roman" w:cs="Times New Roman"/>
          <w:b w:val="0"/>
          <w:bCs w:val="0"/>
          <w:color w:val="000000"/>
          <w:spacing w:val="0"/>
          <w:w w:val="100"/>
          <w:position w:val="0"/>
          <w:sz w:val="24"/>
          <w:szCs w:val="24"/>
        </w:rPr>
        <w:t>4</w:t>
      </w:r>
      <w:bookmarkEnd w:id="1138"/>
      <w:r>
        <w:rPr>
          <w:rFonts w:ascii="Times New Roman" w:eastAsia="Times New Roman" w:hAnsi="Times New Roman" w:cs="Times New Roman"/>
          <w:b w:val="0"/>
          <w:bCs w:val="0"/>
          <w:color w:val="000000"/>
          <w:spacing w:val="0"/>
          <w:w w:val="100"/>
          <w:position w:val="0"/>
          <w:sz w:val="24"/>
          <w:szCs w:val="24"/>
        </w:rPr>
        <w:t>4</w:t>
      </w:r>
      <w:r>
        <w:rPr>
          <w:b w:val="0"/>
          <w:bCs w:val="0"/>
          <w:color w:val="000000"/>
          <w:spacing w:val="0"/>
          <w:w w:val="100"/>
          <w:position w:val="0"/>
          <w:sz w:val="24"/>
          <w:szCs w:val="24"/>
        </w:rPr>
        <w:t>、财务费用</w:t>
      </w:r>
      <w:bookmarkEnd w:id="1136"/>
      <w:bookmarkEnd w:id="1137"/>
      <w:bookmarkEnd w:id="1139"/>
    </w:p>
    <w:p>
      <w:pPr>
        <w:pStyle w:val="Style44"/>
        <w:keepNext w:val="0"/>
        <w:keepLines w:val="0"/>
        <w:widowControl w:val="0"/>
        <w:pBdr>
          <w:top w:val="single" w:sz="4" w:space="0" w:color="auto"/>
        </w:pBdr>
        <w:shd w:val="clear" w:color="auto" w:fill="auto"/>
        <w:tabs>
          <w:tab w:pos="4637" w:val="left"/>
          <w:tab w:pos="7685" w:val="left"/>
        </w:tabs>
        <w:bidi w:val="0"/>
        <w:spacing w:before="0" w:after="140" w:line="240" w:lineRule="auto"/>
        <w:ind w:left="0" w:right="0" w:firstLine="0"/>
        <w:jc w:val="center"/>
        <w:rPr>
          <w:sz w:val="20"/>
          <w:szCs w:val="20"/>
        </w:rPr>
      </w:pPr>
      <w:r>
        <w:rPr>
          <w:b/>
          <w:bCs/>
          <w:color w:val="000000"/>
          <w:spacing w:val="0"/>
          <w:w w:val="100"/>
          <w:position w:val="0"/>
          <w:sz w:val="20"/>
          <w:szCs w:val="20"/>
        </w:rPr>
        <w:t>项 目</w:t>
        <w:tab/>
      </w: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年度</w:t>
        <w:tab/>
      </w: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年度</w:t>
      </w:r>
    </w:p>
    <w:tbl>
      <w:tblPr>
        <w:tblOverlap w:val="never"/>
        <w:jc w:val="center"/>
        <w:tblLayout w:type="fixed"/>
      </w:tblPr>
      <w:tblGrid>
        <w:gridCol w:w="3240"/>
        <w:gridCol w:w="2899"/>
        <w:gridCol w:w="3077"/>
      </w:tblGrid>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41,763,303.96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31,212,995.39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2,013,984.26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5,998,181.86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-854,618.51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-920,859.74</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181,885.77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222,337.18</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b/>
                <w:bCs/>
                <w:color w:val="000000"/>
                <w:spacing w:val="0"/>
                <w:w w:val="100"/>
                <w:position w:val="0"/>
              </w:rPr>
              <w:t>39,076,586.96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b/>
                <w:bCs/>
                <w:color w:val="000000"/>
                <w:spacing w:val="0"/>
                <w:w w:val="100"/>
                <w:position w:val="0"/>
              </w:rPr>
              <w:t>24,516,290.97</w:t>
            </w:r>
          </w:p>
        </w:tc>
      </w:tr>
    </w:tbl>
    <w:p>
      <w:pPr>
        <w:widowControl w:val="0"/>
        <w:spacing w:after="299" w:line="1" w:lineRule="exact"/>
      </w:pPr>
    </w:p>
    <w:p>
      <w:pPr>
        <w:pStyle w:val="Style52"/>
        <w:keepNext/>
        <w:keepLines/>
        <w:widowControl w:val="0"/>
        <w:shd w:val="clear" w:color="auto" w:fill="auto"/>
        <w:bidi w:val="0"/>
        <w:spacing w:before="0" w:after="380" w:line="240" w:lineRule="auto"/>
        <w:ind w:left="0" w:right="0" w:firstLine="0"/>
        <w:jc w:val="left"/>
        <w:rPr>
          <w:sz w:val="24"/>
          <w:szCs w:val="24"/>
        </w:rPr>
      </w:pPr>
      <w:bookmarkStart w:id="1140" w:name="bookmark1140"/>
      <w:bookmarkStart w:id="1141" w:name="bookmark1141"/>
      <w:bookmarkStart w:id="1142" w:name="bookmark1142"/>
      <w:bookmarkStart w:id="1143" w:name="bookmark1143"/>
      <w:r>
        <w:rPr>
          <w:rFonts w:ascii="Times New Roman" w:eastAsia="Times New Roman" w:hAnsi="Times New Roman" w:cs="Times New Roman"/>
          <w:b w:val="0"/>
          <w:bCs w:val="0"/>
          <w:color w:val="000000"/>
          <w:spacing w:val="0"/>
          <w:w w:val="100"/>
          <w:position w:val="0"/>
          <w:sz w:val="24"/>
          <w:szCs w:val="24"/>
        </w:rPr>
        <w:t>4</w:t>
      </w:r>
      <w:bookmarkEnd w:id="1142"/>
      <w:r>
        <w:rPr>
          <w:rFonts w:ascii="Times New Roman" w:eastAsia="Times New Roman" w:hAnsi="Times New Roman" w:cs="Times New Roman"/>
          <w:b w:val="0"/>
          <w:bCs w:val="0"/>
          <w:color w:val="000000"/>
          <w:spacing w:val="0"/>
          <w:w w:val="100"/>
          <w:position w:val="0"/>
          <w:sz w:val="24"/>
          <w:szCs w:val="24"/>
        </w:rPr>
        <w:t>5</w:t>
      </w:r>
      <w:r>
        <w:rPr>
          <w:b w:val="0"/>
          <w:bCs w:val="0"/>
          <w:color w:val="000000"/>
          <w:spacing w:val="0"/>
          <w:w w:val="100"/>
          <w:position w:val="0"/>
          <w:sz w:val="24"/>
          <w:szCs w:val="24"/>
        </w:rPr>
        <w:t>、其他收益</w:t>
      </w:r>
      <w:bookmarkEnd w:id="1140"/>
      <w:bookmarkEnd w:id="1141"/>
      <w:bookmarkEnd w:id="1143"/>
    </w:p>
    <w:p>
      <w:pPr>
        <w:pStyle w:val="Style38"/>
        <w:keepNext w:val="0"/>
        <w:keepLines w:val="0"/>
        <w:widowControl w:val="0"/>
        <w:shd w:val="clear" w:color="auto" w:fill="auto"/>
        <w:tabs>
          <w:tab w:pos="4637" w:val="left"/>
          <w:tab w:pos="7757" w:val="left"/>
        </w:tabs>
        <w:bidi w:val="0"/>
        <w:spacing w:before="0" w:after="0" w:line="240" w:lineRule="auto"/>
        <w:ind w:left="0" w:right="0" w:firstLine="0"/>
        <w:jc w:val="center"/>
        <w:rPr>
          <w:sz w:val="20"/>
          <w:szCs w:val="20"/>
        </w:rPr>
      </w:pPr>
      <w:r>
        <w:rPr>
          <w:b/>
          <w:bCs/>
          <w:color w:val="000000"/>
          <w:spacing w:val="0"/>
          <w:w w:val="100"/>
          <w:position w:val="0"/>
          <w:sz w:val="20"/>
          <w:szCs w:val="20"/>
        </w:rPr>
        <w:t>项目</w:t>
        <w:tab/>
      </w: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年度</w:t>
        <w:tab/>
      </w: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年度</w:t>
      </w:r>
    </w:p>
    <w:tbl>
      <w:tblPr>
        <w:tblOverlap w:val="never"/>
        <w:jc w:val="center"/>
        <w:tblLayout w:type="fixed"/>
      </w:tblPr>
      <w:tblGrid>
        <w:gridCol w:w="3298"/>
        <w:gridCol w:w="2832"/>
        <w:gridCol w:w="3149"/>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27,372,665.69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39,602,386.81</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1,507,360.78</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b/>
                <w:bCs/>
                <w:color w:val="000000"/>
                <w:spacing w:val="0"/>
                <w:w w:val="100"/>
                <w:position w:val="0"/>
              </w:rPr>
              <w:t>28,880,026.47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b/>
                <w:bCs/>
                <w:color w:val="000000"/>
                <w:spacing w:val="0"/>
                <w:w w:val="100"/>
                <w:position w:val="0"/>
              </w:rPr>
              <w:t>39,602,386.81</w:t>
            </w:r>
          </w:p>
        </w:tc>
      </w:tr>
    </w:tbl>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计入当期其他收益的政府补助:</w:t>
      </w:r>
      <w:r>
        <w:br w:type="page"/>
      </w:r>
    </w:p>
    <w:p>
      <w:pPr>
        <w:pStyle w:val="Style44"/>
        <w:keepNext w:val="0"/>
        <w:keepLines w:val="0"/>
        <w:widowControl w:val="0"/>
        <w:shd w:val="clear" w:color="auto" w:fill="auto"/>
        <w:bidi w:val="0"/>
        <w:spacing w:before="0" w:after="400" w:line="240" w:lineRule="auto"/>
        <w:ind w:left="0" w:right="0" w:firstLine="600"/>
        <w:jc w:val="left"/>
        <w:rPr>
          <w:sz w:val="20"/>
          <w:szCs w:val="20"/>
        </w:rPr>
      </w:pPr>
      <w:r>
        <w:rPr>
          <w:color w:val="000000"/>
          <w:spacing w:val="0"/>
          <w:w w:val="100"/>
          <w:position w:val="0"/>
          <w:sz w:val="20"/>
          <w:szCs w:val="20"/>
        </w:rPr>
        <w:t>明细见附注五、</w:t>
      </w:r>
      <w:r>
        <w:rPr>
          <w:rFonts w:ascii="Times New Roman" w:eastAsia="Times New Roman" w:hAnsi="Times New Roman" w:cs="Times New Roman"/>
          <w:color w:val="000000"/>
          <w:spacing w:val="0"/>
          <w:w w:val="100"/>
          <w:position w:val="0"/>
          <w:sz w:val="22"/>
          <w:szCs w:val="22"/>
        </w:rPr>
        <w:t>58</w:t>
      </w:r>
      <w:r>
        <w:rPr>
          <w:color w:val="000000"/>
          <w:spacing w:val="0"/>
          <w:w w:val="100"/>
          <w:position w:val="0"/>
          <w:sz w:val="20"/>
          <w:szCs w:val="20"/>
        </w:rPr>
        <w:t>政府补助（</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）计入当期损益的政府补助情况。</w:t>
      </w:r>
    </w:p>
    <w:p>
      <w:pPr>
        <w:pStyle w:val="Style52"/>
        <w:keepNext/>
        <w:keepLines/>
        <w:widowControl w:val="0"/>
        <w:shd w:val="clear" w:color="auto" w:fill="auto"/>
        <w:bidi w:val="0"/>
        <w:spacing w:before="0" w:line="240" w:lineRule="auto"/>
        <w:ind w:left="0" w:right="0" w:firstLine="0"/>
        <w:jc w:val="left"/>
        <w:rPr>
          <w:sz w:val="24"/>
          <w:szCs w:val="24"/>
        </w:rPr>
      </w:pPr>
      <w:bookmarkStart w:id="1144" w:name="bookmark1144"/>
      <w:bookmarkStart w:id="1145" w:name="bookmark1145"/>
      <w:bookmarkStart w:id="1146" w:name="bookmark1146"/>
      <w:bookmarkStart w:id="1147" w:name="bookmark1147"/>
      <w:r>
        <w:rPr>
          <w:rFonts w:ascii="Times New Roman" w:eastAsia="Times New Roman" w:hAnsi="Times New Roman" w:cs="Times New Roman"/>
          <w:b w:val="0"/>
          <w:bCs w:val="0"/>
          <w:color w:val="000000"/>
          <w:spacing w:val="0"/>
          <w:w w:val="100"/>
          <w:position w:val="0"/>
          <w:sz w:val="24"/>
          <w:szCs w:val="24"/>
        </w:rPr>
        <w:t>4</w:t>
      </w:r>
      <w:bookmarkEnd w:id="1146"/>
      <w:r>
        <w:rPr>
          <w:rFonts w:ascii="Times New Roman" w:eastAsia="Times New Roman" w:hAnsi="Times New Roman" w:cs="Times New Roman"/>
          <w:b w:val="0"/>
          <w:bCs w:val="0"/>
          <w:color w:val="000000"/>
          <w:spacing w:val="0"/>
          <w:w w:val="100"/>
          <w:position w:val="0"/>
          <w:sz w:val="24"/>
          <w:szCs w:val="24"/>
        </w:rPr>
        <w:t>6</w:t>
      </w:r>
      <w:r>
        <w:rPr>
          <w:b w:val="0"/>
          <w:bCs w:val="0"/>
          <w:color w:val="000000"/>
          <w:spacing w:val="0"/>
          <w:w w:val="100"/>
          <w:position w:val="0"/>
          <w:sz w:val="24"/>
          <w:szCs w:val="24"/>
        </w:rPr>
        <w:t>、投资收益</w:t>
      </w:r>
      <w:bookmarkEnd w:id="1144"/>
      <w:bookmarkEnd w:id="1145"/>
      <w:bookmarkEnd w:id="1147"/>
    </w:p>
    <w:tbl>
      <w:tblPr>
        <w:tblOverlap w:val="never"/>
        <w:jc w:val="center"/>
        <w:tblLayout w:type="fixed"/>
      </w:tblPr>
      <w:tblGrid>
        <w:gridCol w:w="4728"/>
        <w:gridCol w:w="2290"/>
        <w:gridCol w:w="2328"/>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20"/>
                <w:szCs w:val="20"/>
              </w:rPr>
            </w:pP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年度</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-9,994,213.49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-21,869,591.61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理财产品投资收益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325,065.74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1,973,874.44</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b/>
                <w:bCs/>
                <w:color w:val="000000"/>
                <w:spacing w:val="0"/>
                <w:w w:val="100"/>
                <w:position w:val="0"/>
              </w:rPr>
              <w:t>-9,669,147.75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b/>
                <w:bCs/>
                <w:color w:val="000000"/>
                <w:spacing w:val="0"/>
                <w:w w:val="100"/>
                <w:position w:val="0"/>
              </w:rPr>
              <w:t>-19,895,717.17</w:t>
            </w:r>
          </w:p>
        </w:tc>
      </w:tr>
    </w:tbl>
    <w:p>
      <w:pPr>
        <w:widowControl w:val="0"/>
        <w:spacing w:after="299" w:line="1" w:lineRule="exact"/>
      </w:pPr>
    </w:p>
    <w:p>
      <w:pPr>
        <w:pStyle w:val="Style52"/>
        <w:keepNext/>
        <w:keepLines/>
        <w:widowControl w:val="0"/>
        <w:shd w:val="clear" w:color="auto" w:fill="auto"/>
        <w:bidi w:val="0"/>
        <w:spacing w:before="0" w:after="400" w:line="240" w:lineRule="auto"/>
        <w:ind w:left="0" w:right="0" w:firstLine="0"/>
        <w:jc w:val="left"/>
        <w:rPr>
          <w:sz w:val="24"/>
          <w:szCs w:val="24"/>
        </w:rPr>
      </w:pPr>
      <w:bookmarkStart w:id="1148" w:name="bookmark1148"/>
      <w:bookmarkStart w:id="1149" w:name="bookmark1149"/>
      <w:bookmarkStart w:id="1150" w:name="bookmark1150"/>
      <w:bookmarkStart w:id="1151" w:name="bookmark1151"/>
      <w:r>
        <w:rPr>
          <w:rFonts w:ascii="Times New Roman" w:eastAsia="Times New Roman" w:hAnsi="Times New Roman" w:cs="Times New Roman"/>
          <w:b w:val="0"/>
          <w:bCs w:val="0"/>
          <w:color w:val="000000"/>
          <w:spacing w:val="0"/>
          <w:w w:val="100"/>
          <w:position w:val="0"/>
          <w:sz w:val="24"/>
          <w:szCs w:val="24"/>
        </w:rPr>
        <w:t>4</w:t>
      </w:r>
      <w:bookmarkEnd w:id="1150"/>
      <w:r>
        <w:rPr>
          <w:rFonts w:ascii="Times New Roman" w:eastAsia="Times New Roman" w:hAnsi="Times New Roman" w:cs="Times New Roman"/>
          <w:b w:val="0"/>
          <w:bCs w:val="0"/>
          <w:color w:val="000000"/>
          <w:spacing w:val="0"/>
          <w:w w:val="100"/>
          <w:position w:val="0"/>
          <w:sz w:val="24"/>
          <w:szCs w:val="24"/>
        </w:rPr>
        <w:t>7</w:t>
      </w:r>
      <w:r>
        <w:rPr>
          <w:b w:val="0"/>
          <w:bCs w:val="0"/>
          <w:color w:val="000000"/>
          <w:spacing w:val="0"/>
          <w:w w:val="100"/>
          <w:position w:val="0"/>
          <w:sz w:val="24"/>
          <w:szCs w:val="24"/>
        </w:rPr>
        <w:t>、公允价值变动损益</w:t>
      </w:r>
      <w:bookmarkEnd w:id="1148"/>
      <w:bookmarkEnd w:id="1149"/>
      <w:bookmarkEnd w:id="1151"/>
    </w:p>
    <w:p>
      <w:pPr>
        <w:pStyle w:val="Style38"/>
        <w:keepNext w:val="0"/>
        <w:keepLines w:val="0"/>
        <w:widowControl w:val="0"/>
        <w:shd w:val="clear" w:color="auto" w:fill="auto"/>
        <w:tabs>
          <w:tab w:pos="5938" w:val="left"/>
          <w:tab w:pos="7690" w:val="left"/>
        </w:tabs>
        <w:bidi w:val="0"/>
        <w:spacing w:before="0" w:after="0" w:line="240" w:lineRule="auto"/>
        <w:ind w:left="0" w:right="0" w:firstLine="0"/>
        <w:jc w:val="center"/>
        <w:rPr>
          <w:sz w:val="20"/>
          <w:szCs w:val="20"/>
        </w:rPr>
      </w:pPr>
      <w:r>
        <w:rPr>
          <w:b/>
          <w:bCs/>
          <w:color w:val="000000"/>
          <w:spacing w:val="0"/>
          <w:w w:val="100"/>
          <w:position w:val="0"/>
          <w:sz w:val="20"/>
          <w:szCs w:val="20"/>
        </w:rPr>
        <w:t>产生公允价值变动收益的来源</w:t>
        <w:tab/>
      </w: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年度</w:t>
        <w:tab/>
      </w: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年度</w:t>
      </w:r>
    </w:p>
    <w:tbl>
      <w:tblPr>
        <w:tblOverlap w:val="never"/>
        <w:jc w:val="center"/>
        <w:tblLayout w:type="fixed"/>
      </w:tblPr>
      <w:tblGrid>
        <w:gridCol w:w="5563"/>
        <w:gridCol w:w="1886"/>
        <w:gridCol w:w="1766"/>
      </w:tblGrid>
      <w:tr>
        <w:trPr>
          <w:trHeight w:val="72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78" w:lineRule="exact"/>
              <w:ind w:left="400" w:right="0" w:firstLine="0"/>
              <w:jc w:val="left"/>
              <w:rPr>
                <w:sz w:val="20"/>
                <w:szCs w:val="20"/>
              </w:rPr>
            </w:pPr>
            <w:r>
              <w:rPr>
                <w:color w:val="000000"/>
                <w:spacing w:val="0"/>
                <w:w w:val="100"/>
                <w:position w:val="0"/>
                <w:sz w:val="20"/>
                <w:szCs w:val="20"/>
              </w:rPr>
              <w:t>以公允价值计量且其变动计入当期损益的金融资产产 生的公允价值变动损益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21,082,447.88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-79,448,729.16</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以公允价值计量且其变动计入当期损益的金融负债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-5,700,876.40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投资性房地产产生的公允价值变动损益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-2,632,342.00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-622,073.00</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bCs/>
                <w:color w:val="000000"/>
                <w:spacing w:val="0"/>
                <w:w w:val="100"/>
                <w:position w:val="0"/>
              </w:rPr>
              <w:t>12,749,229.48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bCs/>
                <w:color w:val="000000"/>
                <w:spacing w:val="0"/>
                <w:w w:val="100"/>
                <w:position w:val="0"/>
              </w:rPr>
              <w:t>-80,070,802.16</w:t>
            </w:r>
          </w:p>
        </w:tc>
      </w:tr>
    </w:tbl>
    <w:p>
      <w:pPr>
        <w:widowControl w:val="0"/>
        <w:spacing w:after="299" w:line="1" w:lineRule="exact"/>
      </w:pPr>
    </w:p>
    <w:p>
      <w:pPr>
        <w:pStyle w:val="Style52"/>
        <w:keepNext/>
        <w:keepLines/>
        <w:widowControl w:val="0"/>
        <w:shd w:val="clear" w:color="auto" w:fill="auto"/>
        <w:bidi w:val="0"/>
        <w:spacing w:before="0" w:line="240" w:lineRule="auto"/>
        <w:ind w:left="0" w:right="0" w:firstLine="0"/>
        <w:jc w:val="left"/>
        <w:rPr>
          <w:sz w:val="24"/>
          <w:szCs w:val="24"/>
        </w:rPr>
      </w:pPr>
      <w:bookmarkStart w:id="1152" w:name="bookmark1152"/>
      <w:bookmarkStart w:id="1153" w:name="bookmark1153"/>
      <w:bookmarkStart w:id="1154" w:name="bookmark1154"/>
      <w:bookmarkStart w:id="1155" w:name="bookmark1155"/>
      <w:r>
        <w:rPr>
          <w:rFonts w:ascii="Times New Roman" w:eastAsia="Times New Roman" w:hAnsi="Times New Roman" w:cs="Times New Roman"/>
          <w:b w:val="0"/>
          <w:bCs w:val="0"/>
          <w:color w:val="000000"/>
          <w:spacing w:val="0"/>
          <w:w w:val="100"/>
          <w:position w:val="0"/>
          <w:sz w:val="24"/>
          <w:szCs w:val="24"/>
        </w:rPr>
        <w:t>4</w:t>
      </w:r>
      <w:bookmarkEnd w:id="1154"/>
      <w:r>
        <w:rPr>
          <w:rFonts w:ascii="Times New Roman" w:eastAsia="Times New Roman" w:hAnsi="Times New Roman" w:cs="Times New Roman"/>
          <w:b w:val="0"/>
          <w:bCs w:val="0"/>
          <w:color w:val="000000"/>
          <w:spacing w:val="0"/>
          <w:w w:val="100"/>
          <w:position w:val="0"/>
          <w:sz w:val="24"/>
          <w:szCs w:val="24"/>
        </w:rPr>
        <w:t>8</w:t>
      </w:r>
      <w:r>
        <w:rPr>
          <w:b w:val="0"/>
          <w:bCs w:val="0"/>
          <w:color w:val="000000"/>
          <w:spacing w:val="0"/>
          <w:w w:val="100"/>
          <w:position w:val="0"/>
          <w:sz w:val="24"/>
          <w:szCs w:val="24"/>
        </w:rPr>
        <w:t>、信用减值损失</w:t>
      </w:r>
      <w:bookmarkEnd w:id="1152"/>
      <w:bookmarkEnd w:id="1153"/>
      <w:bookmarkEnd w:id="1155"/>
    </w:p>
    <w:tbl>
      <w:tblPr>
        <w:tblOverlap w:val="never"/>
        <w:jc w:val="center"/>
        <w:tblLayout w:type="fixed"/>
      </w:tblPr>
      <w:tblGrid>
        <w:gridCol w:w="3595"/>
        <w:gridCol w:w="2832"/>
        <w:gridCol w:w="2678"/>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年度</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应收票据信用减值损失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-99,939.96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58,262.78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应收账款信用减值损失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29,278,685.14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-33,273,390.65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其他应收款信用减值损失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3,381,726.86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-7,171,003.36</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b/>
                <w:bCs/>
                <w:color w:val="000000"/>
                <w:spacing w:val="0"/>
                <w:w w:val="100"/>
                <w:position w:val="0"/>
              </w:rPr>
              <w:t>32,560,472.04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b/>
                <w:bCs/>
                <w:color w:val="000000"/>
                <w:spacing w:val="0"/>
                <w:w w:val="100"/>
                <w:position w:val="0"/>
              </w:rPr>
              <w:t>-40,386,131.23</w:t>
            </w:r>
          </w:p>
        </w:tc>
      </w:tr>
    </w:tbl>
    <w:p>
      <w:pPr>
        <w:widowControl w:val="0"/>
        <w:spacing w:after="299" w:line="1" w:lineRule="exact"/>
      </w:pPr>
    </w:p>
    <w:p>
      <w:pPr>
        <w:pStyle w:val="Style52"/>
        <w:keepNext/>
        <w:keepLines/>
        <w:widowControl w:val="0"/>
        <w:shd w:val="clear" w:color="auto" w:fill="auto"/>
        <w:bidi w:val="0"/>
        <w:spacing w:before="0" w:after="400" w:line="240" w:lineRule="auto"/>
        <w:ind w:left="0" w:right="0" w:firstLine="0"/>
        <w:jc w:val="left"/>
        <w:rPr>
          <w:sz w:val="24"/>
          <w:szCs w:val="24"/>
        </w:rPr>
      </w:pPr>
      <w:bookmarkStart w:id="1156" w:name="bookmark1156"/>
      <w:bookmarkStart w:id="1157" w:name="bookmark1157"/>
      <w:bookmarkStart w:id="1158" w:name="bookmark1158"/>
      <w:bookmarkStart w:id="1159" w:name="bookmark1159"/>
      <w:r>
        <w:rPr>
          <w:rFonts w:ascii="Times New Roman" w:eastAsia="Times New Roman" w:hAnsi="Times New Roman" w:cs="Times New Roman"/>
          <w:b w:val="0"/>
          <w:bCs w:val="0"/>
          <w:color w:val="000000"/>
          <w:spacing w:val="0"/>
          <w:w w:val="100"/>
          <w:position w:val="0"/>
          <w:sz w:val="24"/>
          <w:szCs w:val="24"/>
        </w:rPr>
        <w:t>4</w:t>
      </w:r>
      <w:bookmarkEnd w:id="1158"/>
      <w:r>
        <w:rPr>
          <w:rFonts w:ascii="Times New Roman" w:eastAsia="Times New Roman" w:hAnsi="Times New Roman" w:cs="Times New Roman"/>
          <w:b w:val="0"/>
          <w:bCs w:val="0"/>
          <w:color w:val="000000"/>
          <w:spacing w:val="0"/>
          <w:w w:val="100"/>
          <w:position w:val="0"/>
          <w:sz w:val="24"/>
          <w:szCs w:val="24"/>
        </w:rPr>
        <w:t>9</w:t>
      </w:r>
      <w:r>
        <w:rPr>
          <w:b w:val="0"/>
          <w:bCs w:val="0"/>
          <w:color w:val="000000"/>
          <w:spacing w:val="0"/>
          <w:w w:val="100"/>
          <w:position w:val="0"/>
          <w:sz w:val="24"/>
          <w:szCs w:val="24"/>
        </w:rPr>
        <w:t>、资产减值损失</w:t>
      </w:r>
      <w:bookmarkEnd w:id="1156"/>
      <w:bookmarkEnd w:id="1157"/>
      <w:bookmarkEnd w:id="1159"/>
    </w:p>
    <w:p>
      <w:pPr>
        <w:pStyle w:val="Style38"/>
        <w:keepNext w:val="0"/>
        <w:keepLines w:val="0"/>
        <w:widowControl w:val="0"/>
        <w:shd w:val="clear" w:color="auto" w:fill="auto"/>
        <w:tabs>
          <w:tab w:pos="4862" w:val="left"/>
          <w:tab w:pos="7646" w:val="left"/>
        </w:tabs>
        <w:bidi w:val="0"/>
        <w:spacing w:before="0" w:after="0" w:line="240" w:lineRule="auto"/>
        <w:ind w:left="0" w:right="0" w:firstLine="0"/>
        <w:jc w:val="center"/>
        <w:rPr>
          <w:sz w:val="20"/>
          <w:szCs w:val="20"/>
        </w:rPr>
      </w:pPr>
      <w:r>
        <w:rPr>
          <w:b/>
          <w:bCs/>
          <w:color w:val="000000"/>
          <w:spacing w:val="0"/>
          <w:w w:val="100"/>
          <w:position w:val="0"/>
          <w:sz w:val="20"/>
          <w:szCs w:val="20"/>
        </w:rPr>
        <w:t>项目</w:t>
        <w:tab/>
      </w: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年度</w:t>
        <w:tab/>
      </w: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年度</w:t>
      </w:r>
    </w:p>
    <w:tbl>
      <w:tblPr>
        <w:tblOverlap w:val="never"/>
        <w:jc w:val="center"/>
        <w:tblLayout w:type="fixed"/>
      </w:tblPr>
      <w:tblGrid>
        <w:gridCol w:w="3590"/>
        <w:gridCol w:w="2837"/>
        <w:gridCol w:w="2842"/>
      </w:tblGrid>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存货跌价损失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-25,396,965.73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-37,053,804.27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固定资产减值损失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-615,342.96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-4,270,109.48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无形资产减值损失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-429,245.17</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-7,722,065.65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-205,097,987.14</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b/>
                <w:bCs/>
                <w:color w:val="000000"/>
                <w:spacing w:val="0"/>
                <w:w w:val="100"/>
                <w:position w:val="0"/>
              </w:rPr>
              <w:t>-34,163,619.51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b/>
                <w:bCs/>
                <w:color w:val="000000"/>
                <w:spacing w:val="0"/>
                <w:w w:val="100"/>
                <w:position w:val="0"/>
              </w:rPr>
              <w:t>-246,421,900.89</w:t>
            </w:r>
          </w:p>
        </w:tc>
      </w:tr>
    </w:tbl>
    <w:p>
      <w:pPr>
        <w:sectPr>
          <w:headerReference w:type="default" r:id="rId141"/>
          <w:footerReference w:type="default" r:id="rId142"/>
          <w:headerReference w:type="even" r:id="rId143"/>
          <w:footerReference w:type="even" r:id="rId144"/>
          <w:headerReference w:type="first" r:id="rId145"/>
          <w:footerReference w:type="first" r:id="rId146"/>
          <w:footnotePr>
            <w:pos w:val="pageBottom"/>
            <w:numFmt w:val="decimal"/>
            <w:numRestart w:val="continuous"/>
          </w:footnotePr>
          <w:pgSz w:w="11900" w:h="16840"/>
          <w:pgMar w:top="1136" w:right="885" w:bottom="1275" w:left="801" w:header="0" w:footer="3" w:gutter="0"/>
          <w:cols w:space="720"/>
          <w:noEndnote/>
          <w:titlePg/>
          <w:rtlGutter w:val="0"/>
          <w:docGrid w:linePitch="360"/>
        </w:sectPr>
      </w:pPr>
    </w:p>
    <w:p>
      <w:pPr>
        <w:pStyle w:val="Style52"/>
        <w:keepNext/>
        <w:keepLines/>
        <w:widowControl w:val="0"/>
        <w:shd w:val="clear" w:color="auto" w:fill="auto"/>
        <w:bidi w:val="0"/>
        <w:spacing w:before="0" w:after="540" w:line="240" w:lineRule="auto"/>
        <w:ind w:left="0" w:right="0" w:firstLine="0"/>
        <w:jc w:val="left"/>
        <w:rPr>
          <w:sz w:val="24"/>
          <w:szCs w:val="24"/>
        </w:rPr>
      </w:pPr>
      <w:r>
        <mc:AlternateContent>
          <mc:Choice Requires="wps">
            <w:drawing>
              <wp:anchor distT="0" distB="0" distL="0" distR="0" simplePos="0" relativeHeight="125829454" behindDoc="0" locked="0" layoutInCell="1" allowOverlap="1">
                <wp:simplePos x="0" y="0"/>
                <wp:positionH relativeFrom="page">
                  <wp:posOffset>4631055</wp:posOffset>
                </wp:positionH>
                <wp:positionV relativeFrom="paragraph">
                  <wp:posOffset>444500</wp:posOffset>
                </wp:positionV>
                <wp:extent cx="2167255" cy="393065"/>
                <wp:wrapSquare wrapText="bothSides"/>
                <wp:docPr id="412" name="Shape 412"/>
                <a:graphic xmlns:a="http://schemas.openxmlformats.org/drawingml/2006/main">
                  <a:graphicData uri="http://schemas.microsoft.com/office/word/2010/wordprocessingShape">
                    <wps:wsp>
                      <wps:cNvSpPr txBox="1"/>
                      <wps:spPr>
                        <a:xfrm>
                          <a:ext cx="2167255" cy="39306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计入当期非经常性损益</w:t>
                            </w:r>
                          </w:p>
                          <w:p>
                            <w:pPr>
                              <w:pStyle w:val="Style44"/>
                              <w:keepNext w:val="0"/>
                              <w:keepLines w:val="0"/>
                              <w:widowControl w:val="0"/>
                              <w:shd w:val="clear" w:color="auto" w:fill="auto"/>
                              <w:tabs>
                                <w:tab w:pos="1944" w:val="left"/>
                              </w:tabs>
                              <w:bidi w:val="0"/>
                              <w:spacing w:before="0" w:after="0" w:line="182" w:lineRule="auto"/>
                              <w:ind w:left="0" w:right="0" w:firstLine="0"/>
                              <w:jc w:val="left"/>
                              <w:rPr>
                                <w:sz w:val="20"/>
                                <w:szCs w:val="20"/>
                              </w:rPr>
                            </w:pPr>
                            <w:r>
                              <w:rPr>
                                <w:rFonts w:ascii="Times New Roman" w:eastAsia="Times New Roman" w:hAnsi="Times New Roman" w:cs="Times New Roman"/>
                                <w:b/>
                                <w:bCs/>
                                <w:color w:val="000000"/>
                                <w:spacing w:val="0"/>
                                <w:w w:val="100"/>
                                <w:position w:val="0"/>
                                <w:sz w:val="36"/>
                                <w:szCs w:val="36"/>
                                <w:vertAlign w:val="superscript"/>
                              </w:rPr>
                              <w:t>2019</w:t>
                            </w:r>
                            <w:r>
                              <w:rPr>
                                <w:b/>
                                <w:bCs/>
                                <w:color w:val="000000"/>
                                <w:spacing w:val="0"/>
                                <w:w w:val="100"/>
                                <w:position w:val="0"/>
                                <w:sz w:val="20"/>
                                <w:szCs w:val="20"/>
                              </w:rPr>
                              <w:t>年度</w:t>
                              <w:tab/>
                              <w:t>的金额</w:t>
                            </w:r>
                          </w:p>
                        </w:txbxContent>
                      </wps:txbx>
                      <wps:bodyPr lIns="0" tIns="0" rIns="0" bIns="0">
                        <a:noAutoFit/>
                      </wps:bodyPr>
                    </wps:wsp>
                  </a:graphicData>
                </a:graphic>
              </wp:anchor>
            </w:drawing>
          </mc:Choice>
          <mc:Fallback>
            <w:pict>
              <v:shape id="_x0000_s1438" type="#_x0000_t202" style="position:absolute;margin-left:364.65000000000003pt;margin-top:35.pt;width:170.65000000000001pt;height:30.949999999999999pt;z-index:-125829299;mso-wrap-distance-left:0;mso-wrap-distance-right:0;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计入当期非经常性损益</w:t>
                      </w:r>
                    </w:p>
                    <w:p>
                      <w:pPr>
                        <w:pStyle w:val="Style44"/>
                        <w:keepNext w:val="0"/>
                        <w:keepLines w:val="0"/>
                        <w:widowControl w:val="0"/>
                        <w:shd w:val="clear" w:color="auto" w:fill="auto"/>
                        <w:tabs>
                          <w:tab w:pos="1944" w:val="left"/>
                        </w:tabs>
                        <w:bidi w:val="0"/>
                        <w:spacing w:before="0" w:after="0" w:line="182" w:lineRule="auto"/>
                        <w:ind w:left="0" w:right="0" w:firstLine="0"/>
                        <w:jc w:val="left"/>
                        <w:rPr>
                          <w:sz w:val="20"/>
                          <w:szCs w:val="20"/>
                        </w:rPr>
                      </w:pPr>
                      <w:r>
                        <w:rPr>
                          <w:rFonts w:ascii="Times New Roman" w:eastAsia="Times New Roman" w:hAnsi="Times New Roman" w:cs="Times New Roman"/>
                          <w:b/>
                          <w:bCs/>
                          <w:color w:val="000000"/>
                          <w:spacing w:val="0"/>
                          <w:w w:val="100"/>
                          <w:position w:val="0"/>
                          <w:sz w:val="36"/>
                          <w:szCs w:val="36"/>
                          <w:vertAlign w:val="superscript"/>
                        </w:rPr>
                        <w:t>2019</w:t>
                      </w:r>
                      <w:r>
                        <w:rPr>
                          <w:b/>
                          <w:bCs/>
                          <w:color w:val="000000"/>
                          <w:spacing w:val="0"/>
                          <w:w w:val="100"/>
                          <w:position w:val="0"/>
                          <w:sz w:val="20"/>
                          <w:szCs w:val="20"/>
                        </w:rPr>
                        <w:t>年度</w:t>
                        <w:tab/>
                        <w:t>的金额</w:t>
                      </w:r>
                    </w:p>
                  </w:txbxContent>
                </v:textbox>
                <w10:wrap type="square" anchorx="page"/>
              </v:shape>
            </w:pict>
          </mc:Fallback>
        </mc:AlternateContent>
      </w:r>
      <w:bookmarkStart w:id="1160" w:name="bookmark1160"/>
      <w:bookmarkStart w:id="1161" w:name="bookmark1161"/>
      <w:bookmarkStart w:id="1162" w:name="bookmark1162"/>
      <w:bookmarkStart w:id="1163" w:name="bookmark1163"/>
      <w:r>
        <w:rPr>
          <w:rFonts w:ascii="Times New Roman" w:eastAsia="Times New Roman" w:hAnsi="Times New Roman" w:cs="Times New Roman"/>
          <w:b w:val="0"/>
          <w:bCs w:val="0"/>
          <w:color w:val="000000"/>
          <w:spacing w:val="0"/>
          <w:w w:val="100"/>
          <w:position w:val="0"/>
          <w:sz w:val="24"/>
          <w:szCs w:val="24"/>
        </w:rPr>
        <w:t>5</w:t>
      </w:r>
      <w:bookmarkEnd w:id="1162"/>
      <w:r>
        <w:rPr>
          <w:rFonts w:ascii="Times New Roman" w:eastAsia="Times New Roman" w:hAnsi="Times New Roman" w:cs="Times New Roman"/>
          <w:b w:val="0"/>
          <w:bCs w:val="0"/>
          <w:color w:val="000000"/>
          <w:spacing w:val="0"/>
          <w:w w:val="100"/>
          <w:position w:val="0"/>
          <w:sz w:val="24"/>
          <w:szCs w:val="24"/>
        </w:rPr>
        <w:t>0</w:t>
      </w:r>
      <w:r>
        <w:rPr>
          <w:b w:val="0"/>
          <w:bCs w:val="0"/>
          <w:color w:val="000000"/>
          <w:spacing w:val="0"/>
          <w:w w:val="100"/>
          <w:position w:val="0"/>
          <w:sz w:val="24"/>
          <w:szCs w:val="24"/>
        </w:rPr>
        <w:t>、资产处置收益</w:t>
      </w:r>
      <w:bookmarkEnd w:id="1160"/>
      <w:bookmarkEnd w:id="1161"/>
      <w:bookmarkEnd w:id="1163"/>
    </w:p>
    <w:tbl>
      <w:tblPr>
        <w:tblOverlap w:val="never"/>
        <w:jc w:val="left"/>
        <w:tblLayout w:type="fixed"/>
      </w:tblPr>
      <w:tblGrid>
        <w:gridCol w:w="2602"/>
        <w:gridCol w:w="2294"/>
        <w:gridCol w:w="2294"/>
        <w:gridCol w:w="2318"/>
      </w:tblGrid>
      <w:tr>
        <w:trPr>
          <w:trHeight w:val="998" w:hRule="exact"/>
        </w:trPr>
        <w:tc>
          <w:tcPr>
            <w:tcBorders>
              <w:top w:val="single" w:sz="4"/>
            </w:tcBorders>
            <w:shd w:val="clear" w:color="auto" w:fill="FFFFFF"/>
            <w:vAlign w:val="center"/>
          </w:tcPr>
          <w:p>
            <w:pPr>
              <w:pStyle w:val="Style2"/>
              <w:keepNext w:val="0"/>
              <w:keepLines w:val="0"/>
              <w:framePr w:w="9509" w:h="2275" w:vSpace="538" w:wrap="notBeside" w:vAnchor="text" w:hAnchor="text" w:x="353" w:y="539"/>
              <w:widowControl w:val="0"/>
              <w:shd w:val="clear" w:color="auto" w:fill="auto"/>
              <w:bidi w:val="0"/>
              <w:spacing w:before="0" w:after="0" w:line="286" w:lineRule="exact"/>
              <w:ind w:left="160" w:right="0" w:firstLine="0"/>
              <w:jc w:val="left"/>
              <w:rPr>
                <w:sz w:val="20"/>
                <w:szCs w:val="20"/>
              </w:rPr>
            </w:pPr>
            <w:r>
              <w:rPr>
                <w:color w:val="000000"/>
                <w:spacing w:val="0"/>
                <w:w w:val="100"/>
                <w:position w:val="0"/>
                <w:sz w:val="20"/>
                <w:szCs w:val="20"/>
              </w:rPr>
              <w:t>处置未划分为持有待售的 非流动资产产生的利得或 损失</w:t>
            </w:r>
          </w:p>
        </w:tc>
        <w:tc>
          <w:tcPr>
            <w:tcBorders>
              <w:top w:val="single" w:sz="4"/>
              <w:left w:val="single" w:sz="4"/>
            </w:tcBorders>
            <w:shd w:val="clear" w:color="auto" w:fill="FFFFFF"/>
            <w:vAlign w:val="top"/>
          </w:tcPr>
          <w:p>
            <w:pPr>
              <w:framePr w:w="9509" w:h="2275" w:vSpace="538" w:wrap="notBeside" w:vAnchor="text" w:hAnchor="text" w:x="353" w:y="539"/>
              <w:widowControl w:val="0"/>
              <w:rPr>
                <w:sz w:val="10"/>
                <w:szCs w:val="10"/>
              </w:rPr>
            </w:pPr>
          </w:p>
        </w:tc>
        <w:tc>
          <w:tcPr>
            <w:tcBorders>
              <w:top w:val="single" w:sz="4"/>
              <w:left w:val="single" w:sz="4"/>
            </w:tcBorders>
            <w:shd w:val="clear" w:color="auto" w:fill="FFFFFF"/>
            <w:vAlign w:val="top"/>
          </w:tcPr>
          <w:p>
            <w:pPr>
              <w:framePr w:w="9509" w:h="2275" w:vSpace="538" w:wrap="notBeside" w:vAnchor="text" w:hAnchor="text" w:x="353" w:y="539"/>
              <w:widowControl w:val="0"/>
              <w:rPr>
                <w:sz w:val="10"/>
                <w:szCs w:val="10"/>
              </w:rPr>
            </w:pPr>
          </w:p>
        </w:tc>
        <w:tc>
          <w:tcPr>
            <w:tcBorders>
              <w:top w:val="single" w:sz="4"/>
              <w:left w:val="single" w:sz="4"/>
            </w:tcBorders>
            <w:shd w:val="clear" w:color="auto" w:fill="FFFFFF"/>
            <w:vAlign w:val="top"/>
          </w:tcPr>
          <w:p>
            <w:pPr>
              <w:framePr w:w="9509" w:h="2275" w:vSpace="538" w:wrap="notBeside" w:vAnchor="text" w:hAnchor="text" w:x="353" w:y="539"/>
              <w:widowControl w:val="0"/>
              <w:rPr>
                <w:sz w:val="10"/>
                <w:szCs w:val="10"/>
              </w:rPr>
            </w:pPr>
          </w:p>
        </w:tc>
      </w:tr>
      <w:tr>
        <w:trPr>
          <w:trHeight w:val="451" w:hRule="exact"/>
        </w:trPr>
        <w:tc>
          <w:tcPr>
            <w:tcBorders>
              <w:top w:val="single" w:sz="4"/>
            </w:tcBorders>
            <w:shd w:val="clear" w:color="auto" w:fill="FFFFFF"/>
            <w:vAlign w:val="center"/>
          </w:tcPr>
          <w:p>
            <w:pPr>
              <w:pStyle w:val="Style2"/>
              <w:keepNext w:val="0"/>
              <w:keepLines w:val="0"/>
              <w:framePr w:w="9509" w:h="2275" w:vSpace="538" w:wrap="notBeside" w:vAnchor="text" w:hAnchor="text" w:x="353" w:y="539"/>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其中：固定资产</w:t>
            </w:r>
          </w:p>
        </w:tc>
        <w:tc>
          <w:tcPr>
            <w:tcBorders>
              <w:top w:val="single" w:sz="4"/>
              <w:left w:val="single" w:sz="4"/>
            </w:tcBorders>
            <w:shd w:val="clear" w:color="auto" w:fill="FFFFFF"/>
            <w:vAlign w:val="center"/>
          </w:tcPr>
          <w:p>
            <w:pPr>
              <w:pStyle w:val="Style2"/>
              <w:keepNext w:val="0"/>
              <w:keepLines w:val="0"/>
              <w:framePr w:w="9509" w:h="2275" w:vSpace="538" w:wrap="notBeside" w:vAnchor="text" w:hAnchor="text" w:x="353" w:y="539"/>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106,571.39</w:t>
            </w:r>
          </w:p>
        </w:tc>
        <w:tc>
          <w:tcPr>
            <w:tcBorders>
              <w:top w:val="single" w:sz="4"/>
              <w:left w:val="single" w:sz="4"/>
            </w:tcBorders>
            <w:shd w:val="clear" w:color="auto" w:fill="FFFFFF"/>
            <w:vAlign w:val="center"/>
          </w:tcPr>
          <w:p>
            <w:pPr>
              <w:pStyle w:val="Style2"/>
              <w:keepNext w:val="0"/>
              <w:keepLines w:val="0"/>
              <w:framePr w:w="9509" w:h="2275" w:vSpace="538" w:wrap="notBeside" w:vAnchor="text" w:hAnchor="text" w:x="353" w:y="539"/>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142,118.09</w:t>
            </w:r>
          </w:p>
        </w:tc>
        <w:tc>
          <w:tcPr>
            <w:tcBorders>
              <w:top w:val="single" w:sz="4"/>
              <w:left w:val="single" w:sz="4"/>
            </w:tcBorders>
            <w:shd w:val="clear" w:color="auto" w:fill="FFFFFF"/>
            <w:vAlign w:val="center"/>
          </w:tcPr>
          <w:p>
            <w:pPr>
              <w:pStyle w:val="Style2"/>
              <w:keepNext w:val="0"/>
              <w:keepLines w:val="0"/>
              <w:framePr w:w="9509" w:h="2275" w:vSpace="538" w:wrap="notBeside" w:vAnchor="text" w:hAnchor="text" w:x="353" w:y="539"/>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106,571.39</w:t>
            </w:r>
          </w:p>
        </w:tc>
      </w:tr>
      <w:tr>
        <w:trPr>
          <w:trHeight w:val="456" w:hRule="exact"/>
        </w:trPr>
        <w:tc>
          <w:tcPr>
            <w:tcBorders>
              <w:top w:val="single" w:sz="4"/>
            </w:tcBorders>
            <w:shd w:val="clear" w:color="auto" w:fill="FFFFFF"/>
            <w:vAlign w:val="center"/>
          </w:tcPr>
          <w:p>
            <w:pPr>
              <w:pStyle w:val="Style2"/>
              <w:keepNext w:val="0"/>
              <w:keepLines w:val="0"/>
              <w:framePr w:w="9509" w:h="2275" w:vSpace="538" w:wrap="notBeside" w:vAnchor="text" w:hAnchor="text" w:x="353" w:y="539"/>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framePr w:w="9509" w:h="2275" w:vSpace="538" w:wrap="notBeside" w:vAnchor="text" w:hAnchor="text" w:x="353" w:y="539"/>
              <w:widowControl w:val="0"/>
              <w:rPr>
                <w:sz w:val="10"/>
                <w:szCs w:val="10"/>
              </w:rPr>
            </w:pPr>
          </w:p>
        </w:tc>
        <w:tc>
          <w:tcPr>
            <w:tcBorders>
              <w:top w:val="single" w:sz="4"/>
              <w:left w:val="single" w:sz="4"/>
            </w:tcBorders>
            <w:shd w:val="clear" w:color="auto" w:fill="FFFFFF"/>
            <w:vAlign w:val="center"/>
          </w:tcPr>
          <w:p>
            <w:pPr>
              <w:pStyle w:val="Style2"/>
              <w:keepNext w:val="0"/>
              <w:keepLines w:val="0"/>
              <w:framePr w:w="9509" w:h="2275" w:vSpace="538" w:wrap="notBeside" w:vAnchor="text" w:hAnchor="text" w:x="353" w:y="539"/>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-585,579.34</w:t>
            </w:r>
          </w:p>
        </w:tc>
        <w:tc>
          <w:tcPr>
            <w:tcBorders>
              <w:top w:val="single" w:sz="4"/>
              <w:left w:val="single" w:sz="4"/>
            </w:tcBorders>
            <w:shd w:val="clear" w:color="auto" w:fill="FFFFFF"/>
            <w:vAlign w:val="top"/>
          </w:tcPr>
          <w:p>
            <w:pPr>
              <w:framePr w:w="9509" w:h="2275" w:vSpace="538" w:wrap="notBeside" w:vAnchor="text" w:hAnchor="text" w:x="353" w:y="539"/>
              <w:widowControl w:val="0"/>
              <w:rPr>
                <w:sz w:val="10"/>
                <w:szCs w:val="10"/>
              </w:rPr>
            </w:pPr>
          </w:p>
        </w:tc>
      </w:tr>
      <w:tr>
        <w:trPr>
          <w:trHeight w:val="370" w:hRule="exact"/>
        </w:trPr>
        <w:tc>
          <w:tcPr>
            <w:tcBorders>
              <w:top w:val="single" w:sz="4"/>
              <w:bottom w:val="single" w:sz="4"/>
            </w:tcBorders>
            <w:shd w:val="clear" w:color="auto" w:fill="FFFFFF"/>
            <w:vAlign w:val="center"/>
          </w:tcPr>
          <w:p>
            <w:pPr>
              <w:pStyle w:val="Style2"/>
              <w:keepNext w:val="0"/>
              <w:keepLines w:val="0"/>
              <w:framePr w:w="9509" w:h="2275" w:vSpace="538" w:wrap="notBeside" w:vAnchor="text" w:hAnchor="text" w:x="353" w:y="539"/>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framePr w:w="9509" w:h="2275" w:vSpace="538" w:wrap="notBeside" w:vAnchor="text" w:hAnchor="text" w:x="353" w:y="539"/>
              <w:widowControl w:val="0"/>
              <w:shd w:val="clear" w:color="auto" w:fill="auto"/>
              <w:bidi w:val="0"/>
              <w:spacing w:before="0" w:after="0" w:line="240" w:lineRule="auto"/>
              <w:ind w:left="1140" w:right="0" w:firstLine="0"/>
              <w:jc w:val="left"/>
            </w:pPr>
            <w:r>
              <w:rPr>
                <w:rFonts w:ascii="Times New Roman" w:eastAsia="Times New Roman" w:hAnsi="Times New Roman" w:cs="Times New Roman"/>
                <w:b/>
                <w:bCs/>
                <w:color w:val="000000"/>
                <w:spacing w:val="0"/>
                <w:w w:val="100"/>
                <w:position w:val="0"/>
              </w:rPr>
              <w:t>106,571.39</w:t>
            </w:r>
          </w:p>
        </w:tc>
        <w:tc>
          <w:tcPr>
            <w:tcBorders>
              <w:top w:val="single" w:sz="4"/>
              <w:left w:val="single" w:sz="4"/>
              <w:bottom w:val="single" w:sz="4"/>
            </w:tcBorders>
            <w:shd w:val="clear" w:color="auto" w:fill="FFFFFF"/>
            <w:vAlign w:val="center"/>
          </w:tcPr>
          <w:p>
            <w:pPr>
              <w:pStyle w:val="Style2"/>
              <w:keepNext w:val="0"/>
              <w:keepLines w:val="0"/>
              <w:framePr w:w="9509" w:h="2275" w:vSpace="538" w:wrap="notBeside" w:vAnchor="text" w:hAnchor="text" w:x="353" w:y="539"/>
              <w:widowControl w:val="0"/>
              <w:shd w:val="clear" w:color="auto" w:fill="auto"/>
              <w:bidi w:val="0"/>
              <w:spacing w:before="0" w:after="0" w:line="240" w:lineRule="auto"/>
              <w:ind w:left="0" w:right="140" w:firstLine="0"/>
              <w:jc w:val="right"/>
            </w:pPr>
            <w:r>
              <w:rPr>
                <w:rFonts w:ascii="Times New Roman" w:eastAsia="Times New Roman" w:hAnsi="Times New Roman" w:cs="Times New Roman"/>
                <w:b/>
                <w:bCs/>
                <w:color w:val="000000"/>
                <w:spacing w:val="0"/>
                <w:w w:val="100"/>
                <w:position w:val="0"/>
              </w:rPr>
              <w:t>-443,461.25</w:t>
            </w:r>
          </w:p>
        </w:tc>
        <w:tc>
          <w:tcPr>
            <w:tcBorders>
              <w:top w:val="single" w:sz="4"/>
              <w:left w:val="single" w:sz="4"/>
              <w:bottom w:val="single" w:sz="4"/>
            </w:tcBorders>
            <w:shd w:val="clear" w:color="auto" w:fill="FFFFFF"/>
            <w:vAlign w:val="center"/>
          </w:tcPr>
          <w:p>
            <w:pPr>
              <w:pStyle w:val="Style2"/>
              <w:keepNext w:val="0"/>
              <w:keepLines w:val="0"/>
              <w:framePr w:w="9509" w:h="2275" w:vSpace="538" w:wrap="notBeside" w:vAnchor="text" w:hAnchor="text" w:x="353" w:y="539"/>
              <w:widowControl w:val="0"/>
              <w:shd w:val="clear" w:color="auto" w:fill="auto"/>
              <w:bidi w:val="0"/>
              <w:spacing w:before="0" w:after="0" w:line="240" w:lineRule="auto"/>
              <w:ind w:left="1140" w:right="0" w:firstLine="0"/>
              <w:jc w:val="left"/>
            </w:pPr>
            <w:r>
              <w:rPr>
                <w:rFonts w:ascii="Times New Roman" w:eastAsia="Times New Roman" w:hAnsi="Times New Roman" w:cs="Times New Roman"/>
                <w:b/>
                <w:bCs/>
                <w:color w:val="000000"/>
                <w:spacing w:val="0"/>
                <w:w w:val="100"/>
                <w:position w:val="0"/>
              </w:rPr>
              <w:t>106,571.39</w:t>
            </w:r>
          </w:p>
        </w:tc>
      </w:tr>
    </w:tbl>
    <w:p>
      <w:pPr>
        <w:pStyle w:val="Style38"/>
        <w:keepNext w:val="0"/>
        <w:keepLines w:val="0"/>
        <w:framePr w:w="739" w:h="278" w:hSpace="352" w:wrap="notBeside" w:vAnchor="text" w:hAnchor="text" w:x="742" w:y="6"/>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p>
      <w:pPr>
        <w:pStyle w:val="Style38"/>
        <w:keepNext w:val="0"/>
        <w:keepLines w:val="0"/>
        <w:framePr w:w="979" w:h="283" w:hSpace="352" w:wrap="notBeside" w:vAnchor="text" w:hAnchor="text" w:x="4145" w:y="1"/>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年度</w:t>
      </w:r>
    </w:p>
    <w:p>
      <w:pPr>
        <w:widowControl w:val="0"/>
        <w:spacing w:line="1" w:lineRule="exact"/>
      </w:pPr>
    </w:p>
    <w:p>
      <w:pPr>
        <w:pStyle w:val="Style52"/>
        <w:keepNext/>
        <w:keepLines/>
        <w:widowControl w:val="0"/>
        <w:shd w:val="clear" w:color="auto" w:fill="auto"/>
        <w:bidi w:val="0"/>
        <w:spacing w:before="0" w:after="400" w:line="240" w:lineRule="auto"/>
        <w:ind w:left="0" w:right="0" w:firstLine="0"/>
        <w:jc w:val="both"/>
        <w:rPr>
          <w:sz w:val="24"/>
          <w:szCs w:val="24"/>
        </w:rPr>
      </w:pPr>
      <w:bookmarkStart w:id="1164" w:name="bookmark1164"/>
      <w:bookmarkStart w:id="1165" w:name="bookmark1165"/>
      <w:bookmarkStart w:id="1166" w:name="bookmark1166"/>
      <w:bookmarkStart w:id="1167" w:name="bookmark1167"/>
      <w:r>
        <w:rPr>
          <w:rFonts w:ascii="Times New Roman" w:eastAsia="Times New Roman" w:hAnsi="Times New Roman" w:cs="Times New Roman"/>
          <w:b w:val="0"/>
          <w:bCs w:val="0"/>
          <w:color w:val="000000"/>
          <w:spacing w:val="0"/>
          <w:w w:val="100"/>
          <w:position w:val="0"/>
          <w:sz w:val="24"/>
          <w:szCs w:val="24"/>
        </w:rPr>
        <w:t>5</w:t>
      </w:r>
      <w:bookmarkEnd w:id="1166"/>
      <w:r>
        <w:rPr>
          <w:rFonts w:ascii="Times New Roman" w:eastAsia="Times New Roman" w:hAnsi="Times New Roman" w:cs="Times New Roman"/>
          <w:b w:val="0"/>
          <w:bCs w:val="0"/>
          <w:color w:val="000000"/>
          <w:spacing w:val="0"/>
          <w:w w:val="100"/>
          <w:position w:val="0"/>
          <w:sz w:val="24"/>
          <w:szCs w:val="24"/>
        </w:rPr>
        <w:t>1</w:t>
      </w:r>
      <w:r>
        <w:rPr>
          <w:b w:val="0"/>
          <w:bCs w:val="0"/>
          <w:color w:val="000000"/>
          <w:spacing w:val="0"/>
          <w:w w:val="100"/>
          <w:position w:val="0"/>
          <w:sz w:val="24"/>
          <w:szCs w:val="24"/>
        </w:rPr>
        <w:t>、营业外收入</w:t>
      </w:r>
      <w:bookmarkEnd w:id="1164"/>
      <w:bookmarkEnd w:id="1165"/>
      <w:bookmarkEnd w:id="1167"/>
    </w:p>
    <w:p>
      <w:pPr>
        <w:pStyle w:val="Style38"/>
        <w:keepNext w:val="0"/>
        <w:keepLines w:val="0"/>
        <w:widowControl w:val="0"/>
        <w:shd w:val="clear" w:color="auto" w:fill="auto"/>
        <w:tabs>
          <w:tab w:pos="2947" w:val="left"/>
          <w:tab w:pos="4934" w:val="left"/>
          <w:tab w:pos="6091" w:val="left"/>
        </w:tabs>
        <w:bidi w:val="0"/>
        <w:spacing w:before="0" w:after="0" w:line="240" w:lineRule="auto"/>
        <w:ind w:left="0" w:right="0" w:firstLine="0"/>
        <w:jc w:val="center"/>
        <w:rPr>
          <w:sz w:val="20"/>
          <w:szCs w:val="20"/>
        </w:rPr>
      </w:pPr>
      <w:r>
        <w:rPr>
          <w:b/>
          <w:bCs/>
          <w:color w:val="000000"/>
          <w:spacing w:val="0"/>
          <w:w w:val="100"/>
          <w:position w:val="0"/>
          <w:sz w:val="20"/>
          <w:szCs w:val="20"/>
        </w:rPr>
        <w:t>项 目</w:t>
        <w:tab/>
      </w: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年度</w:t>
        <w:tab/>
      </w: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年度</w:t>
        <w:tab/>
        <w:t>计入当期非经常性损益的金额</w:t>
      </w:r>
    </w:p>
    <w:tbl>
      <w:tblPr>
        <w:tblOverlap w:val="never"/>
        <w:jc w:val="center"/>
        <w:tblLayout w:type="fixed"/>
      </w:tblPr>
      <w:tblGrid>
        <w:gridCol w:w="2602"/>
        <w:gridCol w:w="1843"/>
        <w:gridCol w:w="1982"/>
        <w:gridCol w:w="3010"/>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业绩对赌补偿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74,647,410.84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22,910,514.84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74,647,410.84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收到违约金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72,385.54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72,385.54</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98" w:lineRule="exact"/>
              <w:ind w:left="400" w:right="0" w:firstLine="0"/>
              <w:jc w:val="left"/>
              <w:rPr>
                <w:sz w:val="20"/>
                <w:szCs w:val="20"/>
              </w:rPr>
            </w:pPr>
            <w:r>
              <w:rPr>
                <w:color w:val="000000"/>
                <w:spacing w:val="0"/>
                <w:w w:val="100"/>
                <w:position w:val="0"/>
                <w:sz w:val="20"/>
                <w:szCs w:val="20"/>
              </w:rPr>
              <w:t>斯诺收购对价调整利 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670,990,376.97</w:t>
            </w:r>
          </w:p>
        </w:tc>
        <w:tc>
          <w:tcPr>
            <w:tcBorders>
              <w:top w:val="single" w:sz="4"/>
              <w:left w:val="single" w:sz="4"/>
            </w:tcBorders>
            <w:shd w:val="clear" w:color="auto" w:fill="FFFFFF"/>
            <w:vAlign w:val="top"/>
          </w:tcPr>
          <w:p>
            <w:pPr>
              <w:widowControl w:val="0"/>
              <w:rPr>
                <w:sz w:val="10"/>
                <w:szCs w:val="10"/>
              </w:rPr>
            </w:pPr>
          </w:p>
        </w:tc>
      </w:tr>
      <w:tr>
        <w:trPr>
          <w:trHeight w:val="85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93" w:lineRule="exact"/>
              <w:ind w:left="400" w:right="0" w:firstLine="0"/>
              <w:jc w:val="left"/>
              <w:rPr>
                <w:sz w:val="20"/>
                <w:szCs w:val="20"/>
              </w:rPr>
            </w:pPr>
            <w:r>
              <w:rPr>
                <w:color w:val="000000"/>
                <w:spacing w:val="0"/>
                <w:w w:val="100"/>
                <w:position w:val="0"/>
                <w:sz w:val="20"/>
                <w:szCs w:val="20"/>
              </w:rPr>
              <w:t>非流动资产毁损报废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58,157.75</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无需支付的应付款项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905,761.06</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595,061.02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125,163.30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595,061.02</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bCs/>
                <w:color w:val="000000"/>
                <w:spacing w:val="0"/>
                <w:w w:val="100"/>
                <w:position w:val="0"/>
              </w:rPr>
              <w:t>75,314,857.40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bCs/>
                <w:color w:val="000000"/>
                <w:spacing w:val="0"/>
                <w:w w:val="100"/>
                <w:position w:val="0"/>
              </w:rPr>
              <w:t>694,989,973.92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b/>
                <w:bCs/>
                <w:color w:val="000000"/>
                <w:spacing w:val="0"/>
                <w:w w:val="100"/>
                <w:position w:val="0"/>
              </w:rPr>
              <w:t>75,314,857.40</w:t>
            </w:r>
          </w:p>
        </w:tc>
      </w:tr>
    </w:tbl>
    <w:p>
      <w:pPr>
        <w:widowControl w:val="0"/>
        <w:spacing w:after="139" w:line="1" w:lineRule="exact"/>
      </w:pPr>
    </w:p>
    <w:p>
      <w:pPr>
        <w:pStyle w:val="Style44"/>
        <w:keepNext w:val="0"/>
        <w:keepLines w:val="0"/>
        <w:widowControl w:val="0"/>
        <w:shd w:val="clear" w:color="auto" w:fill="auto"/>
        <w:bidi w:val="0"/>
        <w:spacing w:before="0" w:after="400" w:line="240" w:lineRule="auto"/>
        <w:ind w:left="0" w:right="0" w:firstLine="600"/>
        <w:jc w:val="left"/>
      </w:pPr>
      <w:r>
        <w:rPr>
          <w:color w:val="000000"/>
          <w:spacing w:val="0"/>
          <w:w w:val="100"/>
          <w:position w:val="0"/>
        </w:rPr>
        <w:t>注：本期业绩对赌补偿详见附注十三、</w:t>
      </w:r>
      <w:r>
        <w:rPr>
          <w:rFonts w:ascii="Times New Roman" w:eastAsia="Times New Roman" w:hAnsi="Times New Roman" w:cs="Times New Roman"/>
          <w:color w:val="000000"/>
          <w:spacing w:val="0"/>
          <w:w w:val="100"/>
          <w:position w:val="0"/>
        </w:rPr>
        <w:t>1</w:t>
      </w:r>
      <w:r>
        <w:rPr>
          <w:color w:val="000000"/>
          <w:spacing w:val="0"/>
          <w:w w:val="100"/>
          <w:position w:val="0"/>
        </w:rPr>
        <w:t>之说明。</w:t>
      </w:r>
    </w:p>
    <w:p>
      <w:pPr>
        <w:pStyle w:val="Style52"/>
        <w:keepNext/>
        <w:keepLines/>
        <w:widowControl w:val="0"/>
        <w:shd w:val="clear" w:color="auto" w:fill="auto"/>
        <w:bidi w:val="0"/>
        <w:spacing w:before="0" w:after="400" w:line="240" w:lineRule="auto"/>
        <w:ind w:left="0" w:right="0" w:firstLine="0"/>
        <w:jc w:val="both"/>
        <w:rPr>
          <w:sz w:val="24"/>
          <w:szCs w:val="24"/>
        </w:rPr>
      </w:pPr>
      <w:bookmarkStart w:id="1168" w:name="bookmark1168"/>
      <w:bookmarkStart w:id="1169" w:name="bookmark1169"/>
      <w:bookmarkStart w:id="1170" w:name="bookmark1170"/>
      <w:bookmarkStart w:id="1171" w:name="bookmark1171"/>
      <w:r>
        <w:rPr>
          <w:rFonts w:ascii="Times New Roman" w:eastAsia="Times New Roman" w:hAnsi="Times New Roman" w:cs="Times New Roman"/>
          <w:b w:val="0"/>
          <w:bCs w:val="0"/>
          <w:color w:val="000000"/>
          <w:spacing w:val="0"/>
          <w:w w:val="100"/>
          <w:position w:val="0"/>
          <w:sz w:val="24"/>
          <w:szCs w:val="24"/>
        </w:rPr>
        <w:t>5</w:t>
      </w:r>
      <w:bookmarkEnd w:id="1170"/>
      <w:r>
        <w:rPr>
          <w:rFonts w:ascii="Times New Roman" w:eastAsia="Times New Roman" w:hAnsi="Times New Roman" w:cs="Times New Roman"/>
          <w:b w:val="0"/>
          <w:bCs w:val="0"/>
          <w:color w:val="000000"/>
          <w:spacing w:val="0"/>
          <w:w w:val="100"/>
          <w:position w:val="0"/>
          <w:sz w:val="24"/>
          <w:szCs w:val="24"/>
        </w:rPr>
        <w:t>2</w:t>
      </w:r>
      <w:r>
        <w:rPr>
          <w:b w:val="0"/>
          <w:bCs w:val="0"/>
          <w:color w:val="000000"/>
          <w:spacing w:val="0"/>
          <w:w w:val="100"/>
          <w:position w:val="0"/>
          <w:sz w:val="24"/>
          <w:szCs w:val="24"/>
        </w:rPr>
        <w:t>、营业外支出</w:t>
      </w:r>
      <w:bookmarkEnd w:id="1168"/>
      <w:bookmarkEnd w:id="1169"/>
      <w:bookmarkEnd w:id="1171"/>
    </w:p>
    <w:tbl>
      <w:tblPr>
        <w:tblOverlap w:val="never"/>
        <w:jc w:val="left"/>
        <w:tblLayout w:type="fixed"/>
      </w:tblPr>
      <w:tblGrid>
        <w:gridCol w:w="2990"/>
        <w:gridCol w:w="1843"/>
        <w:gridCol w:w="2126"/>
        <w:gridCol w:w="2400"/>
      </w:tblGrid>
      <w:tr>
        <w:trPr>
          <w:trHeight w:val="466" w:hRule="exact"/>
        </w:trPr>
        <w:tc>
          <w:tcPr>
            <w:tcBorders>
              <w:top w:val="single" w:sz="4"/>
            </w:tcBorders>
            <w:shd w:val="clear" w:color="auto" w:fill="FFFFFF"/>
            <w:vAlign w:val="center"/>
          </w:tcPr>
          <w:p>
            <w:pPr>
              <w:pStyle w:val="Style2"/>
              <w:keepNext w:val="0"/>
              <w:keepLines w:val="0"/>
              <w:framePr w:w="9360" w:h="2798" w:vSpace="384" w:wrap="notBeside" w:vAnchor="text" w:hAnchor="text" w:x="428" w:y="385"/>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对外捐赠支出</w:t>
            </w:r>
          </w:p>
        </w:tc>
        <w:tc>
          <w:tcPr>
            <w:tcBorders>
              <w:top w:val="single" w:sz="4"/>
              <w:left w:val="single" w:sz="4"/>
            </w:tcBorders>
            <w:shd w:val="clear" w:color="auto" w:fill="FFFFFF"/>
            <w:vAlign w:val="top"/>
          </w:tcPr>
          <w:p>
            <w:pPr>
              <w:framePr w:w="9360" w:h="2798" w:vSpace="384" w:wrap="notBeside" w:vAnchor="text" w:hAnchor="text" w:x="428" w:y="385"/>
              <w:widowControl w:val="0"/>
              <w:rPr>
                <w:sz w:val="10"/>
                <w:szCs w:val="10"/>
              </w:rPr>
            </w:pPr>
          </w:p>
        </w:tc>
        <w:tc>
          <w:tcPr>
            <w:tcBorders>
              <w:top w:val="single" w:sz="4"/>
              <w:left w:val="single" w:sz="4"/>
            </w:tcBorders>
            <w:shd w:val="clear" w:color="auto" w:fill="FFFFFF"/>
            <w:vAlign w:val="center"/>
          </w:tcPr>
          <w:p>
            <w:pPr>
              <w:pStyle w:val="Style2"/>
              <w:keepNext w:val="0"/>
              <w:keepLines w:val="0"/>
              <w:framePr w:w="9360" w:h="2798" w:vSpace="384" w:wrap="notBeside" w:vAnchor="text" w:hAnchor="text" w:x="428" w:y="385"/>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30,135.41</w:t>
            </w:r>
          </w:p>
        </w:tc>
        <w:tc>
          <w:tcPr>
            <w:tcBorders>
              <w:top w:val="single" w:sz="4"/>
              <w:left w:val="single" w:sz="4"/>
            </w:tcBorders>
            <w:shd w:val="clear" w:color="auto" w:fill="FFFFFF"/>
            <w:vAlign w:val="top"/>
          </w:tcPr>
          <w:p>
            <w:pPr>
              <w:framePr w:w="9360" w:h="2798" w:vSpace="384" w:wrap="notBeside" w:vAnchor="text" w:hAnchor="text" w:x="428" w:y="385"/>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framePr w:w="9360" w:h="2798" w:vSpace="384" w:wrap="notBeside" w:vAnchor="text" w:hAnchor="text" w:x="428" w:y="385"/>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赔偿款</w:t>
            </w:r>
          </w:p>
        </w:tc>
        <w:tc>
          <w:tcPr>
            <w:tcBorders>
              <w:top w:val="single" w:sz="4"/>
              <w:left w:val="single" w:sz="4"/>
            </w:tcBorders>
            <w:shd w:val="clear" w:color="auto" w:fill="FFFFFF"/>
            <w:vAlign w:val="center"/>
          </w:tcPr>
          <w:p>
            <w:pPr>
              <w:pStyle w:val="Style2"/>
              <w:keepNext w:val="0"/>
              <w:keepLines w:val="0"/>
              <w:framePr w:w="9360" w:h="2798" w:vSpace="384" w:wrap="notBeside" w:vAnchor="text" w:hAnchor="text" w:x="428" w:y="385"/>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808,743.09</w:t>
            </w:r>
          </w:p>
        </w:tc>
        <w:tc>
          <w:tcPr>
            <w:tcBorders>
              <w:top w:val="single" w:sz="4"/>
              <w:left w:val="single" w:sz="4"/>
            </w:tcBorders>
            <w:shd w:val="clear" w:color="auto" w:fill="FFFFFF"/>
            <w:vAlign w:val="top"/>
          </w:tcPr>
          <w:p>
            <w:pPr>
              <w:framePr w:w="9360" w:h="2798" w:vSpace="384" w:wrap="notBeside" w:vAnchor="text" w:hAnchor="text" w:x="428" w:y="385"/>
              <w:widowControl w:val="0"/>
              <w:rPr>
                <w:sz w:val="10"/>
                <w:szCs w:val="10"/>
              </w:rPr>
            </w:pPr>
          </w:p>
        </w:tc>
        <w:tc>
          <w:tcPr>
            <w:tcBorders>
              <w:top w:val="single" w:sz="4"/>
              <w:left w:val="single" w:sz="4"/>
            </w:tcBorders>
            <w:shd w:val="clear" w:color="auto" w:fill="FFFFFF"/>
            <w:vAlign w:val="center"/>
          </w:tcPr>
          <w:p>
            <w:pPr>
              <w:pStyle w:val="Style2"/>
              <w:keepNext w:val="0"/>
              <w:keepLines w:val="0"/>
              <w:framePr w:w="9360" w:h="2798" w:vSpace="384" w:wrap="notBeside" w:vAnchor="text" w:hAnchor="text" w:x="428" w:y="385"/>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808,743.09</w:t>
            </w:r>
          </w:p>
        </w:tc>
      </w:tr>
      <w:tr>
        <w:trPr>
          <w:trHeight w:val="466" w:hRule="exact"/>
        </w:trPr>
        <w:tc>
          <w:tcPr>
            <w:tcBorders>
              <w:top w:val="single" w:sz="4"/>
            </w:tcBorders>
            <w:shd w:val="clear" w:color="auto" w:fill="FFFFFF"/>
            <w:vAlign w:val="center"/>
          </w:tcPr>
          <w:p>
            <w:pPr>
              <w:pStyle w:val="Style2"/>
              <w:keepNext w:val="0"/>
              <w:keepLines w:val="0"/>
              <w:framePr w:w="9360" w:h="2798" w:vSpace="384" w:wrap="notBeside" w:vAnchor="text" w:hAnchor="text" w:x="428" w:y="385"/>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非流动资产毁损报废损失</w:t>
            </w:r>
          </w:p>
        </w:tc>
        <w:tc>
          <w:tcPr>
            <w:tcBorders>
              <w:top w:val="single" w:sz="4"/>
              <w:left w:val="single" w:sz="4"/>
            </w:tcBorders>
            <w:shd w:val="clear" w:color="auto" w:fill="FFFFFF"/>
            <w:vAlign w:val="center"/>
          </w:tcPr>
          <w:p>
            <w:pPr>
              <w:pStyle w:val="Style2"/>
              <w:keepNext w:val="0"/>
              <w:keepLines w:val="0"/>
              <w:framePr w:w="9360" w:h="2798" w:vSpace="384" w:wrap="notBeside" w:vAnchor="text" w:hAnchor="text" w:x="428" w:y="385"/>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415,864.00</w:t>
            </w:r>
          </w:p>
        </w:tc>
        <w:tc>
          <w:tcPr>
            <w:tcBorders>
              <w:top w:val="single" w:sz="4"/>
              <w:left w:val="single" w:sz="4"/>
            </w:tcBorders>
            <w:shd w:val="clear" w:color="auto" w:fill="FFFFFF"/>
            <w:vAlign w:val="center"/>
          </w:tcPr>
          <w:p>
            <w:pPr>
              <w:pStyle w:val="Style2"/>
              <w:keepNext w:val="0"/>
              <w:keepLines w:val="0"/>
              <w:framePr w:w="9360" w:h="2798" w:vSpace="384" w:wrap="notBeside" w:vAnchor="text" w:hAnchor="text" w:x="428" w:y="385"/>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3,242.35</w:t>
            </w:r>
          </w:p>
        </w:tc>
        <w:tc>
          <w:tcPr>
            <w:tcBorders>
              <w:top w:val="single" w:sz="4"/>
              <w:left w:val="single" w:sz="4"/>
            </w:tcBorders>
            <w:shd w:val="clear" w:color="auto" w:fill="FFFFFF"/>
            <w:vAlign w:val="center"/>
          </w:tcPr>
          <w:p>
            <w:pPr>
              <w:pStyle w:val="Style2"/>
              <w:keepNext w:val="0"/>
              <w:keepLines w:val="0"/>
              <w:framePr w:w="9360" w:h="2798" w:vSpace="384" w:wrap="notBeside" w:vAnchor="text" w:hAnchor="text" w:x="428" w:y="385"/>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415,864.00</w:t>
            </w:r>
          </w:p>
        </w:tc>
      </w:tr>
      <w:tr>
        <w:trPr>
          <w:trHeight w:val="461" w:hRule="exact"/>
        </w:trPr>
        <w:tc>
          <w:tcPr>
            <w:tcBorders>
              <w:top w:val="single" w:sz="4"/>
            </w:tcBorders>
            <w:shd w:val="clear" w:color="auto" w:fill="FFFFFF"/>
            <w:vAlign w:val="center"/>
          </w:tcPr>
          <w:p>
            <w:pPr>
              <w:pStyle w:val="Style2"/>
              <w:keepNext w:val="0"/>
              <w:keepLines w:val="0"/>
              <w:framePr w:w="9360" w:h="2798" w:vSpace="384" w:wrap="notBeside" w:vAnchor="text" w:hAnchor="text" w:x="428" w:y="385"/>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违约金支出</w:t>
            </w:r>
          </w:p>
        </w:tc>
        <w:tc>
          <w:tcPr>
            <w:tcBorders>
              <w:top w:val="single" w:sz="4"/>
              <w:left w:val="single" w:sz="4"/>
            </w:tcBorders>
            <w:shd w:val="clear" w:color="auto" w:fill="FFFFFF"/>
            <w:vAlign w:val="center"/>
          </w:tcPr>
          <w:p>
            <w:pPr>
              <w:pStyle w:val="Style2"/>
              <w:keepNext w:val="0"/>
              <w:keepLines w:val="0"/>
              <w:framePr w:w="9360" w:h="2798" w:vSpace="384" w:wrap="notBeside" w:vAnchor="text" w:hAnchor="text" w:x="428" w:y="385"/>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269,393.00</w:t>
            </w:r>
          </w:p>
        </w:tc>
        <w:tc>
          <w:tcPr>
            <w:tcBorders>
              <w:top w:val="single" w:sz="4"/>
              <w:left w:val="single" w:sz="4"/>
            </w:tcBorders>
            <w:shd w:val="clear" w:color="auto" w:fill="FFFFFF"/>
            <w:vAlign w:val="center"/>
          </w:tcPr>
          <w:p>
            <w:pPr>
              <w:pStyle w:val="Style2"/>
              <w:keepNext w:val="0"/>
              <w:keepLines w:val="0"/>
              <w:framePr w:w="9360" w:h="2798" w:vSpace="384" w:wrap="notBeside" w:vAnchor="text" w:hAnchor="text" w:x="428" w:y="385"/>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968,850.76</w:t>
            </w:r>
          </w:p>
        </w:tc>
        <w:tc>
          <w:tcPr>
            <w:tcBorders>
              <w:top w:val="single" w:sz="4"/>
              <w:left w:val="single" w:sz="4"/>
            </w:tcBorders>
            <w:shd w:val="clear" w:color="auto" w:fill="FFFFFF"/>
            <w:vAlign w:val="center"/>
          </w:tcPr>
          <w:p>
            <w:pPr>
              <w:pStyle w:val="Style2"/>
              <w:keepNext w:val="0"/>
              <w:keepLines w:val="0"/>
              <w:framePr w:w="9360" w:h="2798" w:vSpace="384" w:wrap="notBeside" w:vAnchor="text" w:hAnchor="text" w:x="428" w:y="385"/>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269,393.00</w:t>
            </w:r>
          </w:p>
        </w:tc>
      </w:tr>
      <w:tr>
        <w:trPr>
          <w:trHeight w:val="466" w:hRule="exact"/>
        </w:trPr>
        <w:tc>
          <w:tcPr>
            <w:tcBorders>
              <w:top w:val="single" w:sz="4"/>
            </w:tcBorders>
            <w:shd w:val="clear" w:color="auto" w:fill="FFFFFF"/>
            <w:vAlign w:val="center"/>
          </w:tcPr>
          <w:p>
            <w:pPr>
              <w:pStyle w:val="Style2"/>
              <w:keepNext w:val="0"/>
              <w:keepLines w:val="0"/>
              <w:framePr w:w="9360" w:h="2798" w:vSpace="384" w:wrap="notBeside" w:vAnchor="text" w:hAnchor="text" w:x="428" w:y="385"/>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工伤费用</w:t>
            </w:r>
          </w:p>
        </w:tc>
        <w:tc>
          <w:tcPr>
            <w:tcBorders>
              <w:top w:val="single" w:sz="4"/>
              <w:left w:val="single" w:sz="4"/>
            </w:tcBorders>
            <w:shd w:val="clear" w:color="auto" w:fill="FFFFFF"/>
            <w:vAlign w:val="top"/>
          </w:tcPr>
          <w:p>
            <w:pPr>
              <w:framePr w:w="9360" w:h="2798" w:vSpace="384" w:wrap="notBeside" w:vAnchor="text" w:hAnchor="text" w:x="428" w:y="385"/>
              <w:widowControl w:val="0"/>
              <w:rPr>
                <w:sz w:val="10"/>
                <w:szCs w:val="10"/>
              </w:rPr>
            </w:pPr>
          </w:p>
        </w:tc>
        <w:tc>
          <w:tcPr>
            <w:tcBorders>
              <w:top w:val="single" w:sz="4"/>
              <w:left w:val="single" w:sz="4"/>
            </w:tcBorders>
            <w:shd w:val="clear" w:color="auto" w:fill="FFFFFF"/>
            <w:vAlign w:val="center"/>
          </w:tcPr>
          <w:p>
            <w:pPr>
              <w:pStyle w:val="Style2"/>
              <w:keepNext w:val="0"/>
              <w:keepLines w:val="0"/>
              <w:framePr w:w="9360" w:h="2798" w:vSpace="384" w:wrap="notBeside" w:vAnchor="text" w:hAnchor="text" w:x="428" w:y="385"/>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2,072,968.06</w:t>
            </w:r>
          </w:p>
        </w:tc>
        <w:tc>
          <w:tcPr>
            <w:tcBorders>
              <w:top w:val="single" w:sz="4"/>
              <w:left w:val="single" w:sz="4"/>
            </w:tcBorders>
            <w:shd w:val="clear" w:color="auto" w:fill="FFFFFF"/>
            <w:vAlign w:val="top"/>
          </w:tcPr>
          <w:p>
            <w:pPr>
              <w:framePr w:w="9360" w:h="2798" w:vSpace="384" w:wrap="notBeside" w:vAnchor="text" w:hAnchor="text" w:x="428" w:y="385"/>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framePr w:w="9360" w:h="2798" w:vSpace="384" w:wrap="notBeside" w:vAnchor="text" w:hAnchor="text" w:x="428" w:y="385"/>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2"/>
              <w:keepNext w:val="0"/>
              <w:keepLines w:val="0"/>
              <w:framePr w:w="9360" w:h="2798" w:vSpace="384" w:wrap="notBeside" w:vAnchor="text" w:hAnchor="text" w:x="428" w:y="385"/>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113,106.80</w:t>
            </w:r>
          </w:p>
        </w:tc>
        <w:tc>
          <w:tcPr>
            <w:tcBorders>
              <w:top w:val="single" w:sz="4"/>
              <w:left w:val="single" w:sz="4"/>
              <w:bottom w:val="single" w:sz="4"/>
            </w:tcBorders>
            <w:shd w:val="clear" w:color="auto" w:fill="FFFFFF"/>
            <w:vAlign w:val="center"/>
          </w:tcPr>
          <w:p>
            <w:pPr>
              <w:pStyle w:val="Style2"/>
              <w:keepNext w:val="0"/>
              <w:keepLines w:val="0"/>
              <w:framePr w:w="9360" w:h="2798" w:vSpace="384" w:wrap="notBeside" w:vAnchor="text" w:hAnchor="text" w:x="428" w:y="385"/>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408,313.05</w:t>
            </w:r>
          </w:p>
        </w:tc>
        <w:tc>
          <w:tcPr>
            <w:tcBorders>
              <w:top w:val="single" w:sz="4"/>
              <w:left w:val="single" w:sz="4"/>
              <w:bottom w:val="single" w:sz="4"/>
            </w:tcBorders>
            <w:shd w:val="clear" w:color="auto" w:fill="FFFFFF"/>
            <w:vAlign w:val="center"/>
          </w:tcPr>
          <w:p>
            <w:pPr>
              <w:pStyle w:val="Style2"/>
              <w:keepNext w:val="0"/>
              <w:keepLines w:val="0"/>
              <w:framePr w:w="9360" w:h="2798" w:vSpace="384" w:wrap="notBeside" w:vAnchor="text" w:hAnchor="text" w:x="428" w:y="385"/>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113,106.80</w:t>
            </w:r>
          </w:p>
        </w:tc>
      </w:tr>
    </w:tbl>
    <w:p>
      <w:pPr>
        <w:pStyle w:val="Style38"/>
        <w:keepNext w:val="0"/>
        <w:keepLines w:val="0"/>
        <w:framePr w:w="701" w:h="283" w:hSpace="427" w:wrap="notBeside" w:vAnchor="text" w:hAnchor="text" w:x="822"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p>
      <w:pPr>
        <w:pStyle w:val="Style38"/>
        <w:keepNext w:val="0"/>
        <w:keepLines w:val="0"/>
        <w:framePr w:w="979" w:h="278" w:hSpace="427" w:wrap="notBeside" w:vAnchor="text" w:hAnchor="text" w:x="4172" w:y="1"/>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年度</w:t>
      </w:r>
    </w:p>
    <w:p>
      <w:pPr>
        <w:pStyle w:val="Style38"/>
        <w:keepNext w:val="0"/>
        <w:keepLines w:val="0"/>
        <w:framePr w:w="3437" w:h="278" w:hSpace="427" w:wrap="notBeside" w:vAnchor="text" w:hAnchor="text" w:x="6294" w:y="1"/>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年度计入当期非经常性损益</w:t>
      </w:r>
    </w:p>
    <w:p>
      <w:pPr>
        <w:widowControl w:val="0"/>
        <w:spacing w:line="1" w:lineRule="exact"/>
      </w:pPr>
      <w:r>
        <w:br w:type="page"/>
      </w:r>
    </w:p>
    <w:p>
      <w:pPr>
        <w:pStyle w:val="Style128"/>
        <w:keepNext w:val="0"/>
        <w:keepLines w:val="0"/>
        <w:widowControl w:val="0"/>
        <w:shd w:val="clear" w:color="auto" w:fill="auto"/>
        <w:tabs>
          <w:tab w:pos="3574" w:val="left"/>
          <w:tab w:pos="5691" w:val="left"/>
          <w:tab w:pos="8120" w:val="left"/>
        </w:tabs>
        <w:bidi w:val="0"/>
        <w:spacing w:before="0" w:after="420" w:line="240" w:lineRule="auto"/>
        <w:ind w:left="0" w:right="0" w:firstLine="440"/>
        <w:jc w:val="left"/>
      </w:pPr>
      <w:r>
        <w:rPr>
          <w:rFonts w:ascii="SimSun" w:eastAsia="SimSun" w:hAnsi="SimSun" w:cs="SimSun"/>
          <w:b/>
          <w:bCs/>
          <w:color w:val="000000"/>
          <w:spacing w:val="0"/>
          <w:w w:val="100"/>
          <w:position w:val="0"/>
          <w:sz w:val="20"/>
          <w:szCs w:val="20"/>
        </w:rPr>
        <w:t>合计</w:t>
        <w:tab/>
      </w:r>
      <w:r>
        <w:rPr>
          <w:b/>
          <w:bCs/>
          <w:color w:val="000000"/>
          <w:spacing w:val="0"/>
          <w:w w:val="100"/>
          <w:position w:val="0"/>
        </w:rPr>
        <w:t>1,607,106.89</w:t>
        <w:tab/>
        <w:t>3,483,509.63</w:t>
        <w:tab/>
        <w:t>1,607,106.89</w:t>
      </w:r>
    </w:p>
    <w:p>
      <w:pPr>
        <w:pStyle w:val="Style52"/>
        <w:keepNext/>
        <w:keepLines/>
        <w:widowControl w:val="0"/>
        <w:shd w:val="clear" w:color="auto" w:fill="auto"/>
        <w:bidi w:val="0"/>
        <w:spacing w:before="0" w:after="420" w:line="240" w:lineRule="auto"/>
        <w:ind w:left="0" w:right="0" w:firstLine="0"/>
        <w:jc w:val="left"/>
        <w:rPr>
          <w:sz w:val="24"/>
          <w:szCs w:val="24"/>
        </w:rPr>
      </w:pPr>
      <w:bookmarkStart w:id="1172" w:name="bookmark1172"/>
      <w:bookmarkStart w:id="1173" w:name="bookmark1173"/>
      <w:bookmarkStart w:id="1174" w:name="bookmark1174"/>
      <w:bookmarkStart w:id="1175" w:name="bookmark1175"/>
      <w:r>
        <w:rPr>
          <w:rFonts w:ascii="Times New Roman" w:eastAsia="Times New Roman" w:hAnsi="Times New Roman" w:cs="Times New Roman"/>
          <w:b w:val="0"/>
          <w:bCs w:val="0"/>
          <w:color w:val="000000"/>
          <w:spacing w:val="0"/>
          <w:w w:val="100"/>
          <w:position w:val="0"/>
          <w:sz w:val="24"/>
          <w:szCs w:val="24"/>
        </w:rPr>
        <w:t>5</w:t>
      </w:r>
      <w:bookmarkEnd w:id="1174"/>
      <w:r>
        <w:rPr>
          <w:rFonts w:ascii="Times New Roman" w:eastAsia="Times New Roman" w:hAnsi="Times New Roman" w:cs="Times New Roman"/>
          <w:b w:val="0"/>
          <w:bCs w:val="0"/>
          <w:color w:val="000000"/>
          <w:spacing w:val="0"/>
          <w:w w:val="100"/>
          <w:position w:val="0"/>
          <w:sz w:val="24"/>
          <w:szCs w:val="24"/>
        </w:rPr>
        <w:t>3</w:t>
      </w:r>
      <w:r>
        <w:rPr>
          <w:b w:val="0"/>
          <w:bCs w:val="0"/>
          <w:color w:val="000000"/>
          <w:spacing w:val="0"/>
          <w:w w:val="100"/>
          <w:position w:val="0"/>
          <w:sz w:val="24"/>
          <w:szCs w:val="24"/>
        </w:rPr>
        <w:t>、所得税费用</w:t>
      </w:r>
      <w:bookmarkEnd w:id="1172"/>
      <w:bookmarkEnd w:id="1173"/>
      <w:bookmarkEnd w:id="1175"/>
    </w:p>
    <w:p>
      <w:pPr>
        <w:pStyle w:val="Style52"/>
        <w:keepNext/>
        <w:keepLines/>
        <w:widowControl w:val="0"/>
        <w:shd w:val="clear" w:color="auto" w:fill="auto"/>
        <w:bidi w:val="0"/>
        <w:spacing w:before="0" w:after="120" w:line="240" w:lineRule="auto"/>
        <w:ind w:left="0" w:right="0" w:firstLine="660"/>
        <w:jc w:val="left"/>
        <w:rPr>
          <w:sz w:val="24"/>
          <w:szCs w:val="24"/>
        </w:rPr>
      </w:pPr>
      <w:bookmarkStart w:id="1172" w:name="bookmark1172"/>
      <w:bookmarkStart w:id="1173" w:name="bookmark1173"/>
      <w:r>
        <w:rPr>
          <w:b w:val="0"/>
          <w:bCs w:val="0"/>
          <w:color w:val="000000"/>
          <w:spacing w:val="0"/>
          <w:w w:val="100"/>
          <w:position w:val="0"/>
          <w:sz w:val="24"/>
          <w:szCs w:val="24"/>
        </w:rPr>
        <w:t>（1）</w:t>
      </w:r>
      <w:r>
        <w:rPr>
          <w:b w:val="0"/>
          <w:bCs w:val="0"/>
          <w:color w:val="000000"/>
          <w:spacing w:val="0"/>
          <w:w w:val="100"/>
          <w:position w:val="0"/>
          <w:sz w:val="24"/>
          <w:szCs w:val="24"/>
        </w:rPr>
        <w:t>所得税费用表</w:t>
      </w:r>
      <w:bookmarkEnd w:id="1172"/>
      <w:bookmarkEnd w:id="1173"/>
    </w:p>
    <w:tbl>
      <w:tblPr>
        <w:tblOverlap w:val="never"/>
        <w:jc w:val="center"/>
        <w:tblLayout w:type="fixed"/>
      </w:tblPr>
      <w:tblGrid>
        <w:gridCol w:w="4133"/>
        <w:gridCol w:w="2573"/>
        <w:gridCol w:w="2616"/>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b/>
                <w:bCs/>
                <w:color w:val="000000"/>
                <w:spacing w:val="0"/>
                <w:w w:val="100"/>
                <w:position w:val="0"/>
                <w:sz w:val="20"/>
                <w:szCs w:val="2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20"/>
                <w:szCs w:val="20"/>
              </w:rPr>
            </w:pP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年度</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-1,556,789.95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1,806,824.29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1,090,772.10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87,195,002.57</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b/>
                <w:bCs/>
                <w:color w:val="000000"/>
                <w:spacing w:val="0"/>
                <w:w w:val="100"/>
                <w:position w:val="0"/>
              </w:rPr>
              <w:t>-466,017.85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b/>
                <w:bCs/>
                <w:color w:val="000000"/>
                <w:spacing w:val="0"/>
                <w:w w:val="100"/>
                <w:position w:val="0"/>
              </w:rPr>
              <w:t>89,001,826.86</w:t>
            </w:r>
          </w:p>
        </w:tc>
      </w:tr>
    </w:tbl>
    <w:p>
      <w:pPr>
        <w:widowControl w:val="0"/>
        <w:spacing w:after="119" w:line="1" w:lineRule="exact"/>
      </w:pPr>
    </w:p>
    <w:p>
      <w:pPr>
        <w:pStyle w:val="Style44"/>
        <w:keepNext w:val="0"/>
        <w:keepLines w:val="0"/>
        <w:widowControl w:val="0"/>
        <w:pBdr>
          <w:bottom w:val="single" w:sz="4" w:space="0" w:color="auto"/>
        </w:pBdr>
        <w:shd w:val="clear" w:color="auto" w:fill="auto"/>
        <w:bidi w:val="0"/>
        <w:spacing w:before="0" w:after="220" w:line="240" w:lineRule="auto"/>
        <w:ind w:left="0" w:right="0" w:firstLine="800"/>
        <w:jc w:val="left"/>
        <w:rPr>
          <w:sz w:val="24"/>
          <w:szCs w:val="24"/>
        </w:rPr>
      </w:pPr>
      <w:r>
        <w:rPr>
          <w:color w:val="000000"/>
          <w:spacing w:val="0"/>
          <w:w w:val="100"/>
          <w:position w:val="0"/>
          <w:sz w:val="24"/>
          <w:szCs w:val="24"/>
        </w:rPr>
        <w:t>（2）</w:t>
      </w:r>
      <w:r>
        <w:rPr>
          <w:color w:val="000000"/>
          <w:spacing w:val="0"/>
          <w:w w:val="100"/>
          <w:position w:val="0"/>
          <w:sz w:val="24"/>
          <w:szCs w:val="24"/>
        </w:rPr>
        <w:t>会计利润与所得税费用调整过程</w:t>
      </w:r>
    </w:p>
    <w:p>
      <w:pPr>
        <w:pStyle w:val="Style38"/>
        <w:keepNext w:val="0"/>
        <w:keepLines w:val="0"/>
        <w:widowControl w:val="0"/>
        <w:shd w:val="clear" w:color="auto" w:fill="auto"/>
        <w:tabs>
          <w:tab w:pos="7090" w:val="left"/>
        </w:tabs>
        <w:bidi w:val="0"/>
        <w:spacing w:before="0" w:after="0" w:line="240" w:lineRule="auto"/>
        <w:ind w:left="418" w:right="0" w:firstLine="0"/>
        <w:jc w:val="left"/>
        <w:rPr>
          <w:sz w:val="20"/>
          <w:szCs w:val="20"/>
        </w:rPr>
      </w:pPr>
      <w:r>
        <w:rPr>
          <w:b/>
          <w:bCs/>
          <w:color w:val="000000"/>
          <w:spacing w:val="0"/>
          <w:w w:val="100"/>
          <w:position w:val="0"/>
          <w:sz w:val="20"/>
          <w:szCs w:val="20"/>
        </w:rPr>
        <w:t>项目</w:t>
        <w:tab/>
        <w:t>本期发生额</w:t>
      </w:r>
    </w:p>
    <w:tbl>
      <w:tblPr>
        <w:tblOverlap w:val="never"/>
        <w:jc w:val="center"/>
        <w:tblLayout w:type="fixed"/>
      </w:tblPr>
      <w:tblGrid>
        <w:gridCol w:w="5717"/>
        <w:gridCol w:w="3576"/>
      </w:tblGrid>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rPr>
              <w:t>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-7,001,082.19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rPr>
              <w:t>按法定</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适用税率计算的所得税费用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-1,050,162.33</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rPr>
              <w:t>子公司适用不同税率的影响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5,411,389.34</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rPr>
              <w:t>调整以前期间所得税的影响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-1,513,048.61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rPr>
              <w:t>非应税收入的影响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-3,396,983.12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rPr>
              <w:t>研究开发费加计扣除的影响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-10,810,836.79</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rPr>
              <w:t>不可抵扣的成本、费用和损失的影响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4,144,536.91</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83" w:lineRule="exact"/>
              <w:ind w:left="420" w:right="0" w:firstLine="0"/>
              <w:jc w:val="left"/>
              <w:rPr>
                <w:sz w:val="20"/>
                <w:szCs w:val="20"/>
              </w:rPr>
            </w:pPr>
            <w:r>
              <w:rPr>
                <w:color w:val="000000"/>
                <w:spacing w:val="0"/>
                <w:w w:val="100"/>
                <w:position w:val="0"/>
                <w:sz w:val="20"/>
                <w:szCs w:val="20"/>
              </w:rPr>
              <w:t>本期未确认递延所得税资产的可抵扣暂时性差异或可 抵扣亏损的影响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4,610,074.75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rPr>
              <w:t>税率调整导致期初递延所得税资产余额的变化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2,139,012.00</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rPr>
              <w:t>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-466,017.85</w:t>
            </w:r>
          </w:p>
        </w:tc>
      </w:tr>
    </w:tbl>
    <w:p>
      <w:pPr>
        <w:widowControl w:val="0"/>
        <w:spacing w:after="279" w:line="1" w:lineRule="exact"/>
      </w:pPr>
    </w:p>
    <w:p>
      <w:pPr>
        <w:pStyle w:val="Style52"/>
        <w:keepNext/>
        <w:keepLines/>
        <w:widowControl w:val="0"/>
        <w:shd w:val="clear" w:color="auto" w:fill="auto"/>
        <w:bidi w:val="0"/>
        <w:spacing w:before="0" w:after="420" w:line="240" w:lineRule="auto"/>
        <w:ind w:left="0" w:right="0" w:firstLine="0"/>
        <w:jc w:val="left"/>
        <w:rPr>
          <w:sz w:val="24"/>
          <w:szCs w:val="24"/>
        </w:rPr>
      </w:pPr>
      <w:bookmarkStart w:id="1176" w:name="bookmark1176"/>
      <w:bookmarkStart w:id="1177" w:name="bookmark1177"/>
      <w:bookmarkStart w:id="1178" w:name="bookmark1178"/>
      <w:bookmarkStart w:id="1179" w:name="bookmark1179"/>
      <w:r>
        <w:rPr>
          <w:rFonts w:ascii="Times New Roman" w:eastAsia="Times New Roman" w:hAnsi="Times New Roman" w:cs="Times New Roman"/>
          <w:b w:val="0"/>
          <w:bCs w:val="0"/>
          <w:color w:val="000000"/>
          <w:spacing w:val="0"/>
          <w:w w:val="100"/>
          <w:position w:val="0"/>
          <w:sz w:val="24"/>
          <w:szCs w:val="24"/>
        </w:rPr>
        <w:t>5</w:t>
      </w:r>
      <w:bookmarkEnd w:id="1178"/>
      <w:r>
        <w:rPr>
          <w:rFonts w:ascii="Times New Roman" w:eastAsia="Times New Roman" w:hAnsi="Times New Roman" w:cs="Times New Roman"/>
          <w:b w:val="0"/>
          <w:bCs w:val="0"/>
          <w:color w:val="000000"/>
          <w:spacing w:val="0"/>
          <w:w w:val="100"/>
          <w:position w:val="0"/>
          <w:sz w:val="24"/>
          <w:szCs w:val="24"/>
        </w:rPr>
        <w:t>4</w:t>
      </w:r>
      <w:r>
        <w:rPr>
          <w:b w:val="0"/>
          <w:bCs w:val="0"/>
          <w:color w:val="000000"/>
          <w:spacing w:val="0"/>
          <w:w w:val="100"/>
          <w:position w:val="0"/>
          <w:sz w:val="24"/>
          <w:szCs w:val="24"/>
        </w:rPr>
        <w:t>、现金流量表项目</w:t>
      </w:r>
      <w:bookmarkEnd w:id="1176"/>
      <w:bookmarkEnd w:id="1177"/>
      <w:bookmarkEnd w:id="1179"/>
    </w:p>
    <w:p>
      <w:pPr>
        <w:pStyle w:val="Style52"/>
        <w:keepNext/>
        <w:keepLines/>
        <w:widowControl w:val="0"/>
        <w:pBdr>
          <w:bottom w:val="single" w:sz="4" w:space="0" w:color="auto"/>
        </w:pBdr>
        <w:shd w:val="clear" w:color="auto" w:fill="auto"/>
        <w:bidi w:val="0"/>
        <w:spacing w:before="0" w:after="220" w:line="240" w:lineRule="auto"/>
        <w:ind w:left="0" w:right="0" w:firstLine="800"/>
        <w:jc w:val="left"/>
        <w:rPr>
          <w:sz w:val="24"/>
          <w:szCs w:val="24"/>
        </w:rPr>
      </w:pPr>
      <w:bookmarkStart w:id="1176" w:name="bookmark1176"/>
      <w:bookmarkStart w:id="1177" w:name="bookmark1177"/>
      <w:r>
        <w:rPr>
          <w:b w:val="0"/>
          <w:bCs w:val="0"/>
          <w:color w:val="000000"/>
          <w:spacing w:val="0"/>
          <w:w w:val="100"/>
          <w:position w:val="0"/>
          <w:sz w:val="24"/>
          <w:szCs w:val="24"/>
        </w:rPr>
        <w:t>（1）</w:t>
      </w:r>
      <w:r>
        <w:rPr>
          <w:b w:val="0"/>
          <w:bCs w:val="0"/>
          <w:color w:val="000000"/>
          <w:spacing w:val="0"/>
          <w:w w:val="100"/>
          <w:position w:val="0"/>
          <w:sz w:val="24"/>
          <w:szCs w:val="24"/>
        </w:rPr>
        <w:t>收到的其他与经营活动有关的现金</w:t>
      </w:r>
      <w:bookmarkEnd w:id="1176"/>
      <w:bookmarkEnd w:id="1177"/>
    </w:p>
    <w:p>
      <w:pPr>
        <w:pStyle w:val="Style38"/>
        <w:keepNext w:val="0"/>
        <w:keepLines w:val="0"/>
        <w:widowControl w:val="0"/>
        <w:shd w:val="clear" w:color="auto" w:fill="auto"/>
        <w:tabs>
          <w:tab w:pos="5496" w:val="left"/>
          <w:tab w:pos="7646" w:val="left"/>
        </w:tabs>
        <w:bidi w:val="0"/>
        <w:spacing w:before="0" w:after="0" w:line="240" w:lineRule="auto"/>
        <w:ind w:left="0" w:right="0" w:firstLine="0"/>
        <w:jc w:val="center"/>
        <w:rPr>
          <w:sz w:val="20"/>
          <w:szCs w:val="20"/>
        </w:rPr>
      </w:pPr>
      <w:r>
        <w:rPr>
          <w:b/>
          <w:bCs/>
          <w:color w:val="000000"/>
          <w:spacing w:val="0"/>
          <w:w w:val="100"/>
          <w:position w:val="0"/>
          <w:sz w:val="20"/>
          <w:szCs w:val="20"/>
        </w:rPr>
        <w:t>项目</w:t>
        <w:tab/>
      </w: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年度</w:t>
        <w:tab/>
      </w: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年度</w:t>
      </w:r>
    </w:p>
    <w:tbl>
      <w:tblPr>
        <w:tblOverlap w:val="never"/>
        <w:jc w:val="center"/>
        <w:tblLayout w:type="fixed"/>
      </w:tblPr>
      <w:tblGrid>
        <w:gridCol w:w="4882"/>
        <w:gridCol w:w="2150"/>
        <w:gridCol w:w="2184"/>
      </w:tblGrid>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票据保证金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40,830,994.14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2,230,744.04</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23,713,230.71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35,813,914.92</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2,013,984.26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3,647,848.56</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租赁收入及其他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28,553,035.60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25,223,497.59</w:t>
            </w: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b/>
                <w:bCs/>
                <w:color w:val="000000"/>
                <w:spacing w:val="0"/>
                <w:w w:val="100"/>
                <w:position w:val="0"/>
              </w:rPr>
              <w:t>95,111,244.71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b/>
                <w:bCs/>
                <w:color w:val="000000"/>
                <w:spacing w:val="0"/>
                <w:w w:val="100"/>
                <w:position w:val="0"/>
              </w:rPr>
              <w:t>66,916,005.11</w:t>
            </w:r>
          </w:p>
        </w:tc>
      </w:tr>
    </w:tbl>
    <w:p>
      <w:pPr>
        <w:spacing w:lineRule="exact" w:line="1"/>
        <w:rPr>
          <w:sz w:val="2"/>
          <w:szCs w:val="2"/>
        </w:rPr>
      </w:pPr>
      <w:r>
        <w:br w:type="page"/>
      </w:r>
    </w:p>
    <w:p>
      <w:pPr>
        <w:pStyle w:val="Style44"/>
        <w:keepNext w:val="0"/>
        <w:keepLines w:val="0"/>
        <w:widowControl w:val="0"/>
        <w:pBdr>
          <w:bottom w:val="single" w:sz="4" w:space="0" w:color="auto"/>
        </w:pBdr>
        <w:shd w:val="clear" w:color="auto" w:fill="auto"/>
        <w:bidi w:val="0"/>
        <w:spacing w:before="0" w:after="220" w:line="240" w:lineRule="auto"/>
        <w:ind w:left="0" w:right="0" w:firstLine="660"/>
        <w:jc w:val="left"/>
        <w:rPr>
          <w:sz w:val="24"/>
          <w:szCs w:val="24"/>
        </w:rPr>
      </w:pPr>
      <w:r>
        <w:rPr>
          <w:color w:val="000000"/>
          <w:spacing w:val="0"/>
          <w:w w:val="100"/>
          <w:position w:val="0"/>
          <w:sz w:val="24"/>
          <w:szCs w:val="24"/>
        </w:rPr>
        <w:t>（2）</w:t>
      </w:r>
      <w:r>
        <w:rPr>
          <w:color w:val="000000"/>
          <w:spacing w:val="0"/>
          <w:w w:val="100"/>
          <w:position w:val="0"/>
          <w:sz w:val="24"/>
          <w:szCs w:val="24"/>
        </w:rPr>
        <w:t>支付的其他与经营活动有关的现金</w:t>
      </w:r>
    </w:p>
    <w:p>
      <w:pPr>
        <w:pStyle w:val="Style38"/>
        <w:keepNext w:val="0"/>
        <w:keepLines w:val="0"/>
        <w:widowControl w:val="0"/>
        <w:shd w:val="clear" w:color="auto" w:fill="auto"/>
        <w:tabs>
          <w:tab w:pos="5496" w:val="left"/>
          <w:tab w:pos="7646" w:val="left"/>
        </w:tabs>
        <w:bidi w:val="0"/>
        <w:spacing w:before="0" w:after="0" w:line="240" w:lineRule="auto"/>
        <w:ind w:left="0" w:right="0" w:firstLine="0"/>
        <w:jc w:val="center"/>
        <w:rPr>
          <w:sz w:val="20"/>
          <w:szCs w:val="20"/>
        </w:rPr>
      </w:pPr>
      <w:r>
        <w:rPr>
          <w:b/>
          <w:bCs/>
          <w:color w:val="000000"/>
          <w:spacing w:val="0"/>
          <w:w w:val="100"/>
          <w:position w:val="0"/>
          <w:sz w:val="20"/>
          <w:szCs w:val="20"/>
        </w:rPr>
        <w:t>项目</w:t>
        <w:tab/>
      </w: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年度</w:t>
        <w:tab/>
      </w: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年度</w:t>
      </w:r>
    </w:p>
    <w:tbl>
      <w:tblPr>
        <w:tblOverlap w:val="never"/>
        <w:jc w:val="center"/>
        <w:tblLayout w:type="fixed"/>
      </w:tblPr>
      <w:tblGrid>
        <w:gridCol w:w="4882"/>
        <w:gridCol w:w="2150"/>
        <w:gridCol w:w="2184"/>
      </w:tblGrid>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票据保证金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26,875,480.37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31,801,966.85</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费用类支出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62,005,396.28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100,186,341.10</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9,929,705.72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7,738,281.75</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2,290,941.59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6,759,094.02</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2,535,661.47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3,480,267.28</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103,637,185.43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b/>
                <w:bCs/>
                <w:color w:val="000000"/>
                <w:spacing w:val="0"/>
                <w:w w:val="100"/>
                <w:position w:val="0"/>
              </w:rPr>
              <w:t>149,965,951.00</w:t>
            </w:r>
          </w:p>
        </w:tc>
      </w:tr>
    </w:tbl>
    <w:p>
      <w:pPr>
        <w:widowControl w:val="0"/>
        <w:spacing w:after="99" w:line="1" w:lineRule="exact"/>
      </w:pPr>
    </w:p>
    <w:p>
      <w:pPr>
        <w:pStyle w:val="Style44"/>
        <w:keepNext w:val="0"/>
        <w:keepLines w:val="0"/>
        <w:widowControl w:val="0"/>
        <w:pBdr>
          <w:bottom w:val="single" w:sz="4" w:space="0" w:color="auto"/>
        </w:pBdr>
        <w:shd w:val="clear" w:color="auto" w:fill="auto"/>
        <w:bidi w:val="0"/>
        <w:spacing w:before="0" w:after="220" w:line="240" w:lineRule="auto"/>
        <w:ind w:left="0" w:right="0" w:firstLine="660"/>
        <w:jc w:val="left"/>
        <w:rPr>
          <w:sz w:val="24"/>
          <w:szCs w:val="24"/>
        </w:rPr>
      </w:pPr>
      <w:bookmarkStart w:id="1180" w:name="bookmark1180"/>
      <w:r>
        <w:rPr>
          <w:color w:val="000000"/>
          <w:spacing w:val="0"/>
          <w:w w:val="100"/>
          <w:position w:val="0"/>
          <w:sz w:val="24"/>
          <w:szCs w:val="24"/>
        </w:rPr>
        <w:t>（</w:t>
      </w:r>
      <w:bookmarkEnd w:id="1180"/>
      <w:r>
        <w:rPr>
          <w:color w:val="000000"/>
          <w:spacing w:val="0"/>
          <w:w w:val="100"/>
          <w:position w:val="0"/>
          <w:sz w:val="24"/>
          <w:szCs w:val="24"/>
        </w:rPr>
        <w:t>3）</w:t>
      </w:r>
      <w:r>
        <w:rPr>
          <w:color w:val="000000"/>
          <w:spacing w:val="0"/>
          <w:w w:val="100"/>
          <w:position w:val="0"/>
          <w:sz w:val="24"/>
          <w:szCs w:val="24"/>
        </w:rPr>
        <w:t>收到的其他与投资活动有关的现金</w:t>
      </w:r>
    </w:p>
    <w:p>
      <w:pPr>
        <w:pStyle w:val="Style38"/>
        <w:keepNext w:val="0"/>
        <w:keepLines w:val="0"/>
        <w:widowControl w:val="0"/>
        <w:shd w:val="clear" w:color="auto" w:fill="auto"/>
        <w:tabs>
          <w:tab w:pos="5496" w:val="left"/>
          <w:tab w:pos="7646" w:val="left"/>
        </w:tabs>
        <w:bidi w:val="0"/>
        <w:spacing w:before="0" w:after="0" w:line="240" w:lineRule="auto"/>
        <w:ind w:left="0" w:right="0" w:firstLine="0"/>
        <w:jc w:val="center"/>
        <w:rPr>
          <w:sz w:val="20"/>
          <w:szCs w:val="20"/>
        </w:rPr>
      </w:pPr>
      <w:r>
        <w:rPr>
          <w:b/>
          <w:bCs/>
          <w:color w:val="000000"/>
          <w:spacing w:val="0"/>
          <w:w w:val="100"/>
          <w:position w:val="0"/>
          <w:sz w:val="20"/>
          <w:szCs w:val="20"/>
        </w:rPr>
        <w:t>项目</w:t>
        <w:tab/>
      </w: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年度</w:t>
        <w:tab/>
      </w: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年度</w:t>
      </w:r>
    </w:p>
    <w:tbl>
      <w:tblPr>
        <w:tblOverlap w:val="never"/>
        <w:jc w:val="center"/>
        <w:tblLayout w:type="fixed"/>
      </w:tblPr>
      <w:tblGrid>
        <w:gridCol w:w="4877"/>
        <w:gridCol w:w="2150"/>
        <w:gridCol w:w="2189"/>
      </w:tblGrid>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收到华夏芯业绩补偿款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74,647,410.84</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 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b/>
                <w:bCs/>
                <w:color w:val="000000"/>
                <w:spacing w:val="0"/>
                <w:w w:val="100"/>
                <w:position w:val="0"/>
              </w:rPr>
              <w:t>74,647,410.84</w:t>
            </w:r>
          </w:p>
        </w:tc>
        <w:tc>
          <w:tcPr>
            <w:tcBorders>
              <w:top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44"/>
        <w:keepNext w:val="0"/>
        <w:keepLines w:val="0"/>
        <w:widowControl w:val="0"/>
        <w:pBdr>
          <w:bottom w:val="single" w:sz="4" w:space="0" w:color="auto"/>
        </w:pBdr>
        <w:shd w:val="clear" w:color="auto" w:fill="auto"/>
        <w:bidi w:val="0"/>
        <w:spacing w:before="0" w:after="220" w:line="240" w:lineRule="auto"/>
        <w:ind w:left="0" w:right="0" w:firstLine="660"/>
        <w:jc w:val="left"/>
        <w:rPr>
          <w:sz w:val="24"/>
          <w:szCs w:val="24"/>
        </w:rPr>
      </w:pPr>
      <w:bookmarkStart w:id="1181" w:name="bookmark1181"/>
      <w:r>
        <w:rPr>
          <w:color w:val="000000"/>
          <w:spacing w:val="0"/>
          <w:w w:val="100"/>
          <w:position w:val="0"/>
          <w:sz w:val="24"/>
          <w:szCs w:val="24"/>
        </w:rPr>
        <w:t>（</w:t>
      </w:r>
      <w:bookmarkEnd w:id="1181"/>
      <w:r>
        <w:rPr>
          <w:color w:val="000000"/>
          <w:spacing w:val="0"/>
          <w:w w:val="100"/>
          <w:position w:val="0"/>
          <w:sz w:val="24"/>
          <w:szCs w:val="24"/>
        </w:rPr>
        <w:t>4）</w:t>
      </w:r>
      <w:r>
        <w:rPr>
          <w:color w:val="000000"/>
          <w:spacing w:val="0"/>
          <w:w w:val="100"/>
          <w:position w:val="0"/>
          <w:sz w:val="24"/>
          <w:szCs w:val="24"/>
        </w:rPr>
        <w:t>支付的其他与筹资活动有关的现金</w:t>
      </w:r>
    </w:p>
    <w:p>
      <w:pPr>
        <w:pStyle w:val="Style38"/>
        <w:keepNext w:val="0"/>
        <w:keepLines w:val="0"/>
        <w:widowControl w:val="0"/>
        <w:shd w:val="clear" w:color="auto" w:fill="auto"/>
        <w:tabs>
          <w:tab w:pos="5496" w:val="left"/>
          <w:tab w:pos="7646" w:val="left"/>
        </w:tabs>
        <w:bidi w:val="0"/>
        <w:spacing w:before="0" w:after="0" w:line="240" w:lineRule="auto"/>
        <w:ind w:left="0" w:right="0" w:firstLine="0"/>
        <w:jc w:val="center"/>
        <w:rPr>
          <w:sz w:val="20"/>
          <w:szCs w:val="20"/>
        </w:rPr>
      </w:pPr>
      <w:r>
        <w:rPr>
          <w:b/>
          <w:bCs/>
          <w:color w:val="000000"/>
          <w:spacing w:val="0"/>
          <w:w w:val="100"/>
          <w:position w:val="0"/>
          <w:sz w:val="20"/>
          <w:szCs w:val="20"/>
        </w:rPr>
        <w:t>项目</w:t>
        <w:tab/>
      </w: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年度</w:t>
        <w:tab/>
      </w: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年度</w:t>
      </w:r>
    </w:p>
    <w:tbl>
      <w:tblPr>
        <w:tblOverlap w:val="never"/>
        <w:jc w:val="center"/>
        <w:tblLayout w:type="fixed"/>
      </w:tblPr>
      <w:tblGrid>
        <w:gridCol w:w="4882"/>
        <w:gridCol w:w="2150"/>
        <w:gridCol w:w="2184"/>
      </w:tblGrid>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借款保证金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20,034,350.80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b/>
                <w:bCs/>
                <w:color w:val="000000"/>
                <w:spacing w:val="0"/>
                <w:w w:val="100"/>
                <w:position w:val="0"/>
              </w:rPr>
              <w:t>20,034,350.80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52"/>
        <w:keepNext/>
        <w:keepLines/>
        <w:widowControl w:val="0"/>
        <w:shd w:val="clear" w:color="auto" w:fill="auto"/>
        <w:bidi w:val="0"/>
        <w:spacing w:before="0" w:after="400" w:line="240" w:lineRule="auto"/>
        <w:ind w:left="0" w:right="0" w:firstLine="0"/>
        <w:jc w:val="left"/>
        <w:rPr>
          <w:sz w:val="24"/>
          <w:szCs w:val="24"/>
        </w:rPr>
      </w:pPr>
      <w:bookmarkStart w:id="1182" w:name="bookmark1182"/>
      <w:bookmarkStart w:id="1183" w:name="bookmark1183"/>
      <w:bookmarkStart w:id="1184" w:name="bookmark1184"/>
      <w:bookmarkStart w:id="1185" w:name="bookmark1185"/>
      <w:r>
        <w:rPr>
          <w:rFonts w:ascii="Times New Roman" w:eastAsia="Times New Roman" w:hAnsi="Times New Roman" w:cs="Times New Roman"/>
          <w:b w:val="0"/>
          <w:bCs w:val="0"/>
          <w:color w:val="000000"/>
          <w:spacing w:val="0"/>
          <w:w w:val="100"/>
          <w:position w:val="0"/>
          <w:sz w:val="24"/>
          <w:szCs w:val="24"/>
        </w:rPr>
        <w:t>5</w:t>
      </w:r>
      <w:bookmarkEnd w:id="1184"/>
      <w:r>
        <w:rPr>
          <w:rFonts w:ascii="Times New Roman" w:eastAsia="Times New Roman" w:hAnsi="Times New Roman" w:cs="Times New Roman"/>
          <w:b w:val="0"/>
          <w:bCs w:val="0"/>
          <w:color w:val="000000"/>
          <w:spacing w:val="0"/>
          <w:w w:val="100"/>
          <w:position w:val="0"/>
          <w:sz w:val="24"/>
          <w:szCs w:val="24"/>
        </w:rPr>
        <w:t>5</w:t>
      </w:r>
      <w:r>
        <w:rPr>
          <w:b w:val="0"/>
          <w:bCs w:val="0"/>
          <w:color w:val="000000"/>
          <w:spacing w:val="0"/>
          <w:w w:val="100"/>
          <w:position w:val="0"/>
          <w:sz w:val="24"/>
          <w:szCs w:val="24"/>
        </w:rPr>
        <w:t>、现金流量表补充资料</w:t>
      </w:r>
      <w:bookmarkEnd w:id="1182"/>
      <w:bookmarkEnd w:id="1183"/>
      <w:bookmarkEnd w:id="1185"/>
    </w:p>
    <w:p>
      <w:pPr>
        <w:pStyle w:val="Style52"/>
        <w:keepNext/>
        <w:keepLines/>
        <w:widowControl w:val="0"/>
        <w:pBdr>
          <w:bottom w:val="single" w:sz="4" w:space="0" w:color="auto"/>
        </w:pBdr>
        <w:shd w:val="clear" w:color="auto" w:fill="auto"/>
        <w:bidi w:val="0"/>
        <w:spacing w:before="0" w:after="220" w:line="240" w:lineRule="auto"/>
        <w:ind w:left="0" w:right="0" w:firstLine="660"/>
        <w:jc w:val="left"/>
        <w:rPr>
          <w:sz w:val="24"/>
          <w:szCs w:val="24"/>
        </w:rPr>
      </w:pPr>
      <w:bookmarkStart w:id="1182" w:name="bookmark1182"/>
      <w:bookmarkStart w:id="1183" w:name="bookmark1183"/>
      <w:r>
        <w:rPr>
          <w:b w:val="0"/>
          <w:bCs w:val="0"/>
          <w:color w:val="000000"/>
          <w:spacing w:val="0"/>
          <w:w w:val="100"/>
          <w:position w:val="0"/>
          <w:sz w:val="24"/>
          <w:szCs w:val="24"/>
        </w:rPr>
        <w:t>（1）</w:t>
      </w:r>
      <w:r>
        <w:rPr>
          <w:b w:val="0"/>
          <w:bCs w:val="0"/>
          <w:color w:val="000000"/>
          <w:spacing w:val="0"/>
          <w:w w:val="100"/>
          <w:position w:val="0"/>
          <w:sz w:val="24"/>
          <w:szCs w:val="24"/>
        </w:rPr>
        <w:t>现金流量表补充资料</w:t>
      </w:r>
      <w:bookmarkEnd w:id="1182"/>
      <w:bookmarkEnd w:id="1183"/>
    </w:p>
    <w:p>
      <w:pPr>
        <w:pStyle w:val="Style38"/>
        <w:keepNext w:val="0"/>
        <w:keepLines w:val="0"/>
        <w:widowControl w:val="0"/>
        <w:shd w:val="clear" w:color="auto" w:fill="auto"/>
        <w:tabs>
          <w:tab w:pos="6101" w:val="left"/>
          <w:tab w:pos="7829" w:val="left"/>
        </w:tabs>
        <w:bidi w:val="0"/>
        <w:spacing w:before="0" w:after="0" w:line="240" w:lineRule="auto"/>
        <w:ind w:left="0" w:right="0" w:firstLine="0"/>
        <w:jc w:val="center"/>
        <w:rPr>
          <w:sz w:val="20"/>
          <w:szCs w:val="20"/>
        </w:rPr>
      </w:pPr>
      <w:r>
        <w:rPr>
          <w:b/>
          <w:bCs/>
          <w:color w:val="000000"/>
          <w:spacing w:val="0"/>
          <w:w w:val="100"/>
          <w:position w:val="0"/>
          <w:sz w:val="20"/>
          <w:szCs w:val="20"/>
        </w:rPr>
        <w:t>补充资料</w:t>
        <w:tab/>
      </w: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年度</w:t>
        <w:tab/>
      </w: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年度</w:t>
      </w:r>
    </w:p>
    <w:tbl>
      <w:tblPr>
        <w:tblOverlap w:val="never"/>
        <w:jc w:val="center"/>
        <w:tblLayout w:type="fixed"/>
      </w:tblPr>
      <w:tblGrid>
        <w:gridCol w:w="5904"/>
        <w:gridCol w:w="1656"/>
        <w:gridCol w:w="1790"/>
      </w:tblGrid>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0"/>
                <w:szCs w:val="2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-6,535,064.34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42,911,652.36</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加：信用减值损失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-32,560,472.04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40,386,131.23</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34,163,619.51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246,421,900.89</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24,640,593.80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24,789,750.12</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22,075,229.38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15,566,848.25</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22,645,529.45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19,707,172.57</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资产处置损失（收益以</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-106,571.39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443,461.25</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固定资产报废损失（收益以</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415,864.00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-15,619.04</w:t>
            </w:r>
          </w:p>
        </w:tc>
      </w:tr>
    </w:tbl>
    <w:p>
      <w:pPr>
        <w:widowControl w:val="0"/>
        <w:spacing w:line="1" w:lineRule="exact"/>
      </w:pPr>
      <w:r>
        <w:br w:type="page"/>
      </w:r>
    </w:p>
    <w:tbl>
      <w:tblPr>
        <w:tblOverlap w:val="never"/>
        <w:jc w:val="center"/>
        <w:tblLayout w:type="fixed"/>
      </w:tblPr>
      <w:tblGrid>
        <w:gridCol w:w="5904"/>
        <w:gridCol w:w="1656"/>
        <w:gridCol w:w="1790"/>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公允价值变动损失（收益以</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-12,749,229.48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80,070,802.16</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财务费用（收益以</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42,870,110.49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28,862,662.09</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投资损失（收益以</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9,669,147.75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19,895,717.17</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递延所得税资产减少（增加以</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1,764,463.52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101,920,071.05</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递延所得税负债增加（减少以</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-673,691.42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-14,725,068.48</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存货的减少（增加以</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-42,175,867.76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-36,526,795.04</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经营性应收项目的减少（增加以</w:t>
            </w:r>
            <w:r>
              <w:rPr>
                <w:i/>
                <w:iCs/>
                <w:color w:val="000000"/>
                <w:spacing w:val="0"/>
                <w:w w:val="100"/>
                <w:position w:val="0"/>
                <w:sz w:val="20"/>
                <w:szCs w:val="20"/>
              </w:rPr>
              <w:t>“</w:t>
            </w:r>
            <w:r>
              <w:rPr>
                <w:i/>
                <w:iCs/>
                <w:color w:val="000000"/>
                <w:spacing w:val="0"/>
                <w:w w:val="100"/>
                <w:position w:val="0"/>
                <w:sz w:val="22"/>
                <w:szCs w:val="22"/>
              </w:rPr>
              <w:t>一</w:t>
            </w:r>
            <w:r>
              <w:rPr>
                <w:i/>
                <w:iCs/>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147,659,607.59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-228,848,400.79</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经营性应付项目的增加（减少以</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-111,201,561.13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-411,084,153.74</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-74,647,410.84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-155,884.63</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25,254,297.09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-70,379,752.58</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sz w:val="20"/>
                <w:szCs w:val="2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b/>
                <w:bCs/>
                <w:color w:val="000000"/>
                <w:spacing w:val="0"/>
                <w:w w:val="100"/>
                <w:position w:val="0"/>
                <w:sz w:val="22"/>
                <w:szCs w:val="22"/>
              </w:rPr>
              <w:t>3</w:t>
            </w:r>
            <w:r>
              <w:rPr>
                <w:b/>
                <w:bCs/>
                <w:color w:val="000000"/>
                <w:spacing w:val="0"/>
                <w:w w:val="100"/>
                <w:position w:val="0"/>
                <w:sz w:val="20"/>
                <w:szCs w:val="2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258,772,293.84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208,612,613.57</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208,612,613.57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481,820,628.71</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50,159,680.27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-273,208,015.14</w:t>
            </w:r>
          </w:p>
        </w:tc>
      </w:tr>
    </w:tbl>
    <w:p>
      <w:pPr>
        <w:widowControl w:val="0"/>
        <w:spacing w:line="1" w:lineRule="exact"/>
      </w:pPr>
    </w:p>
    <w:tbl>
      <w:tblPr>
        <w:tblOverlap w:val="never"/>
        <w:jc w:val="center"/>
        <w:tblLayout w:type="fixed"/>
      </w:tblPr>
      <w:tblGrid>
        <w:gridCol w:w="6389"/>
        <w:gridCol w:w="2909"/>
      </w:tblGrid>
      <w:tr>
        <w:trPr>
          <w:trHeight w:val="57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4"/>
                <w:szCs w:val="24"/>
              </w:rPr>
            </w:pPr>
            <w:r>
              <w:rPr>
                <w:color w:val="000000"/>
                <w:spacing w:val="0"/>
                <w:w w:val="100"/>
                <w:position w:val="0"/>
                <w:sz w:val="24"/>
                <w:szCs w:val="24"/>
              </w:rPr>
              <w:t>（2）</w:t>
            </w:r>
            <w:r>
              <w:rPr>
                <w:color w:val="000000"/>
                <w:spacing w:val="0"/>
                <w:w w:val="100"/>
                <w:position w:val="0"/>
                <w:sz w:val="24"/>
                <w:szCs w:val="24"/>
              </w:rPr>
              <w:t>本期支付的取得子公司的现金净额</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20"/>
                <w:szCs w:val="20"/>
              </w:rPr>
            </w:pPr>
            <w:r>
              <w:rPr>
                <w:b/>
                <w:bCs/>
                <w:color w:val="000000"/>
                <w:spacing w:val="0"/>
                <w:w w:val="100"/>
                <w:position w:val="0"/>
                <w:sz w:val="20"/>
                <w:szCs w:val="20"/>
              </w:rPr>
              <w:t>金额</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以前期间发生的企业合并于本期支付的现金或现金等价物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40,800,000.00</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其中：深圳市斯诺实业发展有限公司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40,800,000.00</w:t>
            </w:r>
          </w:p>
        </w:tc>
      </w:tr>
    </w:tbl>
    <w:p>
      <w:pPr>
        <w:widowControl w:val="0"/>
        <w:spacing w:after="99" w:line="1" w:lineRule="exact"/>
      </w:pPr>
    </w:p>
    <w:p>
      <w:pPr>
        <w:pStyle w:val="Style17"/>
        <w:keepNext w:val="0"/>
        <w:keepLines w:val="0"/>
        <w:widowControl w:val="0"/>
        <w:pBdr>
          <w:bottom w:val="single" w:sz="4" w:space="0" w:color="auto"/>
        </w:pBdr>
        <w:shd w:val="clear" w:color="auto" w:fill="auto"/>
        <w:bidi w:val="0"/>
        <w:spacing w:before="0" w:after="220" w:line="240" w:lineRule="auto"/>
        <w:ind w:left="0" w:right="0" w:firstLine="760"/>
        <w:jc w:val="left"/>
        <w:rPr>
          <w:sz w:val="24"/>
          <w:szCs w:val="24"/>
        </w:rPr>
      </w:pPr>
      <w:bookmarkStart w:id="1186" w:name="bookmark1186"/>
      <w:r>
        <w:rPr>
          <w:b w:val="0"/>
          <w:bCs w:val="0"/>
          <w:color w:val="000000"/>
          <w:spacing w:val="0"/>
          <w:w w:val="100"/>
          <w:position w:val="0"/>
          <w:sz w:val="24"/>
          <w:szCs w:val="24"/>
        </w:rPr>
        <w:t>（</w:t>
      </w:r>
      <w:bookmarkEnd w:id="1186"/>
      <w:r>
        <w:rPr>
          <w:b w:val="0"/>
          <w:bCs w:val="0"/>
          <w:color w:val="000000"/>
          <w:spacing w:val="0"/>
          <w:w w:val="100"/>
          <w:position w:val="0"/>
          <w:sz w:val="24"/>
          <w:szCs w:val="24"/>
        </w:rPr>
        <w:t>3）</w:t>
      </w:r>
      <w:r>
        <w:rPr>
          <w:b w:val="0"/>
          <w:bCs w:val="0"/>
          <w:color w:val="000000"/>
          <w:spacing w:val="0"/>
          <w:w w:val="100"/>
          <w:position w:val="0"/>
          <w:sz w:val="24"/>
          <w:szCs w:val="24"/>
        </w:rPr>
        <w:t>现金和现金等价物的构成</w:t>
      </w:r>
    </w:p>
    <w:p>
      <w:pPr>
        <w:pStyle w:val="Style38"/>
        <w:keepNext w:val="0"/>
        <w:keepLines w:val="0"/>
        <w:widowControl w:val="0"/>
        <w:shd w:val="clear" w:color="auto" w:fill="auto"/>
        <w:tabs>
          <w:tab w:pos="5856" w:val="left"/>
          <w:tab w:pos="7541" w:val="left"/>
        </w:tabs>
        <w:bidi w:val="0"/>
        <w:spacing w:before="0" w:after="0" w:line="240" w:lineRule="auto"/>
        <w:ind w:left="0" w:right="0" w:firstLine="0"/>
        <w:jc w:val="center"/>
        <w:rPr>
          <w:sz w:val="20"/>
          <w:szCs w:val="20"/>
        </w:rPr>
      </w:pPr>
      <w:r>
        <w:rPr>
          <w:b/>
          <w:bCs/>
          <w:color w:val="000000"/>
          <w:spacing w:val="0"/>
          <w:w w:val="100"/>
          <w:position w:val="0"/>
          <w:sz w:val="20"/>
          <w:szCs w:val="20"/>
        </w:rPr>
        <w:t>项目</w:t>
        <w:tab/>
      </w: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年度</w:t>
        <w:tab/>
      </w: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年度</w:t>
      </w:r>
    </w:p>
    <w:tbl>
      <w:tblPr>
        <w:tblOverlap w:val="never"/>
        <w:jc w:val="center"/>
        <w:tblLayout w:type="fixed"/>
      </w:tblPr>
      <w:tblGrid>
        <w:gridCol w:w="5578"/>
        <w:gridCol w:w="1843"/>
        <w:gridCol w:w="1709"/>
      </w:tblGrid>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258,772,293.84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208,612,613.57</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227,590.86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237,329.85</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258,534,763.40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208,372,983.51</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9,939.58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2,300.21</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258,772,293.84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208,612,613.57</w:t>
            </w:r>
          </w:p>
        </w:tc>
      </w:tr>
    </w:tbl>
    <w:p>
      <w:pPr>
        <w:sectPr>
          <w:headerReference w:type="default" r:id="rId147"/>
          <w:footerReference w:type="default" r:id="rId148"/>
          <w:headerReference w:type="even" r:id="rId149"/>
          <w:footerReference w:type="even" r:id="rId150"/>
          <w:footnotePr>
            <w:pos w:val="pageBottom"/>
            <w:numFmt w:val="decimal"/>
            <w:numRestart w:val="continuous"/>
          </w:footnotePr>
          <w:pgSz w:w="11900" w:h="16840"/>
          <w:pgMar w:top="1136" w:right="885" w:bottom="1275" w:left="801" w:header="0" w:footer="3" w:gutter="0"/>
          <w:cols w:space="720"/>
          <w:noEndnote/>
          <w:rtlGutter w:val="0"/>
          <w:docGrid w:linePitch="360"/>
        </w:sectPr>
      </w:pPr>
    </w:p>
    <w:p>
      <w:pPr>
        <w:pStyle w:val="Style52"/>
        <w:keepNext/>
        <w:keepLines/>
        <w:widowControl w:val="0"/>
        <w:shd w:val="clear" w:color="auto" w:fill="auto"/>
        <w:bidi w:val="0"/>
        <w:spacing w:before="0" w:line="240" w:lineRule="auto"/>
        <w:ind w:left="0" w:right="0" w:firstLine="140"/>
        <w:jc w:val="left"/>
        <w:rPr>
          <w:sz w:val="24"/>
          <w:szCs w:val="24"/>
        </w:rPr>
      </w:pPr>
      <w:bookmarkStart w:id="1187" w:name="bookmark1187"/>
      <w:bookmarkStart w:id="1188" w:name="bookmark1188"/>
      <w:bookmarkStart w:id="1189" w:name="bookmark1189"/>
      <w:bookmarkStart w:id="1190" w:name="bookmark1190"/>
      <w:r>
        <w:rPr>
          <w:rFonts w:ascii="Times New Roman" w:eastAsia="Times New Roman" w:hAnsi="Times New Roman" w:cs="Times New Roman"/>
          <w:b w:val="0"/>
          <w:bCs w:val="0"/>
          <w:color w:val="000000"/>
          <w:spacing w:val="0"/>
          <w:w w:val="100"/>
          <w:position w:val="0"/>
          <w:sz w:val="24"/>
          <w:szCs w:val="24"/>
        </w:rPr>
        <w:t>5</w:t>
      </w:r>
      <w:bookmarkEnd w:id="1189"/>
      <w:r>
        <w:rPr>
          <w:rFonts w:ascii="Times New Roman" w:eastAsia="Times New Roman" w:hAnsi="Times New Roman" w:cs="Times New Roman"/>
          <w:b w:val="0"/>
          <w:bCs w:val="0"/>
          <w:color w:val="000000"/>
          <w:spacing w:val="0"/>
          <w:w w:val="100"/>
          <w:position w:val="0"/>
          <w:sz w:val="24"/>
          <w:szCs w:val="24"/>
        </w:rPr>
        <w:t>6</w:t>
      </w:r>
      <w:r>
        <w:rPr>
          <w:b w:val="0"/>
          <w:bCs w:val="0"/>
          <w:color w:val="000000"/>
          <w:spacing w:val="0"/>
          <w:w w:val="100"/>
          <w:position w:val="0"/>
          <w:sz w:val="24"/>
          <w:szCs w:val="24"/>
        </w:rPr>
        <w:t>、所有权或使用权受到限制的资产</w:t>
      </w:r>
      <w:bookmarkEnd w:id="1187"/>
      <w:bookmarkEnd w:id="1188"/>
      <w:bookmarkEnd w:id="1190"/>
    </w:p>
    <w:tbl>
      <w:tblPr>
        <w:tblOverlap w:val="never"/>
        <w:jc w:val="center"/>
        <w:tblLayout w:type="fixed"/>
      </w:tblPr>
      <w:tblGrid>
        <w:gridCol w:w="3115"/>
        <w:gridCol w:w="3125"/>
        <w:gridCol w:w="2856"/>
      </w:tblGrid>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b/>
                <w:bCs/>
                <w:color w:val="000000"/>
                <w:spacing w:val="0"/>
                <w:w w:val="100"/>
                <w:position w:val="0"/>
                <w:sz w:val="20"/>
                <w:szCs w:val="20"/>
              </w:rPr>
              <w:t>受限原因</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货币资金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37,015,985.64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票据保证金及借款保证金</w:t>
            </w:r>
          </w:p>
        </w:tc>
      </w:tr>
      <w:tr>
        <w:trPr>
          <w:trHeight w:val="45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应收票据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rPr>
              <w:t>536,025.76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票据质押</w:t>
            </w:r>
          </w:p>
        </w:tc>
      </w:tr>
      <w:tr>
        <w:trPr>
          <w:trHeight w:val="45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应收款项融资</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12,758,889.88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票据质押</w:t>
            </w:r>
          </w:p>
        </w:tc>
      </w:tr>
      <w:tr>
        <w:trPr>
          <w:trHeight w:val="45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投资性房地产</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379,019,310.00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借款抵押</w:t>
            </w:r>
          </w:p>
        </w:tc>
      </w:tr>
      <w:tr>
        <w:trPr>
          <w:trHeight w:val="46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固定资产</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254,607,200.25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借款抵押</w:t>
            </w:r>
          </w:p>
        </w:tc>
      </w:tr>
      <w:tr>
        <w:trPr>
          <w:trHeight w:val="490"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无形资产</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21,846,042.37</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借款抵押</w:t>
            </w:r>
          </w:p>
        </w:tc>
      </w:tr>
    </w:tbl>
    <w:p>
      <w:pPr>
        <w:pStyle w:val="Style38"/>
        <w:keepNext w:val="0"/>
        <w:keepLines w:val="0"/>
        <w:widowControl w:val="0"/>
        <w:shd w:val="clear" w:color="auto" w:fill="auto"/>
        <w:tabs>
          <w:tab w:pos="4594" w:val="left"/>
        </w:tabs>
        <w:bidi w:val="0"/>
        <w:spacing w:before="0" w:after="0" w:line="240" w:lineRule="auto"/>
        <w:ind w:left="480" w:right="0" w:firstLine="0"/>
        <w:jc w:val="left"/>
      </w:pPr>
      <w:r>
        <w:rPr>
          <w:b/>
          <w:bCs/>
          <w:color w:val="000000"/>
          <w:spacing w:val="0"/>
          <w:w w:val="100"/>
          <w:position w:val="0"/>
          <w:sz w:val="20"/>
          <w:szCs w:val="20"/>
        </w:rPr>
        <w:t>合计</w:t>
        <w:tab/>
      </w:r>
      <w:r>
        <w:rPr>
          <w:rFonts w:ascii="Times New Roman" w:eastAsia="Times New Roman" w:hAnsi="Times New Roman" w:cs="Times New Roman"/>
          <w:b/>
          <w:bCs/>
          <w:color w:val="000000"/>
          <w:spacing w:val="0"/>
          <w:w w:val="100"/>
          <w:position w:val="0"/>
        </w:rPr>
        <w:t>705,783,453.90</w:t>
      </w:r>
    </w:p>
    <w:p>
      <w:pPr>
        <w:widowControl w:val="0"/>
        <w:spacing w:after="399" w:line="1" w:lineRule="exact"/>
      </w:pPr>
    </w:p>
    <w:p>
      <w:pPr>
        <w:pStyle w:val="Style52"/>
        <w:keepNext/>
        <w:keepLines/>
        <w:widowControl w:val="0"/>
        <w:shd w:val="clear" w:color="auto" w:fill="auto"/>
        <w:bidi w:val="0"/>
        <w:spacing w:before="0" w:after="400" w:line="240" w:lineRule="auto"/>
        <w:ind w:left="0" w:right="0" w:firstLine="140"/>
        <w:jc w:val="left"/>
        <w:rPr>
          <w:sz w:val="24"/>
          <w:szCs w:val="24"/>
        </w:rPr>
      </w:pPr>
      <w:bookmarkStart w:id="1191" w:name="bookmark1191"/>
      <w:bookmarkStart w:id="1192" w:name="bookmark1192"/>
      <w:bookmarkStart w:id="1193" w:name="bookmark1193"/>
      <w:bookmarkStart w:id="1194" w:name="bookmark1194"/>
      <w:r>
        <w:rPr>
          <w:rFonts w:ascii="Times New Roman" w:eastAsia="Times New Roman" w:hAnsi="Times New Roman" w:cs="Times New Roman"/>
          <w:b w:val="0"/>
          <w:bCs w:val="0"/>
          <w:color w:val="000000"/>
          <w:spacing w:val="0"/>
          <w:w w:val="100"/>
          <w:position w:val="0"/>
          <w:sz w:val="24"/>
          <w:szCs w:val="24"/>
        </w:rPr>
        <w:t>5</w:t>
      </w:r>
      <w:bookmarkEnd w:id="1193"/>
      <w:r>
        <w:rPr>
          <w:rFonts w:ascii="Times New Roman" w:eastAsia="Times New Roman" w:hAnsi="Times New Roman" w:cs="Times New Roman"/>
          <w:b w:val="0"/>
          <w:bCs w:val="0"/>
          <w:color w:val="000000"/>
          <w:spacing w:val="0"/>
          <w:w w:val="100"/>
          <w:position w:val="0"/>
          <w:sz w:val="24"/>
          <w:szCs w:val="24"/>
        </w:rPr>
        <w:t>7</w:t>
      </w:r>
      <w:r>
        <w:rPr>
          <w:b w:val="0"/>
          <w:bCs w:val="0"/>
          <w:color w:val="000000"/>
          <w:spacing w:val="0"/>
          <w:w w:val="100"/>
          <w:position w:val="0"/>
          <w:sz w:val="24"/>
          <w:szCs w:val="24"/>
        </w:rPr>
        <w:t>、外币货币性项目</w:t>
      </w:r>
      <w:bookmarkEnd w:id="1191"/>
      <w:bookmarkEnd w:id="1192"/>
      <w:bookmarkEnd w:id="1194"/>
    </w:p>
    <w:p>
      <w:pPr>
        <w:pStyle w:val="Style38"/>
        <w:keepNext w:val="0"/>
        <w:keepLines w:val="0"/>
        <w:widowControl w:val="0"/>
        <w:shd w:val="clear" w:color="auto" w:fill="auto"/>
        <w:tabs>
          <w:tab w:pos="1114" w:val="left"/>
          <w:tab w:pos="3638" w:val="left"/>
          <w:tab w:pos="5707" w:val="left"/>
          <w:tab w:pos="7157" w:val="left"/>
        </w:tabs>
        <w:bidi w:val="0"/>
        <w:spacing w:before="0" w:after="0" w:line="240" w:lineRule="auto"/>
        <w:ind w:left="418" w:right="0" w:firstLine="0"/>
        <w:jc w:val="left"/>
        <w:rPr>
          <w:sz w:val="20"/>
          <w:szCs w:val="20"/>
        </w:rPr>
      </w:pPr>
      <w:r>
        <w:rPr>
          <w:b/>
          <w:bCs/>
          <w:color w:val="000000"/>
          <w:spacing w:val="0"/>
          <w:w w:val="100"/>
          <w:position w:val="0"/>
          <w:sz w:val="20"/>
          <w:szCs w:val="20"/>
        </w:rPr>
        <w:t>项</w:t>
        <w:tab/>
        <w:t>目</w:t>
        <w:tab/>
        <w:t>期末外币余额</w:t>
        <w:tab/>
        <w:t>折算汇率</w:t>
        <w:tab/>
        <w:t>期末折算人民币余额</w:t>
      </w:r>
    </w:p>
    <w:tbl>
      <w:tblPr>
        <w:tblOverlap w:val="never"/>
        <w:jc w:val="center"/>
        <w:tblLayout w:type="fixed"/>
      </w:tblPr>
      <w:tblGrid>
        <w:gridCol w:w="3264"/>
        <w:gridCol w:w="1987"/>
        <w:gridCol w:w="1742"/>
        <w:gridCol w:w="2299"/>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9,306,615.67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1,406,864.66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6.5249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9,179,651.22</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港元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15,237.93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0.8416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12,824.24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23,145.60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4.9314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114,140.21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2,693,255.83</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412,765.84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6.5249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2,693,255.83</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218,839.81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6.5249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110.92</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44,354.32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4.9314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218,728.89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14,751,741.87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2,260,838.00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6.5249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14,751,741.87</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1,763,972.07</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270,344.69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6.5249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1,763,972.07</w:t>
            </w:r>
          </w:p>
        </w:tc>
      </w:tr>
    </w:tbl>
    <w:p>
      <w:pPr>
        <w:widowControl w:val="0"/>
        <w:spacing w:after="299" w:line="1" w:lineRule="exact"/>
      </w:pPr>
    </w:p>
    <w:p>
      <w:pPr>
        <w:pStyle w:val="Style52"/>
        <w:keepNext/>
        <w:keepLines/>
        <w:widowControl w:val="0"/>
        <w:shd w:val="clear" w:color="auto" w:fill="auto"/>
        <w:bidi w:val="0"/>
        <w:spacing w:before="0" w:after="400" w:line="240" w:lineRule="auto"/>
        <w:ind w:left="0" w:right="0" w:firstLine="140"/>
        <w:jc w:val="left"/>
        <w:rPr>
          <w:sz w:val="24"/>
          <w:szCs w:val="24"/>
        </w:rPr>
      </w:pPr>
      <w:bookmarkStart w:id="1195" w:name="bookmark1195"/>
      <w:bookmarkStart w:id="1196" w:name="bookmark1196"/>
      <w:bookmarkStart w:id="1197" w:name="bookmark1197"/>
      <w:bookmarkStart w:id="1198" w:name="bookmark1198"/>
      <w:r>
        <w:rPr>
          <w:rFonts w:ascii="Times New Roman" w:eastAsia="Times New Roman" w:hAnsi="Times New Roman" w:cs="Times New Roman"/>
          <w:b w:val="0"/>
          <w:bCs w:val="0"/>
          <w:color w:val="000000"/>
          <w:spacing w:val="0"/>
          <w:w w:val="100"/>
          <w:position w:val="0"/>
          <w:sz w:val="24"/>
          <w:szCs w:val="24"/>
        </w:rPr>
        <w:t>5</w:t>
      </w:r>
      <w:bookmarkEnd w:id="1197"/>
      <w:r>
        <w:rPr>
          <w:rFonts w:ascii="Times New Roman" w:eastAsia="Times New Roman" w:hAnsi="Times New Roman" w:cs="Times New Roman"/>
          <w:b w:val="0"/>
          <w:bCs w:val="0"/>
          <w:color w:val="000000"/>
          <w:spacing w:val="0"/>
          <w:w w:val="100"/>
          <w:position w:val="0"/>
          <w:sz w:val="24"/>
          <w:szCs w:val="24"/>
        </w:rPr>
        <w:t>8</w:t>
      </w:r>
      <w:r>
        <w:rPr>
          <w:b w:val="0"/>
          <w:bCs w:val="0"/>
          <w:color w:val="000000"/>
          <w:spacing w:val="0"/>
          <w:w w:val="100"/>
          <w:position w:val="0"/>
          <w:sz w:val="24"/>
          <w:szCs w:val="24"/>
        </w:rPr>
        <w:t>、政府补助</w:t>
      </w:r>
      <w:bookmarkEnd w:id="1195"/>
      <w:bookmarkEnd w:id="1196"/>
      <w:bookmarkEnd w:id="1198"/>
    </w:p>
    <w:p>
      <w:pPr>
        <w:pStyle w:val="Style52"/>
        <w:keepNext/>
        <w:keepLines/>
        <w:widowControl w:val="0"/>
        <w:shd w:val="clear" w:color="auto" w:fill="auto"/>
        <w:bidi w:val="0"/>
        <w:spacing w:before="0" w:after="240" w:line="240" w:lineRule="auto"/>
        <w:ind w:left="0" w:right="0" w:firstLine="660"/>
        <w:jc w:val="left"/>
        <w:rPr>
          <w:sz w:val="24"/>
          <w:szCs w:val="24"/>
        </w:rPr>
      </w:pPr>
      <w:bookmarkStart w:id="1195" w:name="bookmark1195"/>
      <w:bookmarkStart w:id="1196" w:name="bookmark1196"/>
      <w:r>
        <w:rPr>
          <w:b w:val="0"/>
          <w:bCs w:val="0"/>
          <w:color w:val="000000"/>
          <w:spacing w:val="0"/>
          <w:w w:val="100"/>
          <w:position w:val="0"/>
          <w:sz w:val="24"/>
          <w:szCs w:val="24"/>
        </w:rPr>
        <w:t>（1）</w:t>
      </w:r>
      <w:r>
        <w:rPr>
          <w:b w:val="0"/>
          <w:bCs w:val="0"/>
          <w:color w:val="000000"/>
          <w:spacing w:val="0"/>
          <w:w w:val="100"/>
          <w:position w:val="0"/>
          <w:sz w:val="24"/>
          <w:szCs w:val="24"/>
        </w:rPr>
        <w:t>本期确认的政府补助</w:t>
      </w:r>
      <w:bookmarkEnd w:id="1195"/>
      <w:bookmarkEnd w:id="1196"/>
    </w:p>
    <w:p>
      <w:pPr>
        <w:pStyle w:val="Style44"/>
        <w:keepNext w:val="0"/>
        <w:keepLines w:val="0"/>
        <w:widowControl w:val="0"/>
        <w:shd w:val="clear" w:color="auto" w:fill="auto"/>
        <w:tabs>
          <w:tab w:pos="3137" w:val="left"/>
          <w:tab w:pos="6578" w:val="left"/>
        </w:tabs>
        <w:bidi w:val="0"/>
        <w:spacing w:before="0" w:after="360" w:line="240" w:lineRule="auto"/>
        <w:ind w:left="0" w:right="0" w:firstLine="300"/>
        <w:jc w:val="left"/>
        <w:rPr>
          <w:sz w:val="20"/>
          <w:szCs w:val="20"/>
        </w:rPr>
      </w:pPr>
      <w:r>
        <w:rPr>
          <w:b/>
          <w:bCs/>
          <w:color w:val="000000"/>
          <w:spacing w:val="0"/>
          <w:w w:val="100"/>
          <w:position w:val="0"/>
          <w:sz w:val="20"/>
          <w:szCs w:val="20"/>
        </w:rPr>
        <w:t>补助项目</w:t>
        <w:tab/>
        <w:t>金额与资产相关</w:t>
        <w:tab/>
        <w:t>与收益相关</w:t>
      </w:r>
      <w:r>
        <w:br w:type="page"/>
      </w:r>
    </w:p>
    <w:tbl>
      <w:tblPr>
        <w:tblOverlap w:val="never"/>
        <w:jc w:val="center"/>
        <w:tblLayout w:type="fixed"/>
      </w:tblPr>
      <w:tblGrid>
        <w:gridCol w:w="2486"/>
        <w:gridCol w:w="1416"/>
        <w:gridCol w:w="566"/>
        <w:gridCol w:w="710"/>
        <w:gridCol w:w="422"/>
        <w:gridCol w:w="1392"/>
        <w:gridCol w:w="427"/>
        <w:gridCol w:w="1301"/>
        <w:gridCol w:w="600"/>
      </w:tblGrid>
      <w:tr>
        <w:trPr>
          <w:trHeight w:val="170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其他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b/>
                <w:bCs/>
                <w:color w:val="000000"/>
                <w:spacing w:val="0"/>
                <w:w w:val="100"/>
                <w:position w:val="0"/>
                <w:sz w:val="20"/>
                <w:szCs w:val="20"/>
              </w:rPr>
              <w:t>冲减资 产账面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b/>
                <w:bCs/>
                <w:color w:val="000000"/>
                <w:spacing w:val="0"/>
                <w:w w:val="100"/>
                <w:position w:val="0"/>
                <w:sz w:val="20"/>
                <w:szCs w:val="20"/>
              </w:rPr>
              <w:t>递 延 收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140" w:right="0" w:firstLine="0"/>
              <w:jc w:val="both"/>
              <w:rPr>
                <w:sz w:val="20"/>
                <w:szCs w:val="20"/>
              </w:rPr>
            </w:pPr>
            <w:r>
              <w:rPr>
                <w:b/>
                <w:bCs/>
                <w:color w:val="000000"/>
                <w:spacing w:val="0"/>
                <w:w w:val="100"/>
                <w:position w:val="0"/>
                <w:sz w:val="20"/>
                <w:szCs w:val="20"/>
              </w:rPr>
              <w:t>营 业 外 收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冲减成本费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220" w:right="0" w:firstLine="0"/>
              <w:jc w:val="left"/>
              <w:rPr>
                <w:sz w:val="20"/>
                <w:szCs w:val="20"/>
              </w:rPr>
            </w:pPr>
            <w:r>
              <w:rPr>
                <w:b/>
                <w:bCs/>
                <w:color w:val="000000"/>
                <w:spacing w:val="0"/>
                <w:w w:val="100"/>
                <w:position w:val="0"/>
                <w:sz w:val="20"/>
                <w:szCs w:val="20"/>
              </w:rPr>
              <w:t>否 实 际 收 到</w:t>
            </w:r>
          </w:p>
        </w:tc>
      </w:tr>
      <w:tr>
        <w:trPr>
          <w:trHeight w:val="6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74" w:lineRule="exact"/>
              <w:ind w:left="180" w:right="0" w:firstLine="0"/>
              <w:jc w:val="both"/>
              <w:rPr>
                <w:sz w:val="20"/>
                <w:szCs w:val="20"/>
              </w:rPr>
            </w:pPr>
            <w:r>
              <w:rPr>
                <w:color w:val="000000"/>
                <w:spacing w:val="0"/>
                <w:w w:val="100"/>
                <w:position w:val="0"/>
                <w:sz w:val="20"/>
                <w:szCs w:val="20"/>
              </w:rPr>
              <w:t>经济发展委员会</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EDB）</w:t>
            </w:r>
            <w:r>
              <w:rPr>
                <w:color w:val="000000"/>
                <w:spacing w:val="0"/>
                <w:w w:val="100"/>
                <w:position w:val="0"/>
                <w:sz w:val="20"/>
                <w:szCs w:val="20"/>
              </w:rPr>
              <w:t>拨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4,672,909.65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4,672,909.65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68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83" w:lineRule="exact"/>
              <w:ind w:left="180" w:right="0" w:firstLine="0"/>
              <w:jc w:val="both"/>
              <w:rPr>
                <w:sz w:val="20"/>
                <w:szCs w:val="20"/>
              </w:rPr>
            </w:pPr>
            <w:r>
              <w:rPr>
                <w:color w:val="000000"/>
                <w:spacing w:val="0"/>
                <w:w w:val="100"/>
                <w:position w:val="0"/>
                <w:sz w:val="20"/>
                <w:szCs w:val="20"/>
              </w:rPr>
              <w:t>渝水区工业项目投资优 惠奖励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3,309,212.28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3,309,212.28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9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76" w:lineRule="exact"/>
              <w:ind w:left="180" w:right="0" w:firstLine="0"/>
              <w:jc w:val="both"/>
              <w:rPr>
                <w:sz w:val="20"/>
                <w:szCs w:val="20"/>
              </w:rPr>
            </w:pPr>
            <w:r>
              <w:rPr>
                <w:color w:val="000000"/>
                <w:spacing w:val="0"/>
                <w:w w:val="100"/>
                <w:position w:val="0"/>
                <w:sz w:val="20"/>
                <w:szCs w:val="20"/>
              </w:rPr>
              <w:t>物联网芯片优化升级项 目合作单位拨付款项目 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失业保险金返还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2,466,861.32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2,466,861.32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年企业研发资助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2,102,000.00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2,102,000.00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9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74" w:lineRule="exact"/>
              <w:ind w:left="180" w:right="0" w:firstLine="0"/>
              <w:jc w:val="both"/>
              <w:rPr>
                <w:sz w:val="20"/>
                <w:szCs w:val="20"/>
              </w:rPr>
            </w:pPr>
            <w:r>
              <w:rPr>
                <w:color w:val="000000"/>
                <w:spacing w:val="0"/>
                <w:w w:val="100"/>
                <w:position w:val="0"/>
                <w:sz w:val="20"/>
                <w:szCs w:val="20"/>
              </w:rPr>
              <w:t>量子安全的高速密码芯 片与应用解决方案关键 技术研发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增值税即征即退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1,712,822.70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1,712,822.70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科技项目资助资金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9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71" w:lineRule="exact"/>
              <w:ind w:left="180" w:right="0" w:firstLine="0"/>
              <w:jc w:val="left"/>
              <w:rPr>
                <w:sz w:val="20"/>
                <w:szCs w:val="20"/>
              </w:rPr>
            </w:pPr>
            <w:r>
              <w:rPr>
                <w:color w:val="000000"/>
                <w:spacing w:val="0"/>
                <w:w w:val="100"/>
                <w:position w:val="0"/>
                <w:sz w:val="20"/>
                <w:szCs w:val="20"/>
              </w:rPr>
              <w:t>深圳市南山区工业和信 息化局上市企业短期流 动贷款贴息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1,189,100.00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1,189,100.00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6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69" w:lineRule="exact"/>
              <w:ind w:left="180" w:right="0" w:firstLine="0"/>
              <w:jc w:val="left"/>
              <w:rPr>
                <w:sz w:val="20"/>
                <w:szCs w:val="20"/>
              </w:rPr>
            </w:pPr>
            <w:r>
              <w:rPr>
                <w:color w:val="000000"/>
                <w:spacing w:val="0"/>
                <w:w w:val="100"/>
                <w:position w:val="0"/>
                <w:sz w:val="20"/>
                <w:szCs w:val="20"/>
              </w:rPr>
              <w:t>政府对就业支持计划的 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1,109,646.77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1,109,646.77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68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年企业研发投入支</w:t>
            </w:r>
          </w:p>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持计划资金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6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74" w:lineRule="exact"/>
              <w:ind w:left="180" w:right="0" w:firstLine="0"/>
              <w:jc w:val="both"/>
              <w:rPr>
                <w:sz w:val="20"/>
                <w:szCs w:val="20"/>
              </w:rPr>
            </w:pPr>
            <w:r>
              <w:rPr>
                <w:color w:val="000000"/>
                <w:spacing w:val="0"/>
                <w:w w:val="100"/>
                <w:position w:val="0"/>
                <w:sz w:val="20"/>
                <w:szCs w:val="20"/>
              </w:rPr>
              <w:t>集成电路专项扶持计划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647,100.00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647,100.00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专利支持计划资金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541,500.00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541,500.00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9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78" w:lineRule="exact"/>
              <w:ind w:left="18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年技改倍增专项资 助计划质量品牌双提升 类资助计划（第一批）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6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83" w:lineRule="exact"/>
              <w:ind w:left="180" w:right="0" w:firstLine="0"/>
              <w:jc w:val="left"/>
              <w:rPr>
                <w:sz w:val="20"/>
                <w:szCs w:val="20"/>
              </w:rPr>
            </w:pPr>
            <w:r>
              <w:rPr>
                <w:color w:val="000000"/>
                <w:spacing w:val="0"/>
                <w:w w:val="100"/>
                <w:position w:val="0"/>
                <w:sz w:val="20"/>
                <w:szCs w:val="20"/>
              </w:rPr>
              <w:t>深圳市科创委</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年企 业研发资助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447,000.00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447,000.00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6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以工代训补贴（</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年第</w:t>
            </w:r>
          </w:p>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349,500.00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349,500.00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68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74" w:lineRule="exact"/>
              <w:ind w:left="180" w:right="0" w:firstLine="0"/>
              <w:jc w:val="both"/>
              <w:rPr>
                <w:sz w:val="20"/>
                <w:szCs w:val="20"/>
              </w:rPr>
            </w:pPr>
            <w:r>
              <w:rPr>
                <w:color w:val="000000"/>
                <w:spacing w:val="0"/>
                <w:w w:val="100"/>
                <w:position w:val="0"/>
                <w:sz w:val="20"/>
                <w:szCs w:val="20"/>
              </w:rPr>
              <w:t>自主创新产业发展专项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科技奖励支持计划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bl>
    <w:p>
      <w:pPr>
        <w:widowControl w:val="0"/>
        <w:spacing w:line="1" w:lineRule="exact"/>
      </w:pPr>
      <w:r>
        <w:br w:type="page"/>
      </w:r>
    </w:p>
    <w:tbl>
      <w:tblPr>
        <w:tblOverlap w:val="never"/>
        <w:jc w:val="center"/>
        <w:tblLayout w:type="fixed"/>
      </w:tblPr>
      <w:tblGrid>
        <w:gridCol w:w="2486"/>
        <w:gridCol w:w="1416"/>
        <w:gridCol w:w="566"/>
        <w:gridCol w:w="710"/>
        <w:gridCol w:w="422"/>
        <w:gridCol w:w="1392"/>
        <w:gridCol w:w="427"/>
        <w:gridCol w:w="1301"/>
        <w:gridCol w:w="600"/>
      </w:tblGrid>
      <w:tr>
        <w:trPr>
          <w:trHeight w:val="47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20"/>
                <w:szCs w:val="20"/>
              </w:rPr>
            </w:pPr>
            <w:r>
              <w:rPr>
                <w:b/>
                <w:bCs/>
                <w:color w:val="000000"/>
                <w:spacing w:val="0"/>
                <w:w w:val="100"/>
                <w:position w:val="0"/>
                <w:sz w:val="20"/>
                <w:szCs w:val="20"/>
              </w:rPr>
              <w:t>补助项目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与资产相关</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与收益相关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220" w:right="0" w:firstLine="0"/>
              <w:jc w:val="left"/>
              <w:rPr>
                <w:sz w:val="20"/>
                <w:szCs w:val="20"/>
              </w:rPr>
            </w:pPr>
            <w:r>
              <w:rPr>
                <w:b/>
                <w:bCs/>
                <w:color w:val="000000"/>
                <w:spacing w:val="0"/>
                <w:w w:val="100"/>
                <w:position w:val="0"/>
                <w:sz w:val="20"/>
                <w:szCs w:val="20"/>
              </w:rPr>
              <w:t>是 否 实 际 收 到</w:t>
            </w:r>
          </w:p>
        </w:tc>
      </w:tr>
      <w:tr>
        <w:trPr>
          <w:trHeight w:val="1699"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b/>
                <w:bCs/>
                <w:color w:val="000000"/>
                <w:spacing w:val="0"/>
                <w:w w:val="100"/>
                <w:position w:val="0"/>
                <w:sz w:val="20"/>
                <w:szCs w:val="20"/>
              </w:rPr>
              <w:t>其他</w:t>
            </w:r>
          </w:p>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冲减资 产账面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left"/>
              <w:rPr>
                <w:sz w:val="20"/>
                <w:szCs w:val="20"/>
              </w:rPr>
            </w:pPr>
            <w:r>
              <w:rPr>
                <w:b/>
                <w:bCs/>
                <w:color w:val="000000"/>
                <w:spacing w:val="0"/>
                <w:w w:val="100"/>
                <w:position w:val="0"/>
                <w:sz w:val="20"/>
                <w:szCs w:val="20"/>
              </w:rPr>
              <w:t>递 延 收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140" w:right="0" w:firstLine="0"/>
              <w:jc w:val="both"/>
              <w:rPr>
                <w:sz w:val="20"/>
                <w:szCs w:val="20"/>
              </w:rPr>
            </w:pPr>
            <w:r>
              <w:rPr>
                <w:b/>
                <w:bCs/>
                <w:color w:val="000000"/>
                <w:spacing w:val="0"/>
                <w:w w:val="100"/>
                <w:position w:val="0"/>
                <w:sz w:val="20"/>
                <w:szCs w:val="20"/>
              </w:rPr>
              <w:t>营 业 外 收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冲减成本费 用</w:t>
            </w:r>
          </w:p>
        </w:tc>
        <w:tc>
          <w:tcPr>
            <w:vMerge/>
            <w:tcBorders>
              <w:left w:val="single" w:sz="4"/>
            </w:tcBorders>
            <w:shd w:val="clear" w:color="auto" w:fill="FFFFFF"/>
            <w:vAlign w:val="center"/>
          </w:tcPr>
          <w:p>
            <w:pPr/>
          </w:p>
        </w:tc>
      </w:tr>
      <w:tr>
        <w:trPr>
          <w:trHeight w:val="6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年度深圳标准领域</w:t>
            </w:r>
          </w:p>
          <w:p>
            <w:pPr>
              <w:pStyle w:val="Style2"/>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261,622.00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261,622.00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230,364.35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230,364.35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6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88" w:lineRule="exact"/>
              <w:ind w:left="180" w:right="0" w:firstLine="0"/>
              <w:jc w:val="left"/>
              <w:rPr>
                <w:sz w:val="20"/>
                <w:szCs w:val="20"/>
              </w:rPr>
            </w:pPr>
            <w:r>
              <w:rPr>
                <w:color w:val="000000"/>
                <w:spacing w:val="0"/>
                <w:w w:val="100"/>
                <w:position w:val="0"/>
                <w:sz w:val="20"/>
                <w:szCs w:val="20"/>
              </w:rPr>
              <w:t>第二十届中国专利奖（优 秀奖）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68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69" w:lineRule="exact"/>
              <w:ind w:left="180" w:right="0" w:firstLine="0"/>
              <w:jc w:val="left"/>
              <w:rPr>
                <w:sz w:val="20"/>
                <w:szCs w:val="20"/>
              </w:rPr>
            </w:pPr>
            <w:r>
              <w:rPr>
                <w:color w:val="000000"/>
                <w:spacing w:val="0"/>
                <w:w w:val="100"/>
                <w:position w:val="0"/>
                <w:sz w:val="20"/>
                <w:szCs w:val="20"/>
              </w:rPr>
              <w:t>重点支持企业经费资助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134,900.00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134,900.00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6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88" w:lineRule="exact"/>
              <w:ind w:left="180" w:right="0" w:firstLine="0"/>
              <w:jc w:val="left"/>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年第二批大企业专 利资助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134,000.00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134,000.00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永丰县用电补贴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109,947.18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109,947.18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9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76" w:lineRule="exact"/>
              <w:ind w:left="180" w:right="0" w:firstLine="0"/>
              <w:jc w:val="left"/>
              <w:rPr>
                <w:sz w:val="20"/>
                <w:szCs w:val="20"/>
              </w:rPr>
            </w:pPr>
            <w:r>
              <w:rPr>
                <w:color w:val="000000"/>
                <w:spacing w:val="0"/>
                <w:w w:val="100"/>
                <w:position w:val="0"/>
                <w:sz w:val="20"/>
                <w:szCs w:val="20"/>
              </w:rPr>
              <w:t>南山科创局国家高新技 术企业倍增支持计划补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6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年出站博士后科研</w:t>
            </w:r>
          </w:p>
          <w:p>
            <w:pPr>
              <w:pStyle w:val="Style2"/>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资助第四批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6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78" w:lineRule="exact"/>
              <w:ind w:left="180" w:right="0" w:firstLine="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年促进经济高质量 发展专项资金（第三批）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9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69" w:lineRule="exact"/>
              <w:ind w:left="180" w:right="0" w:firstLine="0"/>
              <w:jc w:val="left"/>
              <w:rPr>
                <w:sz w:val="20"/>
                <w:szCs w:val="20"/>
              </w:rPr>
            </w:pPr>
            <w:r>
              <w:rPr>
                <w:color w:val="000000"/>
                <w:spacing w:val="0"/>
                <w:w w:val="100"/>
                <w:position w:val="0"/>
                <w:sz w:val="20"/>
                <w:szCs w:val="20"/>
              </w:rPr>
              <w:t>深圳市南山区科技创新 局</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年国家高新技术 企业奖补助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6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深圳市博士后设站单位</w:t>
            </w:r>
          </w:p>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日常经费补助发放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9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76" w:lineRule="exact"/>
              <w:ind w:left="180" w:right="0" w:firstLine="0"/>
              <w:jc w:val="left"/>
              <w:rPr>
                <w:sz w:val="20"/>
                <w:szCs w:val="20"/>
              </w:rPr>
            </w:pPr>
            <w:r>
              <w:rPr>
                <w:color w:val="000000"/>
                <w:spacing w:val="0"/>
                <w:w w:val="100"/>
                <w:position w:val="0"/>
                <w:sz w:val="20"/>
                <w:szCs w:val="20"/>
              </w:rPr>
              <w:t xml:space="preserve">深圳中小企业服务局 </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年度企业国内市场 开拓项目资助补贴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36,720.00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36,720.00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管委会入规奖励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长乐交通补助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27,630.00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27,630.00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6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69" w:lineRule="exact"/>
              <w:ind w:left="180" w:right="0" w:firstLine="0"/>
              <w:jc w:val="left"/>
              <w:rPr>
                <w:sz w:val="20"/>
                <w:szCs w:val="20"/>
              </w:rPr>
            </w:pPr>
            <w:r>
              <w:rPr>
                <w:color w:val="000000"/>
                <w:spacing w:val="0"/>
                <w:w w:val="100"/>
                <w:position w:val="0"/>
                <w:sz w:val="20"/>
                <w:szCs w:val="20"/>
              </w:rPr>
              <w:t>人社局高校毕业生交通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6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 w:right="0" w:firstLine="0"/>
              <w:jc w:val="left"/>
              <w:rPr>
                <w:sz w:val="20"/>
                <w:szCs w:val="20"/>
              </w:rPr>
            </w:pPr>
            <w:r>
              <w:rPr>
                <w:color w:val="000000"/>
                <w:spacing w:val="0"/>
                <w:w w:val="100"/>
                <w:position w:val="0"/>
                <w:sz w:val="20"/>
                <w:szCs w:val="20"/>
              </w:rPr>
              <w:t>中共中央办公厅电子科</w:t>
            </w:r>
          </w:p>
          <w:p>
            <w:pPr>
              <w:pStyle w:val="Style2"/>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技学院资助款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39,200.00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70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年第二批计算机软</w:t>
            </w:r>
          </w:p>
          <w:p>
            <w:pPr>
              <w:pStyle w:val="Style2"/>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著资助款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4,500.00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bl>
    <w:p>
      <w:pPr>
        <w:widowControl w:val="0"/>
        <w:spacing w:line="1" w:lineRule="exact"/>
      </w:pPr>
      <w:r>
        <w:br w:type="page"/>
      </w:r>
    </w:p>
    <w:tbl>
      <w:tblPr>
        <w:tblOverlap w:val="never"/>
        <w:jc w:val="center"/>
        <w:tblLayout w:type="fixed"/>
      </w:tblPr>
      <w:tblGrid>
        <w:gridCol w:w="2486"/>
        <w:gridCol w:w="1416"/>
        <w:gridCol w:w="566"/>
        <w:gridCol w:w="710"/>
        <w:gridCol w:w="422"/>
        <w:gridCol w:w="1392"/>
        <w:gridCol w:w="427"/>
        <w:gridCol w:w="1301"/>
        <w:gridCol w:w="600"/>
      </w:tblGrid>
      <w:tr>
        <w:trPr>
          <w:trHeight w:val="47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补助项目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与资产相关</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与收益相关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220" w:right="0" w:firstLine="0"/>
              <w:jc w:val="left"/>
              <w:rPr>
                <w:sz w:val="20"/>
                <w:szCs w:val="20"/>
              </w:rPr>
            </w:pPr>
            <w:r>
              <w:rPr>
                <w:b/>
                <w:bCs/>
                <w:color w:val="000000"/>
                <w:spacing w:val="0"/>
                <w:w w:val="100"/>
                <w:position w:val="0"/>
                <w:sz w:val="20"/>
                <w:szCs w:val="20"/>
              </w:rPr>
              <w:t>是 否 实 际 收 到</w:t>
            </w:r>
          </w:p>
        </w:tc>
      </w:tr>
      <w:tr>
        <w:trPr>
          <w:trHeight w:val="1699"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b/>
                <w:bCs/>
                <w:color w:val="000000"/>
                <w:spacing w:val="0"/>
                <w:w w:val="100"/>
                <w:position w:val="0"/>
                <w:sz w:val="20"/>
                <w:szCs w:val="20"/>
              </w:rPr>
              <w:t>其他</w:t>
            </w:r>
          </w:p>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冲减资 产账面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left"/>
              <w:rPr>
                <w:sz w:val="20"/>
                <w:szCs w:val="20"/>
              </w:rPr>
            </w:pPr>
            <w:r>
              <w:rPr>
                <w:b/>
                <w:bCs/>
                <w:color w:val="000000"/>
                <w:spacing w:val="0"/>
                <w:w w:val="100"/>
                <w:position w:val="0"/>
                <w:sz w:val="20"/>
                <w:szCs w:val="20"/>
              </w:rPr>
              <w:t>递 延 收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140" w:right="0" w:firstLine="0"/>
              <w:jc w:val="both"/>
              <w:rPr>
                <w:sz w:val="20"/>
                <w:szCs w:val="20"/>
              </w:rPr>
            </w:pPr>
            <w:r>
              <w:rPr>
                <w:b/>
                <w:bCs/>
                <w:color w:val="000000"/>
                <w:spacing w:val="0"/>
                <w:w w:val="100"/>
                <w:position w:val="0"/>
                <w:sz w:val="20"/>
                <w:szCs w:val="20"/>
              </w:rPr>
              <w:t>营 业 外 收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冲减成本费 用</w:t>
            </w:r>
          </w:p>
        </w:tc>
        <w:tc>
          <w:tcPr>
            <w:vMerge/>
            <w:tcBorders>
              <w:left w:val="single" w:sz="4"/>
            </w:tcBorders>
            <w:shd w:val="clear" w:color="auto" w:fill="FFFFFF"/>
            <w:vAlign w:val="center"/>
          </w:tcPr>
          <w:p>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深圳工商业降成本补贴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2,729.44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2,729.44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是</w:t>
            </w:r>
          </w:p>
        </w:tc>
      </w:tr>
      <w:tr>
        <w:trPr>
          <w:trHeight w:val="66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28,765,265.69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27,576,165.69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1,189,100.00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w:t>
            </w:r>
          </w:p>
        </w:tc>
      </w:tr>
    </w:tbl>
    <w:p>
      <w:pPr>
        <w:widowControl w:val="0"/>
        <w:spacing w:after="99" w:line="1" w:lineRule="exact"/>
      </w:pPr>
    </w:p>
    <w:p>
      <w:pPr>
        <w:pStyle w:val="Style44"/>
        <w:keepNext w:val="0"/>
        <w:keepLines w:val="0"/>
        <w:widowControl w:val="0"/>
        <w:shd w:val="clear" w:color="auto" w:fill="auto"/>
        <w:bidi w:val="0"/>
        <w:spacing w:before="0" w:after="140" w:line="240" w:lineRule="auto"/>
        <w:ind w:left="0" w:right="0" w:firstLine="680"/>
        <w:jc w:val="left"/>
        <w:rPr>
          <w:sz w:val="24"/>
          <w:szCs w:val="24"/>
        </w:rPr>
      </w:pPr>
      <w:r>
        <w:rPr>
          <w:color w:val="000000"/>
          <w:spacing w:val="0"/>
          <w:w w:val="100"/>
          <w:position w:val="0"/>
          <w:sz w:val="24"/>
          <w:szCs w:val="24"/>
        </w:rPr>
        <w:t>(2)</w:t>
      </w:r>
      <w:r>
        <w:rPr>
          <w:color w:val="000000"/>
          <w:spacing w:val="0"/>
          <w:w w:val="100"/>
          <w:position w:val="0"/>
          <w:sz w:val="24"/>
          <w:szCs w:val="24"/>
        </w:rPr>
        <w:t>计入当期损益的政府补助情况</w:t>
      </w:r>
    </w:p>
    <w:tbl>
      <w:tblPr>
        <w:tblOverlap w:val="never"/>
        <w:jc w:val="center"/>
        <w:tblLayout w:type="fixed"/>
      </w:tblPr>
      <w:tblGrid>
        <w:gridCol w:w="2626"/>
        <w:gridCol w:w="1843"/>
        <w:gridCol w:w="1987"/>
        <w:gridCol w:w="1416"/>
        <w:gridCol w:w="1565"/>
      </w:tblGrid>
      <w:tr>
        <w:trPr>
          <w:trHeight w:val="86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补助项目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与资产</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820"/>
              <w:jc w:val="left"/>
              <w:rPr>
                <w:sz w:val="20"/>
                <w:szCs w:val="20"/>
              </w:rPr>
            </w:pPr>
            <w:r>
              <w:rPr>
                <w:b/>
                <w:bCs/>
                <w:color w:val="000000"/>
                <w:spacing w:val="0"/>
                <w:w w:val="100"/>
                <w:position w:val="0"/>
                <w:sz w:val="20"/>
                <w:szCs w:val="20"/>
              </w:rPr>
              <w:t>计入</w:t>
            </w:r>
          </w:p>
          <w:p>
            <w:pPr>
              <w:pStyle w:val="Style2"/>
              <w:keepNext w:val="0"/>
              <w:keepLines w:val="0"/>
              <w:widowControl w:val="0"/>
              <w:shd w:val="clear" w:color="auto" w:fill="auto"/>
              <w:bidi w:val="0"/>
              <w:spacing w:before="0" w:after="0" w:line="240" w:lineRule="auto"/>
              <w:ind w:left="0" w:right="0" w:firstLine="620"/>
              <w:jc w:val="left"/>
              <w:rPr>
                <w:sz w:val="20"/>
                <w:szCs w:val="20"/>
              </w:rPr>
            </w:pPr>
            <w:r>
              <w:rPr>
                <w:b/>
                <w:bCs/>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20"/>
                <w:szCs w:val="20"/>
              </w:rPr>
            </w:pPr>
            <w:r>
              <w:rPr>
                <w:b/>
                <w:bCs/>
                <w:color w:val="000000"/>
                <w:spacing w:val="0"/>
                <w:w w:val="100"/>
                <w:position w:val="0"/>
                <w:sz w:val="20"/>
                <w:szCs w:val="20"/>
              </w:rPr>
              <w:t>计入</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冲减成本费用</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递延收益转入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与资产相关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237,500.00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74" w:lineRule="exact"/>
              <w:ind w:left="180" w:right="0" w:firstLine="0"/>
              <w:jc w:val="left"/>
              <w:rPr>
                <w:sz w:val="20"/>
                <w:szCs w:val="20"/>
              </w:rPr>
            </w:pPr>
            <w:r>
              <w:rPr>
                <w:color w:val="000000"/>
                <w:spacing w:val="0"/>
                <w:w w:val="100"/>
                <w:position w:val="0"/>
                <w:sz w:val="20"/>
                <w:szCs w:val="20"/>
              </w:rPr>
              <w:t>经济发展委员会</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EDB)</w:t>
            </w:r>
            <w:r>
              <w:rPr>
                <w:color w:val="000000"/>
                <w:spacing w:val="0"/>
                <w:w w:val="100"/>
                <w:position w:val="0"/>
                <w:sz w:val="20"/>
                <w:szCs w:val="20"/>
              </w:rPr>
              <w:t>拨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4,672,909.65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8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180"/>
              <w:jc w:val="both"/>
              <w:rPr>
                <w:sz w:val="20"/>
                <w:szCs w:val="20"/>
              </w:rPr>
            </w:pPr>
            <w:r>
              <w:rPr>
                <w:color w:val="000000"/>
                <w:spacing w:val="0"/>
                <w:w w:val="100"/>
                <w:position w:val="0"/>
                <w:sz w:val="20"/>
                <w:szCs w:val="20"/>
              </w:rPr>
              <w:t>渝水区工业项目投资优惠</w:t>
            </w:r>
          </w:p>
          <w:p>
            <w:pPr>
              <w:pStyle w:val="Style2"/>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3,309,212.28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64" w:lineRule="exact"/>
              <w:ind w:left="180" w:right="0" w:firstLine="0"/>
              <w:jc w:val="left"/>
              <w:rPr>
                <w:sz w:val="20"/>
                <w:szCs w:val="20"/>
              </w:rPr>
            </w:pPr>
            <w:r>
              <w:rPr>
                <w:color w:val="000000"/>
                <w:spacing w:val="0"/>
                <w:w w:val="100"/>
                <w:position w:val="0"/>
                <w:sz w:val="20"/>
                <w:szCs w:val="20"/>
              </w:rPr>
              <w:t>物联网芯片优化升级项目 合作单位拨付款项目资助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失业保险金返还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2,466,861.32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年企业研发资助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2,102,000.00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74" w:lineRule="exact"/>
              <w:ind w:left="180" w:right="0" w:firstLine="0"/>
              <w:jc w:val="left"/>
              <w:rPr>
                <w:sz w:val="20"/>
                <w:szCs w:val="20"/>
              </w:rPr>
            </w:pPr>
            <w:r>
              <w:rPr>
                <w:color w:val="000000"/>
                <w:spacing w:val="0"/>
                <w:w w:val="100"/>
                <w:position w:val="0"/>
                <w:sz w:val="20"/>
                <w:szCs w:val="20"/>
              </w:rPr>
              <w:t>量子安全的高速密码芯片 与应用解决方案关键技术 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增值税即征即退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1,712,822.70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科技项目资助资金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69" w:lineRule="exact"/>
              <w:ind w:left="180" w:right="0" w:firstLine="0"/>
              <w:jc w:val="left"/>
              <w:rPr>
                <w:sz w:val="20"/>
                <w:szCs w:val="20"/>
              </w:rPr>
            </w:pPr>
            <w:r>
              <w:rPr>
                <w:color w:val="000000"/>
                <w:spacing w:val="0"/>
                <w:w w:val="100"/>
                <w:position w:val="0"/>
                <w:sz w:val="20"/>
                <w:szCs w:val="20"/>
              </w:rPr>
              <w:t>深圳市南山区工业和信息 化局上市企业短期流动贷 款贴息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1,189,100.00</w:t>
            </w:r>
          </w:p>
        </w:tc>
      </w:tr>
      <w:tr>
        <w:trPr>
          <w:trHeight w:val="6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69" w:lineRule="exact"/>
              <w:ind w:left="180" w:right="0" w:firstLine="0"/>
              <w:jc w:val="left"/>
              <w:rPr>
                <w:sz w:val="20"/>
                <w:szCs w:val="20"/>
              </w:rPr>
            </w:pPr>
            <w:r>
              <w:rPr>
                <w:color w:val="000000"/>
                <w:spacing w:val="0"/>
                <w:w w:val="100"/>
                <w:position w:val="0"/>
                <w:sz w:val="20"/>
                <w:szCs w:val="20"/>
              </w:rPr>
              <w:t>政府对就业支持计划的支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1,109,646.77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88" w:lineRule="exact"/>
              <w:ind w:left="180" w:right="0" w:firstLine="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年企业研发投入支持 计划资金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8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69" w:lineRule="exact"/>
              <w:ind w:left="180" w:right="0" w:firstLine="0"/>
              <w:jc w:val="left"/>
              <w:rPr>
                <w:sz w:val="20"/>
                <w:szCs w:val="20"/>
              </w:rPr>
            </w:pPr>
            <w:r>
              <w:rPr>
                <w:color w:val="000000"/>
                <w:spacing w:val="0"/>
                <w:w w:val="100"/>
                <w:position w:val="0"/>
                <w:sz w:val="20"/>
                <w:szCs w:val="20"/>
              </w:rPr>
              <w:t>集成电路专项扶持计划资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647,100.00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专利支持计划资金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与收益相关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541,500.00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26"/>
        <w:gridCol w:w="1843"/>
        <w:gridCol w:w="1987"/>
        <w:gridCol w:w="1416"/>
        <w:gridCol w:w="1565"/>
      </w:tblGrid>
      <w:tr>
        <w:trPr>
          <w:trHeight w:val="8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补助项目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与资产</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20"/>
                <w:szCs w:val="20"/>
              </w:rPr>
            </w:pPr>
            <w:r>
              <w:rPr>
                <w:b/>
                <w:bCs/>
                <w:color w:val="000000"/>
                <w:spacing w:val="0"/>
                <w:w w:val="100"/>
                <w:position w:val="0"/>
                <w:sz w:val="20"/>
                <w:szCs w:val="20"/>
              </w:rPr>
              <w:t>计入</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20"/>
                <w:szCs w:val="20"/>
              </w:rPr>
            </w:pPr>
            <w:r>
              <w:rPr>
                <w:b/>
                <w:bCs/>
                <w:color w:val="000000"/>
                <w:spacing w:val="0"/>
                <w:w w:val="100"/>
                <w:position w:val="0"/>
                <w:sz w:val="20"/>
                <w:szCs w:val="20"/>
              </w:rPr>
              <w:t>计入</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冲减成本费用</w:t>
            </w:r>
          </w:p>
        </w:tc>
      </w:tr>
      <w:tr>
        <w:trPr>
          <w:trHeight w:val="9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78" w:lineRule="exact"/>
              <w:ind w:left="18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年技改倍增专项资助 计划质量品牌双提升类资 助计划（第一批）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83" w:lineRule="exact"/>
              <w:ind w:left="180" w:right="0" w:firstLine="0"/>
              <w:jc w:val="left"/>
              <w:rPr>
                <w:sz w:val="20"/>
                <w:szCs w:val="20"/>
              </w:rPr>
            </w:pPr>
            <w:r>
              <w:rPr>
                <w:color w:val="000000"/>
                <w:spacing w:val="0"/>
                <w:w w:val="100"/>
                <w:position w:val="0"/>
                <w:sz w:val="20"/>
                <w:szCs w:val="20"/>
              </w:rPr>
              <w:t>深圳市科创委</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年企业 研发资助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447,000.00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8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以工代训补贴（</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年第</w:t>
            </w:r>
          </w:p>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349,500.00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74" w:lineRule="exact"/>
              <w:ind w:left="180" w:right="0" w:firstLine="0"/>
              <w:jc w:val="left"/>
              <w:rPr>
                <w:sz w:val="20"/>
                <w:szCs w:val="20"/>
              </w:rPr>
            </w:pPr>
            <w:r>
              <w:rPr>
                <w:color w:val="000000"/>
                <w:spacing w:val="0"/>
                <w:w w:val="100"/>
                <w:position w:val="0"/>
                <w:sz w:val="20"/>
                <w:szCs w:val="20"/>
              </w:rPr>
              <w:t>自主创新产业发展专项资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科技奖励支持计划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78" w:lineRule="exact"/>
              <w:ind w:left="180" w:right="0" w:firstLine="0"/>
              <w:jc w:val="both"/>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年度深圳标准领域专 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261,622.00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230,364.35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88" w:lineRule="exact"/>
              <w:ind w:left="180" w:right="0" w:firstLine="0"/>
              <w:jc w:val="left"/>
              <w:rPr>
                <w:sz w:val="20"/>
                <w:szCs w:val="20"/>
              </w:rPr>
            </w:pPr>
            <w:r>
              <w:rPr>
                <w:color w:val="000000"/>
                <w:spacing w:val="0"/>
                <w:w w:val="100"/>
                <w:position w:val="0"/>
                <w:sz w:val="20"/>
                <w:szCs w:val="20"/>
              </w:rPr>
              <w:t>第二十届中国专利奖（优 秀奖）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8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74" w:lineRule="exact"/>
              <w:ind w:left="180" w:right="0" w:firstLine="0"/>
              <w:jc w:val="left"/>
              <w:rPr>
                <w:sz w:val="20"/>
                <w:szCs w:val="20"/>
              </w:rPr>
            </w:pPr>
            <w:r>
              <w:rPr>
                <w:color w:val="000000"/>
                <w:spacing w:val="0"/>
                <w:w w:val="100"/>
                <w:position w:val="0"/>
                <w:sz w:val="20"/>
                <w:szCs w:val="20"/>
              </w:rPr>
              <w:t>重点支持企业经费资助项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134,900.00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88" w:lineRule="exact"/>
              <w:ind w:left="180" w:right="0" w:firstLine="0"/>
              <w:jc w:val="left"/>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年第二批大企业专利 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134,000.00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永丰县用电补贴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109,947.18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64" w:lineRule="exact"/>
              <w:ind w:left="180" w:right="0" w:firstLine="0"/>
              <w:jc w:val="left"/>
              <w:rPr>
                <w:sz w:val="20"/>
                <w:szCs w:val="20"/>
              </w:rPr>
            </w:pPr>
            <w:r>
              <w:rPr>
                <w:color w:val="000000"/>
                <w:spacing w:val="0"/>
                <w:w w:val="100"/>
                <w:position w:val="0"/>
                <w:sz w:val="20"/>
                <w:szCs w:val="20"/>
              </w:rPr>
              <w:t>南山科创局国家高新技术 企业倍增支持计划补助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8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83" w:lineRule="exact"/>
              <w:ind w:left="180" w:right="0" w:firstLine="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年出站博士后科研资 助第四批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74" w:lineRule="exact"/>
              <w:ind w:left="180" w:right="0" w:firstLine="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年促进经济高质量发 展专项资金（第三批）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 w:right="0" w:firstLine="0"/>
              <w:jc w:val="left"/>
              <w:rPr>
                <w:sz w:val="20"/>
                <w:szCs w:val="20"/>
              </w:rPr>
            </w:pPr>
            <w:r>
              <w:rPr>
                <w:color w:val="000000"/>
                <w:spacing w:val="0"/>
                <w:w w:val="100"/>
                <w:position w:val="0"/>
                <w:sz w:val="20"/>
                <w:szCs w:val="20"/>
              </w:rPr>
              <w:t>深圳市南山区科技创新局</w:t>
            </w:r>
          </w:p>
          <w:p>
            <w:pPr>
              <w:pStyle w:val="Style2"/>
              <w:keepNext w:val="0"/>
              <w:keepLines w:val="0"/>
              <w:widowControl w:val="0"/>
              <w:shd w:val="clear" w:color="auto" w:fill="auto"/>
              <w:bidi w:val="0"/>
              <w:spacing w:before="0" w:after="0" w:line="288" w:lineRule="exact"/>
              <w:ind w:left="180" w:right="0" w:firstLine="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年国家高新技术企业 奖补助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78" w:lineRule="exact"/>
              <w:ind w:left="180" w:right="0" w:firstLine="0"/>
              <w:jc w:val="left"/>
              <w:rPr>
                <w:sz w:val="20"/>
                <w:szCs w:val="20"/>
              </w:rPr>
            </w:pPr>
            <w:r>
              <w:rPr>
                <w:color w:val="000000"/>
                <w:spacing w:val="0"/>
                <w:w w:val="100"/>
                <w:position w:val="0"/>
                <w:sz w:val="20"/>
                <w:szCs w:val="20"/>
              </w:rPr>
              <w:t>深圳市博士后设站单位日 常经费补助发放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76" w:lineRule="exact"/>
              <w:ind w:left="180" w:right="0" w:firstLine="0"/>
              <w:jc w:val="left"/>
              <w:rPr>
                <w:sz w:val="20"/>
                <w:szCs w:val="20"/>
              </w:rPr>
            </w:pPr>
            <w:r>
              <w:rPr>
                <w:color w:val="000000"/>
                <w:spacing w:val="0"/>
                <w:w w:val="100"/>
                <w:position w:val="0"/>
                <w:sz w:val="20"/>
                <w:szCs w:val="20"/>
              </w:rPr>
              <w:t>深圳中小企业服务局</w:t>
            </w: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年度企业国内市场开拓项 目资助补贴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36,720.00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管委会入规奖励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长乐交通补助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与收益相关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27,630.00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26"/>
        <w:gridCol w:w="1843"/>
        <w:gridCol w:w="1987"/>
        <w:gridCol w:w="1416"/>
        <w:gridCol w:w="1565"/>
      </w:tblGrid>
      <w:tr>
        <w:trPr>
          <w:trHeight w:val="8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补助项目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与资产</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20"/>
                <w:szCs w:val="20"/>
              </w:rPr>
            </w:pPr>
            <w:r>
              <w:rPr>
                <w:b/>
                <w:bCs/>
                <w:color w:val="000000"/>
                <w:spacing w:val="0"/>
                <w:w w:val="100"/>
                <w:position w:val="0"/>
                <w:sz w:val="20"/>
                <w:szCs w:val="20"/>
              </w:rPr>
              <w:t>计入</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20"/>
                <w:szCs w:val="20"/>
              </w:rPr>
            </w:pPr>
            <w:r>
              <w:rPr>
                <w:b/>
                <w:bCs/>
                <w:color w:val="000000"/>
                <w:spacing w:val="0"/>
                <w:w w:val="100"/>
                <w:position w:val="0"/>
                <w:sz w:val="20"/>
                <w:szCs w:val="20"/>
              </w:rPr>
              <w:t>计入</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冲减成本费用</w:t>
            </w:r>
          </w:p>
        </w:tc>
      </w:tr>
      <w:tr>
        <w:trPr>
          <w:trHeight w:val="68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64" w:lineRule="exact"/>
              <w:ind w:left="180" w:right="0" w:firstLine="0"/>
              <w:jc w:val="left"/>
              <w:rPr>
                <w:sz w:val="20"/>
                <w:szCs w:val="20"/>
              </w:rPr>
            </w:pPr>
            <w:r>
              <w:rPr>
                <w:color w:val="000000"/>
                <w:spacing w:val="0"/>
                <w:w w:val="100"/>
                <w:position w:val="0"/>
                <w:sz w:val="20"/>
                <w:szCs w:val="20"/>
              </w:rPr>
              <w:t>人社局高校毕业生交通补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 w:right="0" w:firstLine="0"/>
              <w:jc w:val="left"/>
              <w:rPr>
                <w:sz w:val="20"/>
                <w:szCs w:val="20"/>
              </w:rPr>
            </w:pPr>
            <w:r>
              <w:rPr>
                <w:color w:val="000000"/>
                <w:spacing w:val="0"/>
                <w:w w:val="100"/>
                <w:position w:val="0"/>
                <w:sz w:val="20"/>
                <w:szCs w:val="20"/>
              </w:rPr>
              <w:t>中共中央办公厅电子科技</w:t>
            </w:r>
          </w:p>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学院资助款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88" w:lineRule="exact"/>
              <w:ind w:left="180" w:right="0" w:firstLine="0"/>
              <w:jc w:val="left"/>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年第二批计算机软著 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 w:right="0" w:firstLine="0"/>
              <w:jc w:val="left"/>
              <w:rPr>
                <w:sz w:val="20"/>
                <w:szCs w:val="20"/>
              </w:rPr>
            </w:pPr>
            <w:r>
              <w:rPr>
                <w:color w:val="000000"/>
                <w:spacing w:val="0"/>
                <w:w w:val="100"/>
                <w:position w:val="0"/>
                <w:sz w:val="20"/>
                <w:szCs w:val="20"/>
              </w:rPr>
              <w:t>深圳工商业降成本补贴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2,729.44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b/>
                <w:bCs/>
                <w:color w:val="000000"/>
                <w:spacing w:val="0"/>
                <w:w w:val="100"/>
                <w:position w:val="0"/>
                <w:sz w:val="20"/>
                <w:szCs w:val="20"/>
              </w:rPr>
              <w:t>27,813,665.69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1,189,100.00</w:t>
            </w:r>
          </w:p>
        </w:tc>
      </w:tr>
    </w:tbl>
    <w:p>
      <w:pPr>
        <w:widowControl w:val="0"/>
        <w:spacing w:after="119" w:line="1" w:lineRule="exact"/>
      </w:pPr>
    </w:p>
    <w:p>
      <w:pPr>
        <w:pStyle w:val="Style44"/>
        <w:keepNext w:val="0"/>
        <w:keepLines w:val="0"/>
        <w:widowControl w:val="0"/>
        <w:shd w:val="clear" w:color="auto" w:fill="auto"/>
        <w:bidi w:val="0"/>
        <w:spacing w:before="0" w:after="220" w:line="240" w:lineRule="auto"/>
        <w:ind w:left="0" w:right="0" w:firstLine="520"/>
        <w:jc w:val="left"/>
        <w:rPr>
          <w:sz w:val="24"/>
          <w:szCs w:val="24"/>
        </w:rPr>
      </w:pPr>
      <w:bookmarkStart w:id="1199" w:name="bookmark1199"/>
      <w:r>
        <w:rPr>
          <w:color w:val="000000"/>
          <w:spacing w:val="0"/>
          <w:w w:val="100"/>
          <w:position w:val="0"/>
          <w:sz w:val="24"/>
          <w:szCs w:val="24"/>
        </w:rPr>
        <w:t>（</w:t>
      </w:r>
      <w:bookmarkEnd w:id="1199"/>
      <w:r>
        <w:rPr>
          <w:color w:val="000000"/>
          <w:spacing w:val="0"/>
          <w:w w:val="100"/>
          <w:position w:val="0"/>
          <w:sz w:val="24"/>
          <w:szCs w:val="24"/>
        </w:rPr>
        <w:t>3）</w:t>
      </w:r>
      <w:r>
        <w:rPr>
          <w:color w:val="000000"/>
          <w:spacing w:val="0"/>
          <w:w w:val="100"/>
          <w:position w:val="0"/>
          <w:sz w:val="24"/>
          <w:szCs w:val="24"/>
        </w:rPr>
        <w:t>本期退回的政府补助情况</w:t>
      </w:r>
    </w:p>
    <w:p>
      <w:pPr>
        <w:pStyle w:val="Style44"/>
        <w:keepNext w:val="0"/>
        <w:keepLines w:val="0"/>
        <w:widowControl w:val="0"/>
        <w:shd w:val="clear" w:color="auto" w:fill="auto"/>
        <w:bidi w:val="0"/>
        <w:spacing w:before="0" w:after="420" w:line="240" w:lineRule="auto"/>
        <w:ind w:left="0" w:right="0" w:firstLine="520"/>
        <w:jc w:val="left"/>
        <w:rPr>
          <w:sz w:val="24"/>
          <w:szCs w:val="24"/>
        </w:rPr>
      </w:pPr>
      <w:r>
        <w:rPr>
          <w:color w:val="000000"/>
          <w:spacing w:val="0"/>
          <w:w w:val="100"/>
          <w:position w:val="0"/>
          <w:sz w:val="24"/>
          <w:szCs w:val="24"/>
        </w:rPr>
        <w:t>公司本期退回</w:t>
      </w:r>
      <w:r>
        <w:rPr>
          <w:color w:val="000000"/>
          <w:spacing w:val="0"/>
          <w:w w:val="100"/>
          <w:position w:val="0"/>
          <w:sz w:val="24"/>
          <w:szCs w:val="24"/>
        </w:rPr>
        <w:t>TD-LTE</w:t>
      </w:r>
      <w:r>
        <w:rPr>
          <w:color w:val="000000"/>
          <w:spacing w:val="0"/>
          <w:w w:val="100"/>
          <w:position w:val="0"/>
          <w:sz w:val="24"/>
          <w:szCs w:val="24"/>
        </w:rPr>
        <w:t>面向商用终端射频芯片研发项目政府补助金额</w:t>
      </w:r>
      <w:r>
        <w:rPr>
          <w:color w:val="000000"/>
          <w:spacing w:val="0"/>
          <w:w w:val="100"/>
          <w:position w:val="0"/>
          <w:sz w:val="24"/>
          <w:szCs w:val="24"/>
        </w:rPr>
        <w:t>44.10</w:t>
      </w:r>
      <w:r>
        <w:rPr>
          <w:color w:val="000000"/>
          <w:spacing w:val="0"/>
          <w:w w:val="100"/>
          <w:position w:val="0"/>
          <w:sz w:val="24"/>
          <w:szCs w:val="24"/>
        </w:rPr>
        <w:t xml:space="preserve">万元，原因为 </w:t>
      </w:r>
      <w:r>
        <w:rPr>
          <w:color w:val="000000"/>
          <w:spacing w:val="0"/>
          <w:w w:val="100"/>
          <w:position w:val="0"/>
          <w:sz w:val="24"/>
          <w:szCs w:val="24"/>
        </w:rPr>
        <w:t>项目结余资金退回。计入本期损益（其他收益）</w:t>
      </w:r>
      <w:r>
        <w:rPr>
          <w:color w:val="000000"/>
          <w:spacing w:val="0"/>
          <w:w w:val="100"/>
          <w:position w:val="0"/>
          <w:sz w:val="24"/>
          <w:szCs w:val="24"/>
        </w:rPr>
        <w:t>-44.10</w:t>
      </w:r>
      <w:r>
        <w:rPr>
          <w:color w:val="000000"/>
          <w:spacing w:val="0"/>
          <w:w w:val="100"/>
          <w:position w:val="0"/>
          <w:sz w:val="24"/>
          <w:szCs w:val="24"/>
        </w:rPr>
        <w:t>万元。</w:t>
      </w:r>
    </w:p>
    <w:p>
      <w:pPr>
        <w:pStyle w:val="Style42"/>
        <w:keepNext/>
        <w:keepLines/>
        <w:widowControl w:val="0"/>
        <w:shd w:val="clear" w:color="auto" w:fill="auto"/>
        <w:bidi w:val="0"/>
        <w:spacing w:before="0" w:after="420" w:line="240" w:lineRule="auto"/>
        <w:ind w:left="0" w:right="0" w:firstLine="0"/>
        <w:jc w:val="left"/>
      </w:pPr>
      <w:bookmarkStart w:id="1200" w:name="bookmark1200"/>
      <w:bookmarkStart w:id="1201" w:name="bookmark1201"/>
      <w:bookmarkStart w:id="1202" w:name="bookmark1202"/>
      <w:bookmarkStart w:id="1203" w:name="bookmark1203"/>
      <w:r>
        <w:rPr>
          <w:color w:val="000000"/>
          <w:spacing w:val="0"/>
          <w:w w:val="100"/>
          <w:position w:val="0"/>
        </w:rPr>
        <w:t>六</w:t>
      </w:r>
      <w:bookmarkEnd w:id="1202"/>
      <w:r>
        <w:rPr>
          <w:color w:val="000000"/>
          <w:spacing w:val="0"/>
          <w:w w:val="100"/>
          <w:position w:val="0"/>
        </w:rPr>
        <w:t>、合并范围的变更</w:t>
      </w:r>
      <w:bookmarkEnd w:id="1200"/>
      <w:bookmarkEnd w:id="1201"/>
      <w:bookmarkEnd w:id="1203"/>
    </w:p>
    <w:p>
      <w:pPr>
        <w:pStyle w:val="Style44"/>
        <w:keepNext w:val="0"/>
        <w:keepLines w:val="0"/>
        <w:widowControl w:val="0"/>
        <w:shd w:val="clear" w:color="auto" w:fill="auto"/>
        <w:bidi w:val="0"/>
        <w:spacing w:before="0" w:after="120" w:line="240" w:lineRule="auto"/>
        <w:ind w:left="0" w:right="0" w:firstLine="520"/>
        <w:jc w:val="left"/>
        <w:rPr>
          <w:sz w:val="24"/>
          <w:szCs w:val="24"/>
        </w:rPr>
      </w:pPr>
      <w:r>
        <w:rPr>
          <w:color w:val="000000"/>
          <w:spacing w:val="0"/>
          <w:w w:val="100"/>
          <w:position w:val="0"/>
          <w:sz w:val="24"/>
          <w:szCs w:val="24"/>
        </w:rPr>
        <w:t>新设子公司</w:t>
      </w:r>
    </w:p>
    <w:tbl>
      <w:tblPr>
        <w:tblOverlap w:val="never"/>
        <w:jc w:val="left"/>
        <w:tblLayout w:type="fixed"/>
      </w:tblPr>
      <w:tblGrid>
        <w:gridCol w:w="3557"/>
        <w:gridCol w:w="1714"/>
        <w:gridCol w:w="1766"/>
        <w:gridCol w:w="1954"/>
      </w:tblGrid>
      <w:tr>
        <w:trPr>
          <w:trHeight w:val="9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子公司名称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股权取得方式</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360"/>
              <w:jc w:val="left"/>
              <w:rPr>
                <w:sz w:val="20"/>
                <w:szCs w:val="20"/>
              </w:rPr>
            </w:pPr>
            <w:r>
              <w:rPr>
                <w:b/>
                <w:bCs/>
                <w:color w:val="000000"/>
                <w:spacing w:val="0"/>
                <w:w w:val="100"/>
                <w:position w:val="0"/>
                <w:sz w:val="20"/>
                <w:szCs w:val="20"/>
              </w:rPr>
              <w:t>注册资本</w:t>
            </w:r>
          </w:p>
          <w:p>
            <w:pPr>
              <w:pStyle w:val="Style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（万元）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出资比例</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民昇智能（深圳）有限公司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投资设立</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bl>
    <w:p>
      <w:pPr>
        <w:widowControl w:val="0"/>
        <w:spacing w:after="319" w:line="1" w:lineRule="exact"/>
      </w:pPr>
    </w:p>
    <w:p>
      <w:pPr>
        <w:pStyle w:val="Style42"/>
        <w:keepNext/>
        <w:keepLines/>
        <w:widowControl w:val="0"/>
        <w:shd w:val="clear" w:color="auto" w:fill="auto"/>
        <w:bidi w:val="0"/>
        <w:spacing w:before="0" w:after="420" w:line="240" w:lineRule="auto"/>
        <w:ind w:left="0" w:right="0" w:firstLine="0"/>
        <w:jc w:val="left"/>
      </w:pPr>
      <w:bookmarkStart w:id="1204" w:name="bookmark1204"/>
      <w:bookmarkStart w:id="1205" w:name="bookmark1205"/>
      <w:bookmarkStart w:id="1206" w:name="bookmark1206"/>
      <w:bookmarkStart w:id="1207" w:name="bookmark1207"/>
      <w:r>
        <w:rPr>
          <w:color w:val="000000"/>
          <w:spacing w:val="0"/>
          <w:w w:val="100"/>
          <w:position w:val="0"/>
        </w:rPr>
        <w:t>七</w:t>
      </w:r>
      <w:bookmarkEnd w:id="1206"/>
      <w:r>
        <w:rPr>
          <w:color w:val="000000"/>
          <w:spacing w:val="0"/>
          <w:w w:val="100"/>
          <w:position w:val="0"/>
        </w:rPr>
        <w:t>、在其他主体中的权益</w:t>
      </w:r>
      <w:bookmarkEnd w:id="1204"/>
      <w:bookmarkEnd w:id="1205"/>
      <w:bookmarkEnd w:id="1207"/>
    </w:p>
    <w:p>
      <w:pPr>
        <w:pStyle w:val="Style44"/>
        <w:keepNext w:val="0"/>
        <w:keepLines w:val="0"/>
        <w:widowControl w:val="0"/>
        <w:shd w:val="clear" w:color="auto" w:fill="auto"/>
        <w:bidi w:val="0"/>
        <w:spacing w:before="0" w:after="220" w:line="240" w:lineRule="auto"/>
        <w:ind w:left="0" w:right="0" w:firstLine="520"/>
        <w:jc w:val="left"/>
        <w:rPr>
          <w:sz w:val="24"/>
          <w:szCs w:val="24"/>
        </w:rPr>
      </w:pPr>
      <w:r>
        <w:rPr>
          <w:color w:val="000000"/>
          <w:spacing w:val="0"/>
          <w:w w:val="100"/>
          <w:position w:val="0"/>
          <w:sz w:val="24"/>
          <w:szCs w:val="24"/>
        </w:rPr>
        <w:t>在子公司中的权益</w:t>
      </w:r>
    </w:p>
    <w:p>
      <w:pPr>
        <w:pStyle w:val="Style44"/>
        <w:keepNext w:val="0"/>
        <w:keepLines w:val="0"/>
        <w:widowControl w:val="0"/>
        <w:shd w:val="clear" w:color="auto" w:fill="auto"/>
        <w:bidi w:val="0"/>
        <w:spacing w:before="0" w:after="12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p>
    <w:tbl>
      <w:tblPr>
        <w:tblOverlap w:val="never"/>
        <w:jc w:val="left"/>
        <w:tblLayout w:type="fixed"/>
      </w:tblPr>
      <w:tblGrid>
        <w:gridCol w:w="2203"/>
        <w:gridCol w:w="994"/>
        <w:gridCol w:w="989"/>
        <w:gridCol w:w="1277"/>
        <w:gridCol w:w="850"/>
        <w:gridCol w:w="850"/>
        <w:gridCol w:w="1594"/>
      </w:tblGrid>
      <w:tr>
        <w:trPr>
          <w:trHeight w:val="427"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子公司名称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rPr>
                <w:sz w:val="20"/>
                <w:szCs w:val="20"/>
              </w:rPr>
            </w:pPr>
            <w:r>
              <w:rPr>
                <w:b/>
                <w:bCs/>
                <w:color w:val="000000"/>
                <w:spacing w:val="0"/>
                <w:w w:val="100"/>
                <w:position w:val="0"/>
                <w:sz w:val="20"/>
                <w:szCs w:val="20"/>
              </w:rPr>
              <w:t>主要经营 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注册地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b/>
                <w:bCs/>
                <w:color w:val="000000"/>
                <w:spacing w:val="0"/>
                <w:w w:val="100"/>
                <w:position w:val="0"/>
                <w:sz w:val="20"/>
                <w:szCs w:val="20"/>
              </w:rPr>
              <w:t>业务性质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持股比例（</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取得方式</w:t>
            </w:r>
          </w:p>
        </w:tc>
      </w:tr>
      <w:tr>
        <w:trPr>
          <w:trHeight w:val="413"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直接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间接</w:t>
            </w:r>
          </w:p>
        </w:tc>
        <w:tc>
          <w:tcPr>
            <w:vMerge/>
            <w:tcBorders>
              <w:left w:val="single" w:sz="4"/>
            </w:tcBorders>
            <w:shd w:val="clear" w:color="auto" w:fill="FFFFFF"/>
            <w:vAlign w:val="center"/>
          </w:tcPr>
          <w:p>
            <w:pPr/>
          </w:p>
        </w:tc>
      </w:tr>
      <w:tr>
        <w:trPr>
          <w:trHeight w:val="77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64" w:lineRule="exact"/>
              <w:ind w:left="180" w:right="0" w:firstLine="0"/>
              <w:jc w:val="left"/>
              <w:rPr>
                <w:sz w:val="20"/>
                <w:szCs w:val="20"/>
              </w:rPr>
            </w:pPr>
            <w:r>
              <w:rPr>
                <w:color w:val="000000"/>
                <w:spacing w:val="0"/>
                <w:w w:val="100"/>
                <w:position w:val="0"/>
                <w:sz w:val="20"/>
                <w:szCs w:val="20"/>
              </w:rPr>
              <w:t>国民科技（深圳）有 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深圳</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深圳</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销售及研发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center"/>
              <w:rPr>
                <w:sz w:val="20"/>
                <w:szCs w:val="20"/>
              </w:rPr>
            </w:pPr>
            <w:r>
              <w:rPr>
                <w:color w:val="000000"/>
                <w:spacing w:val="0"/>
                <w:w w:val="100"/>
                <w:position w:val="0"/>
                <w:sz w:val="20"/>
                <w:szCs w:val="20"/>
              </w:rPr>
              <w:t>非同一控制下 企业合并</w:t>
            </w:r>
          </w:p>
        </w:tc>
      </w:tr>
      <w:tr>
        <w:trPr>
          <w:trHeight w:val="6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54" w:lineRule="exact"/>
              <w:ind w:left="180" w:right="0" w:firstLine="0"/>
              <w:jc w:val="left"/>
              <w:rPr>
                <w:sz w:val="20"/>
                <w:szCs w:val="20"/>
              </w:rPr>
            </w:pPr>
            <w:r>
              <w:rPr>
                <w:color w:val="000000"/>
                <w:spacing w:val="0"/>
                <w:w w:val="100"/>
                <w:position w:val="0"/>
                <w:sz w:val="20"/>
                <w:szCs w:val="20"/>
              </w:rPr>
              <w:t>民昇智能（深圳）有 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深圳</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深圳</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投资设立</w:t>
            </w:r>
          </w:p>
        </w:tc>
      </w:tr>
      <w:tr>
        <w:trPr>
          <w:trHeight w:val="68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50" w:lineRule="exact"/>
              <w:ind w:left="180" w:right="0" w:firstLine="0"/>
              <w:jc w:val="left"/>
              <w:rPr>
                <w:sz w:val="20"/>
                <w:szCs w:val="20"/>
              </w:rPr>
            </w:pPr>
            <w:r>
              <w:rPr>
                <w:color w:val="000000"/>
                <w:spacing w:val="0"/>
                <w:w w:val="100"/>
                <w:position w:val="0"/>
                <w:sz w:val="20"/>
                <w:szCs w:val="20"/>
              </w:rPr>
              <w:t>国民技术（香港）有 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香港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香港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投资管理</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投资设立</w:t>
            </w:r>
          </w:p>
        </w:tc>
      </w:tr>
      <w:tr>
        <w:trPr>
          <w:trHeight w:val="69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69" w:lineRule="exact"/>
              <w:ind w:left="180" w:right="0" w:firstLine="0"/>
              <w:jc w:val="left"/>
              <w:rPr>
                <w:sz w:val="20"/>
                <w:szCs w:val="20"/>
              </w:rPr>
            </w:pPr>
            <w:r>
              <w:rPr>
                <w:color w:val="000000"/>
                <w:spacing w:val="0"/>
                <w:w w:val="100"/>
                <w:position w:val="0"/>
                <w:sz w:val="20"/>
                <w:szCs w:val="20"/>
              </w:rPr>
              <w:t>深圳前海国民投资管 理有限公司</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深圳</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深圳</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投资管理</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投资设立</w:t>
            </w:r>
          </w:p>
        </w:tc>
      </w:tr>
    </w:tbl>
    <w:p>
      <w:pPr>
        <w:widowControl w:val="0"/>
        <w:spacing w:line="1" w:lineRule="exact"/>
      </w:pPr>
      <w:r>
        <w:br w:type="page"/>
      </w:r>
    </w:p>
    <w:tbl>
      <w:tblPr>
        <w:tblOverlap w:val="never"/>
        <w:jc w:val="left"/>
        <w:tblLayout w:type="fixed"/>
      </w:tblPr>
      <w:tblGrid>
        <w:gridCol w:w="2203"/>
        <w:gridCol w:w="994"/>
        <w:gridCol w:w="989"/>
        <w:gridCol w:w="1277"/>
        <w:gridCol w:w="850"/>
        <w:gridCol w:w="850"/>
        <w:gridCol w:w="1594"/>
      </w:tblGrid>
      <w:tr>
        <w:trPr>
          <w:trHeight w:val="43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子公司名称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center"/>
              <w:rPr>
                <w:sz w:val="20"/>
                <w:szCs w:val="20"/>
              </w:rPr>
            </w:pPr>
            <w:r>
              <w:rPr>
                <w:b/>
                <w:bCs/>
                <w:color w:val="000000"/>
                <w:spacing w:val="0"/>
                <w:w w:val="100"/>
                <w:position w:val="0"/>
                <w:sz w:val="20"/>
                <w:szCs w:val="20"/>
              </w:rPr>
              <w:t>主要经营 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注册地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b/>
                <w:bCs/>
                <w:color w:val="000000"/>
                <w:spacing w:val="0"/>
                <w:w w:val="100"/>
                <w:position w:val="0"/>
                <w:sz w:val="20"/>
                <w:szCs w:val="20"/>
              </w:rPr>
              <w:t>业务性质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持股比例（</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取得方式</w:t>
            </w:r>
          </w:p>
        </w:tc>
      </w:tr>
      <w:tr>
        <w:trPr>
          <w:trHeight w:val="413"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直接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间接</w:t>
            </w:r>
          </w:p>
        </w:tc>
        <w:tc>
          <w:tcPr>
            <w:vMerge/>
            <w:tcBorders>
              <w:left w:val="single" w:sz="4"/>
            </w:tcBorders>
            <w:shd w:val="clear" w:color="auto" w:fill="FFFFFF"/>
            <w:vAlign w:val="center"/>
          </w:tcPr>
          <w:p>
            <w:pPr/>
          </w:p>
        </w:tc>
      </w:tr>
      <w:tr>
        <w:trPr>
          <w:trHeight w:val="68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64" w:lineRule="exact"/>
              <w:ind w:left="180" w:right="0" w:firstLine="0"/>
              <w:jc w:val="left"/>
              <w:rPr>
                <w:sz w:val="20"/>
                <w:szCs w:val="20"/>
              </w:rPr>
            </w:pPr>
            <w:r>
              <w:rPr>
                <w:color w:val="000000"/>
                <w:spacing w:val="0"/>
                <w:w w:val="100"/>
                <w:position w:val="0"/>
                <w:sz w:val="20"/>
                <w:szCs w:val="20"/>
              </w:rPr>
              <w:t>福建省星民智联科技 有限公司（注）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福建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福建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多卡融合平 台运营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46.00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投资设立</w:t>
            </w:r>
          </w:p>
        </w:tc>
      </w:tr>
      <w:tr>
        <w:trPr>
          <w:trHeight w:val="6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Nations Holdings</w:t>
            </w:r>
          </w:p>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Limited</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英属维尔 京群岛</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英属维尔 京群岛</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投资设立</w:t>
            </w:r>
          </w:p>
        </w:tc>
      </w:tr>
      <w:tr>
        <w:trPr>
          <w:trHeight w:val="65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Nations Technologies</w:t>
            </w:r>
          </w:p>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USA</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Inc</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美国</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美国</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投资设立</w:t>
            </w:r>
          </w:p>
        </w:tc>
      </w:tr>
      <w:tr>
        <w:trPr>
          <w:trHeight w:val="624" w:hRule="exact"/>
        </w:trPr>
        <w:tc>
          <w:tcPr>
            <w:tcBorders>
              <w:top w:val="single" w:sz="4"/>
            </w:tcBorders>
            <w:shd w:val="clear" w:color="auto" w:fill="FFFFFF"/>
            <w:vAlign w:val="center"/>
          </w:tcPr>
          <w:p>
            <w:pPr>
              <w:pStyle w:val="Style2"/>
              <w:keepNext w:val="0"/>
              <w:keepLines w:val="0"/>
              <w:widowControl w:val="0"/>
              <w:shd w:val="clear" w:color="auto" w:fill="auto"/>
              <w:tabs>
                <w:tab w:pos="1159" w:val="left"/>
              </w:tabs>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Nations</w:t>
              <w:tab/>
              <w:t>Innovation</w:t>
            </w:r>
          </w:p>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Technologies Pte.Ltd</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新加坡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新加坡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芯片研发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投资设立</w:t>
            </w:r>
          </w:p>
        </w:tc>
      </w:tr>
      <w:tr>
        <w:trPr>
          <w:trHeight w:val="6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64" w:lineRule="exact"/>
              <w:ind w:left="180" w:right="0" w:firstLine="0"/>
              <w:jc w:val="both"/>
              <w:rPr>
                <w:sz w:val="20"/>
                <w:szCs w:val="20"/>
              </w:rPr>
            </w:pPr>
            <w:r>
              <w:rPr>
                <w:color w:val="000000"/>
                <w:spacing w:val="0"/>
                <w:w w:val="100"/>
                <w:position w:val="0"/>
                <w:sz w:val="20"/>
                <w:szCs w:val="20"/>
              </w:rPr>
              <w:t>深圳市斯诺实业发展 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深圳</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深圳</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负极材料</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非同一控制下企 业合并</w:t>
            </w:r>
          </w:p>
        </w:tc>
      </w:tr>
      <w:tr>
        <w:trPr>
          <w:trHeight w:val="68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54" w:lineRule="exact"/>
              <w:ind w:left="180" w:right="0" w:firstLine="0"/>
              <w:jc w:val="both"/>
              <w:rPr>
                <w:sz w:val="20"/>
                <w:szCs w:val="20"/>
              </w:rPr>
            </w:pPr>
            <w:r>
              <w:rPr>
                <w:color w:val="000000"/>
                <w:spacing w:val="0"/>
                <w:w w:val="100"/>
                <w:position w:val="0"/>
                <w:sz w:val="20"/>
                <w:szCs w:val="20"/>
              </w:rPr>
              <w:t>江西斯诺新能源有限 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江西</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江西</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负极材料</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非同一控制下企 业合并</w:t>
            </w:r>
          </w:p>
        </w:tc>
      </w:tr>
      <w:tr>
        <w:trPr>
          <w:trHeight w:val="6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50" w:lineRule="exact"/>
              <w:ind w:left="180" w:right="0" w:firstLine="0"/>
              <w:jc w:val="both"/>
              <w:rPr>
                <w:sz w:val="20"/>
                <w:szCs w:val="20"/>
              </w:rPr>
            </w:pPr>
            <w:r>
              <w:rPr>
                <w:color w:val="000000"/>
                <w:spacing w:val="0"/>
                <w:w w:val="100"/>
                <w:position w:val="0"/>
                <w:sz w:val="20"/>
                <w:szCs w:val="20"/>
              </w:rPr>
              <w:t>内蒙古斯诺新材料科 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内蒙古</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内蒙古</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负极材料</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非同一控制下企 业合并</w:t>
            </w:r>
          </w:p>
        </w:tc>
      </w:tr>
      <w:tr>
        <w:trPr>
          <w:trHeight w:val="68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54" w:lineRule="exact"/>
              <w:ind w:left="180" w:right="0" w:firstLine="0"/>
              <w:jc w:val="both"/>
              <w:rPr>
                <w:sz w:val="20"/>
                <w:szCs w:val="20"/>
              </w:rPr>
            </w:pPr>
            <w:r>
              <w:rPr>
                <w:color w:val="000000"/>
                <w:spacing w:val="0"/>
                <w:w w:val="100"/>
                <w:position w:val="0"/>
                <w:sz w:val="20"/>
                <w:szCs w:val="20"/>
              </w:rPr>
              <w:t>陕西斯诺新材料科技 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韩城市</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韩城市</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制造业</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非同一控制下企 业合并</w:t>
            </w:r>
          </w:p>
        </w:tc>
      </w:tr>
      <w:tr>
        <w:trPr>
          <w:trHeight w:val="6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54" w:lineRule="exact"/>
              <w:ind w:left="180" w:right="0" w:firstLine="0"/>
              <w:jc w:val="both"/>
              <w:rPr>
                <w:sz w:val="20"/>
                <w:szCs w:val="20"/>
              </w:rPr>
            </w:pPr>
            <w:r>
              <w:rPr>
                <w:color w:val="000000"/>
                <w:spacing w:val="0"/>
                <w:w w:val="100"/>
                <w:position w:val="0"/>
                <w:sz w:val="20"/>
                <w:szCs w:val="20"/>
              </w:rPr>
              <w:t>山西深斯诺新材料有 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临汾市</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临汾市</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制造业</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非同一控制下企 业合并</w:t>
            </w:r>
          </w:p>
        </w:tc>
      </w:tr>
      <w:tr>
        <w:trPr>
          <w:trHeight w:val="70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54" w:lineRule="exact"/>
              <w:ind w:left="180" w:right="0" w:firstLine="0"/>
              <w:jc w:val="both"/>
              <w:rPr>
                <w:sz w:val="20"/>
                <w:szCs w:val="20"/>
              </w:rPr>
            </w:pPr>
            <w:r>
              <w:rPr>
                <w:color w:val="000000"/>
                <w:spacing w:val="0"/>
                <w:w w:val="100"/>
                <w:position w:val="0"/>
                <w:sz w:val="20"/>
                <w:szCs w:val="20"/>
              </w:rPr>
              <w:t>江西斯诺石墨新材料 有限公司</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抚州市</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抚州市</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制造业</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非同一控制下企 业合并</w:t>
            </w:r>
          </w:p>
        </w:tc>
      </w:tr>
    </w:tbl>
    <w:p>
      <w:pPr>
        <w:pStyle w:val="Style44"/>
        <w:keepNext w:val="0"/>
        <w:keepLines w:val="0"/>
        <w:widowControl w:val="0"/>
        <w:shd w:val="clear" w:color="auto" w:fill="auto"/>
        <w:bidi w:val="0"/>
        <w:spacing w:before="0" w:after="40" w:line="446" w:lineRule="exact"/>
        <w:ind w:left="0" w:right="0" w:firstLine="520"/>
        <w:jc w:val="both"/>
      </w:pPr>
      <w:r>
        <w:rPr>
          <w:color w:val="000000"/>
          <w:spacing w:val="0"/>
          <w:w w:val="100"/>
          <w:position w:val="0"/>
        </w:rPr>
        <w:t>注：原福建省星民易付多卡融合信息科技有限公司现更名为福建省星民智联科技有限公司， 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日完成工商变更登记。</w:t>
      </w:r>
    </w:p>
    <w:p>
      <w:pPr>
        <w:pStyle w:val="Style44"/>
        <w:keepNext w:val="0"/>
        <w:keepLines w:val="0"/>
        <w:widowControl w:val="0"/>
        <w:shd w:val="clear" w:color="auto" w:fill="auto"/>
        <w:bidi w:val="0"/>
        <w:spacing w:before="0" w:after="40" w:line="469" w:lineRule="exact"/>
        <w:ind w:left="0" w:right="0" w:firstLine="520"/>
        <w:jc w:val="both"/>
      </w:pPr>
      <w:r>
        <w:rPr>
          <w:color w:val="000000"/>
          <w:spacing w:val="0"/>
          <w:w w:val="100"/>
          <w:position w:val="0"/>
        </w:rPr>
        <w:t>持有半数或以下表决权但仍控制被投资单位的依据：</w:t>
      </w:r>
    </w:p>
    <w:p>
      <w:pPr>
        <w:pStyle w:val="Style44"/>
        <w:keepNext w:val="0"/>
        <w:keepLines w:val="0"/>
        <w:widowControl w:val="0"/>
        <w:shd w:val="clear" w:color="auto" w:fill="auto"/>
        <w:bidi w:val="0"/>
        <w:spacing w:before="0" w:after="40" w:line="469" w:lineRule="exact"/>
        <w:ind w:left="0" w:right="0" w:firstLine="52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日召开第三届董事会第十九次会议，审议通过《关于对外投资设立 合资公司的议案》，同意公司使用自有资金投资人民币</w:t>
      </w:r>
      <w:r>
        <w:rPr>
          <w:rFonts w:ascii="Times New Roman" w:eastAsia="Times New Roman" w:hAnsi="Times New Roman" w:cs="Times New Roman"/>
          <w:color w:val="000000"/>
          <w:spacing w:val="0"/>
          <w:w w:val="100"/>
          <w:position w:val="0"/>
        </w:rPr>
        <w:t>1,380.00</w:t>
      </w:r>
      <w:r>
        <w:rPr>
          <w:color w:val="000000"/>
          <w:spacing w:val="0"/>
          <w:w w:val="100"/>
          <w:position w:val="0"/>
        </w:rPr>
        <w:t>万元，占比</w:t>
      </w:r>
      <w:r>
        <w:rPr>
          <w:rFonts w:ascii="Times New Roman" w:eastAsia="Times New Roman" w:hAnsi="Times New Roman" w:cs="Times New Roman"/>
          <w:color w:val="000000"/>
          <w:spacing w:val="0"/>
          <w:w w:val="100"/>
          <w:position w:val="0"/>
        </w:rPr>
        <w:t>46.00%</w:t>
      </w:r>
      <w:r>
        <w:rPr>
          <w:color w:val="000000"/>
          <w:spacing w:val="0"/>
          <w:w w:val="100"/>
          <w:position w:val="0"/>
        </w:rPr>
        <w:t>，与福建省星 云大数据应用服务有限公司（出资人民币</w:t>
      </w:r>
      <w:r>
        <w:rPr>
          <w:rFonts w:ascii="Times New Roman" w:eastAsia="Times New Roman" w:hAnsi="Times New Roman" w:cs="Times New Roman"/>
          <w:color w:val="000000"/>
          <w:spacing w:val="0"/>
          <w:w w:val="100"/>
          <w:position w:val="0"/>
        </w:rPr>
        <w:t>600.00</w:t>
      </w:r>
      <w:r>
        <w:rPr>
          <w:color w:val="000000"/>
          <w:spacing w:val="0"/>
          <w:w w:val="100"/>
          <w:position w:val="0"/>
        </w:rPr>
        <w:t>万元，占比</w:t>
      </w:r>
      <w:r>
        <w:rPr>
          <w:rFonts w:ascii="Times New Roman" w:eastAsia="Times New Roman" w:hAnsi="Times New Roman" w:cs="Times New Roman"/>
          <w:color w:val="000000"/>
          <w:spacing w:val="0"/>
          <w:w w:val="100"/>
          <w:position w:val="0"/>
        </w:rPr>
        <w:t>20.00%</w:t>
      </w:r>
      <w:r>
        <w:rPr>
          <w:color w:val="000000"/>
          <w:spacing w:val="0"/>
          <w:w w:val="100"/>
          <w:position w:val="0"/>
        </w:rPr>
        <w:t>）、易联众信息技术股份有限 公司（出资人民币</w:t>
      </w:r>
      <w:r>
        <w:rPr>
          <w:rFonts w:ascii="Times New Roman" w:eastAsia="Times New Roman" w:hAnsi="Times New Roman" w:cs="Times New Roman"/>
          <w:color w:val="000000"/>
          <w:spacing w:val="0"/>
          <w:w w:val="100"/>
          <w:position w:val="0"/>
        </w:rPr>
        <w:t>570.00</w:t>
      </w:r>
      <w:r>
        <w:rPr>
          <w:color w:val="000000"/>
          <w:spacing w:val="0"/>
          <w:w w:val="100"/>
          <w:position w:val="0"/>
        </w:rPr>
        <w:t>万元，占比</w:t>
      </w:r>
      <w:r>
        <w:rPr>
          <w:rFonts w:ascii="Times New Roman" w:eastAsia="Times New Roman" w:hAnsi="Times New Roman" w:cs="Times New Roman"/>
          <w:color w:val="000000"/>
          <w:spacing w:val="0"/>
          <w:w w:val="100"/>
          <w:position w:val="0"/>
        </w:rPr>
        <w:t>19.00%</w:t>
      </w:r>
      <w:r>
        <w:rPr>
          <w:color w:val="000000"/>
          <w:spacing w:val="0"/>
          <w:w w:val="100"/>
          <w:position w:val="0"/>
        </w:rPr>
        <w:t>）、弘安投资（深圳）合伙企业（有限合伙）（出资 人民币</w:t>
      </w:r>
      <w:r>
        <w:rPr>
          <w:rFonts w:ascii="Times New Roman" w:eastAsia="Times New Roman" w:hAnsi="Times New Roman" w:cs="Times New Roman"/>
          <w:color w:val="000000"/>
          <w:spacing w:val="0"/>
          <w:w w:val="100"/>
          <w:position w:val="0"/>
        </w:rPr>
        <w:t>450.00</w:t>
      </w:r>
      <w:r>
        <w:rPr>
          <w:color w:val="000000"/>
          <w:spacing w:val="0"/>
          <w:w w:val="100"/>
          <w:position w:val="0"/>
        </w:rPr>
        <w:t>万元，占比</w:t>
      </w:r>
      <w:r>
        <w:rPr>
          <w:rFonts w:ascii="Times New Roman" w:eastAsia="Times New Roman" w:hAnsi="Times New Roman" w:cs="Times New Roman"/>
          <w:color w:val="000000"/>
          <w:spacing w:val="0"/>
          <w:w w:val="100"/>
          <w:position w:val="0"/>
        </w:rPr>
        <w:t>15.00%</w:t>
      </w:r>
      <w:r>
        <w:rPr>
          <w:color w:val="000000"/>
          <w:spacing w:val="0"/>
          <w:w w:val="100"/>
          <w:position w:val="0"/>
        </w:rPr>
        <w:t>）共同设立福建省星民智联科技有限公司（以下简称“星民智 联”）。星民智联于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日正式登记成立，主要运营福建省多卡融合公共服务平台项目， 同时继续营造</w:t>
      </w:r>
      <w:r>
        <w:rPr>
          <w:rFonts w:ascii="Times New Roman" w:eastAsia="Times New Roman" w:hAnsi="Times New Roman" w:cs="Times New Roman"/>
          <w:color w:val="000000"/>
          <w:spacing w:val="0"/>
          <w:w w:val="100"/>
          <w:position w:val="0"/>
        </w:rPr>
        <w:t>RCC</w:t>
      </w:r>
      <w:r>
        <w:rPr>
          <w:color w:val="000000"/>
          <w:spacing w:val="0"/>
          <w:w w:val="100"/>
          <w:position w:val="0"/>
        </w:rPr>
        <w:t>技术规模商用环境。星民智联董事会共</w:t>
      </w:r>
      <w:r>
        <w:rPr>
          <w:rFonts w:ascii="Times New Roman" w:eastAsia="Times New Roman" w:hAnsi="Times New Roman" w:cs="Times New Roman"/>
          <w:color w:val="000000"/>
          <w:spacing w:val="0"/>
          <w:w w:val="100"/>
          <w:position w:val="0"/>
        </w:rPr>
        <w:t>5</w:t>
      </w:r>
      <w:r>
        <w:rPr>
          <w:color w:val="000000"/>
          <w:spacing w:val="0"/>
          <w:w w:val="100"/>
          <w:position w:val="0"/>
        </w:rPr>
        <w:t>名成员，其中国民技术占</w:t>
      </w:r>
      <w:r>
        <w:rPr>
          <w:rFonts w:ascii="Times New Roman" w:eastAsia="Times New Roman" w:hAnsi="Times New Roman" w:cs="Times New Roman"/>
          <w:color w:val="000000"/>
          <w:spacing w:val="0"/>
          <w:w w:val="100"/>
          <w:position w:val="0"/>
        </w:rPr>
        <w:t>3</w:t>
      </w:r>
      <w:r>
        <w:rPr>
          <w:color w:val="000000"/>
          <w:spacing w:val="0"/>
          <w:w w:val="100"/>
          <w:position w:val="0"/>
        </w:rPr>
        <w:t>席，国 民技术对星民智联构成实质性控制，公司自星民智联成立之日起将其纳入合并范围。</w:t>
      </w:r>
    </w:p>
    <w:p>
      <w:pPr>
        <w:pStyle w:val="Style44"/>
        <w:keepNext w:val="0"/>
        <w:keepLines w:val="0"/>
        <w:widowControl w:val="0"/>
        <w:shd w:val="clear" w:color="auto" w:fill="auto"/>
        <w:bidi w:val="0"/>
        <w:spacing w:before="0" w:after="40" w:line="469" w:lineRule="exact"/>
        <w:ind w:left="0" w:right="0" w:firstLine="520"/>
        <w:jc w:val="both"/>
        <w:sectPr>
          <w:headerReference w:type="default" r:id="rId151"/>
          <w:footerReference w:type="default" r:id="rId152"/>
          <w:headerReference w:type="even" r:id="rId153"/>
          <w:footerReference w:type="even" r:id="rId154"/>
          <w:footnotePr>
            <w:pos w:val="pageBottom"/>
            <w:numFmt w:val="decimal"/>
            <w:numRestart w:val="continuous"/>
          </w:footnotePr>
          <w:pgSz w:w="11900" w:h="16840"/>
          <w:pgMar w:top="1136" w:right="885" w:bottom="1275" w:left="801" w:header="0" w:footer="3" w:gutter="0"/>
          <w:cols w:space="720"/>
          <w:noEndnote/>
          <w:rtlGutter w:val="0"/>
          <w:docGrid w:linePitch="360"/>
        </w:sectPr>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p>
    <w:tbl>
      <w:tblPr>
        <w:tblOverlap w:val="never"/>
        <w:jc w:val="center"/>
        <w:tblLayout w:type="fixed"/>
      </w:tblPr>
      <w:tblGrid>
        <w:gridCol w:w="2400"/>
        <w:gridCol w:w="6768"/>
      </w:tblGrid>
      <w:tr>
        <w:trPr>
          <w:trHeight w:val="78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子公司名称</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left"/>
              <w:rPr>
                <w:sz w:val="20"/>
                <w:szCs w:val="20"/>
              </w:rPr>
            </w:pPr>
            <w:r>
              <w:rPr>
                <w:b/>
                <w:bCs/>
                <w:color w:val="000000"/>
                <w:spacing w:val="0"/>
                <w:w w:val="100"/>
                <w:position w:val="0"/>
                <w:sz w:val="20"/>
                <w:szCs w:val="20"/>
              </w:rPr>
              <w:t>少数股东的</w:t>
            </w:r>
          </w:p>
          <w:p>
            <w:pPr>
              <w:pStyle w:val="Style2"/>
              <w:keepNext w:val="0"/>
              <w:keepLines w:val="0"/>
              <w:widowControl w:val="0"/>
              <w:shd w:val="clear" w:color="auto" w:fill="auto"/>
              <w:bidi w:val="0"/>
              <w:spacing w:before="0" w:after="0" w:line="163" w:lineRule="exact"/>
              <w:ind w:left="1020" w:right="0" w:firstLine="1220"/>
              <w:jc w:val="left"/>
            </w:pPr>
            <w:r>
              <w:rPr>
                <w:b/>
                <w:bCs/>
                <w:color w:val="000000"/>
                <w:spacing w:val="0"/>
                <w:w w:val="100"/>
                <w:position w:val="0"/>
                <w:sz w:val="20"/>
                <w:szCs w:val="20"/>
              </w:rPr>
              <w:t xml:space="preserve">本年归属于少本年向少数股年末少数股东 </w:t>
            </w:r>
            <w:r>
              <w:rPr>
                <w:rFonts w:ascii="Arial" w:eastAsia="Arial" w:hAnsi="Arial" w:cs="Arial"/>
                <w:smallCaps/>
                <w:color w:val="000000"/>
                <w:spacing w:val="0"/>
                <w:w w:val="100"/>
                <w:position w:val="0"/>
                <w:sz w:val="9"/>
                <w:szCs w:val="9"/>
              </w:rPr>
              <w:t>j</w:t>
            </w:r>
            <w:r>
              <w:rPr>
                <w:b/>
                <w:bCs/>
                <w:color w:val="000000"/>
                <w:spacing w:val="0"/>
                <w:w w:val="100"/>
                <w:position w:val="0"/>
                <w:sz w:val="20"/>
                <w:szCs w:val="20"/>
              </w:rPr>
              <w:t>持^股^比</w:t>
            </w:r>
            <w:r>
              <w:rPr>
                <w:rFonts w:ascii="Times New Roman" w:eastAsia="Times New Roman" w:hAnsi="Times New Roman" w:cs="Times New Roman"/>
                <w:color w:val="000000"/>
                <w:spacing w:val="0"/>
                <w:w w:val="100"/>
                <w:position w:val="0"/>
              </w:rPr>
              <w:t>j</w:t>
            </w:r>
          </w:p>
          <w:p>
            <w:pPr>
              <w:pStyle w:val="Style2"/>
              <w:keepNext w:val="0"/>
              <w:keepLines w:val="0"/>
              <w:widowControl w:val="0"/>
              <w:shd w:val="clear" w:color="auto" w:fill="auto"/>
              <w:tabs>
                <w:tab w:pos="5562" w:val="left"/>
              </w:tabs>
              <w:bidi w:val="0"/>
              <w:spacing w:before="0" w:after="0" w:line="240" w:lineRule="auto"/>
              <w:ind w:left="1020" w:right="0" w:firstLine="1220"/>
              <w:jc w:val="left"/>
              <w:rPr>
                <w:sz w:val="20"/>
                <w:szCs w:val="20"/>
              </w:rPr>
            </w:pPr>
            <w:r>
              <w:rPr>
                <w:b/>
                <w:bCs/>
                <w:color w:val="000000"/>
                <w:spacing w:val="0"/>
                <w:w w:val="100"/>
                <w:position w:val="0"/>
                <w:sz w:val="20"/>
                <w:szCs w:val="20"/>
              </w:rPr>
              <w:t>数股东的损益东分派的股利</w:t>
              <w:tab/>
              <w:t>权益余额</w:t>
            </w:r>
          </w:p>
          <w:p>
            <w:pPr>
              <w:pStyle w:val="Style2"/>
              <w:keepNext w:val="0"/>
              <w:keepLines w:val="0"/>
              <w:widowControl w:val="0"/>
              <w:shd w:val="clear" w:color="auto" w:fill="auto"/>
              <w:bidi w:val="0"/>
              <w:spacing w:before="0" w:after="0" w:line="180" w:lineRule="auto"/>
              <w:ind w:left="1340" w:right="0" w:firstLine="0"/>
              <w:jc w:val="left"/>
              <w:rPr>
                <w:sz w:val="14"/>
                <w:szCs w:val="14"/>
              </w:rPr>
            </w:pPr>
            <w:r>
              <w:rPr>
                <w:rFonts w:ascii="Times New Roman" w:eastAsia="Times New Roman" w:hAnsi="Times New Roman" w:cs="Times New Roman"/>
                <w:b/>
                <w:bCs/>
                <w:i/>
                <w:iCs/>
                <w:color w:val="000000"/>
                <w:spacing w:val="0"/>
                <w:w w:val="100"/>
                <w:position w:val="0"/>
                <w:sz w:val="20"/>
                <w:szCs w:val="20"/>
              </w:rPr>
              <w:t xml:space="preserve">% </w:t>
            </w:r>
            <w:r>
              <w:rPr>
                <w:rFonts w:ascii="Times New Roman" w:eastAsia="Times New Roman" w:hAnsi="Times New Roman" w:cs="Times New Roman"/>
                <w:b/>
                <w:bCs/>
                <w:i/>
                <w:iCs/>
                <w:color w:val="000000"/>
                <w:spacing w:val="0"/>
                <w:w w:val="100"/>
                <w:position w:val="0"/>
                <w:sz w:val="14"/>
                <w:szCs w:val="14"/>
              </w:rPr>
              <w:t>）</w:t>
            </w:r>
          </w:p>
        </w:tc>
      </w:tr>
    </w:tbl>
    <w:p>
      <w:pPr>
        <w:widowControl w:val="0"/>
        <w:spacing w:after="139" w:line="1" w:lineRule="exact"/>
      </w:pPr>
    </w:p>
    <w:p>
      <w:pPr>
        <w:widowControl w:val="0"/>
        <w:spacing w:line="1" w:lineRule="exact"/>
      </w:pPr>
    </w:p>
    <w:tbl>
      <w:tblPr>
        <w:tblOverlap w:val="never"/>
        <w:jc w:val="center"/>
        <w:tblLayout w:type="fixed"/>
      </w:tblPr>
      <w:tblGrid>
        <w:gridCol w:w="3168"/>
        <w:gridCol w:w="1306"/>
        <w:gridCol w:w="1560"/>
        <w:gridCol w:w="1555"/>
        <w:gridCol w:w="1733"/>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深圳市斯诺实业发展有限公司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-11,997,356.19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-110,496,654.21</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福建省星民智联科技有限公司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54.00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-5,772,478.69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259,781.73</w:t>
            </w:r>
          </w:p>
        </w:tc>
      </w:tr>
    </w:tbl>
    <w:p>
      <w:pPr>
        <w:widowControl w:val="0"/>
        <w:spacing w:after="139" w:line="1" w:lineRule="exact"/>
      </w:pPr>
    </w:p>
    <w:p>
      <w:pPr>
        <w:pStyle w:val="Style44"/>
        <w:keepNext w:val="0"/>
        <w:keepLines w:val="0"/>
        <w:widowControl w:val="0"/>
        <w:shd w:val="clear" w:color="auto" w:fill="auto"/>
        <w:bidi w:val="0"/>
        <w:spacing w:before="0" w:after="140" w:line="240" w:lineRule="auto"/>
        <w:ind w:left="0" w:right="0" w:firstLine="660"/>
        <w:jc w:val="left"/>
      </w:pPr>
      <w:bookmarkStart w:id="1208" w:name="bookmark1208"/>
      <w:r>
        <w:rPr>
          <w:rFonts w:ascii="Times New Roman" w:eastAsia="Times New Roman" w:hAnsi="Times New Roman" w:cs="Times New Roman"/>
          <w:color w:val="000000"/>
          <w:spacing w:val="0"/>
          <w:w w:val="100"/>
          <w:position w:val="0"/>
        </w:rPr>
        <w:t>（</w:t>
      </w:r>
      <w:bookmarkEnd w:id="1208"/>
      <w:r>
        <w:rPr>
          <w:rFonts w:ascii="Times New Roman" w:eastAsia="Times New Roman" w:hAnsi="Times New Roman" w:cs="Times New Roman"/>
          <w:color w:val="000000"/>
          <w:spacing w:val="0"/>
          <w:w w:val="100"/>
          <w:position w:val="0"/>
        </w:rPr>
        <w:t>3</w:t>
      </w:r>
      <w:r>
        <w:rPr>
          <w:color w:val="000000"/>
          <w:spacing w:val="0"/>
          <w:w w:val="100"/>
          <w:position w:val="0"/>
        </w:rPr>
        <w:t>）重要的非全资子公司的主要财务信息</w:t>
      </w:r>
    </w:p>
    <w:tbl>
      <w:tblPr>
        <w:tblOverlap w:val="never"/>
        <w:jc w:val="center"/>
        <w:tblLayout w:type="fixed"/>
      </w:tblPr>
      <w:tblGrid>
        <w:gridCol w:w="2952"/>
        <w:gridCol w:w="2410"/>
        <w:gridCol w:w="1987"/>
        <w:gridCol w:w="1944"/>
      </w:tblGrid>
      <w:tr>
        <w:trPr>
          <w:trHeight w:val="48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子公司名称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资产合计</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深圳市斯诺实业发展有限公司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283,472,291.78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259,496,250.02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542,968,541.80</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福建省星民智联科技有限公司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5,935,947.11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23,084.63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5,959,031.74</w:t>
            </w:r>
          </w:p>
        </w:tc>
      </w:tr>
    </w:tbl>
    <w:p>
      <w:pPr>
        <w:widowControl w:val="0"/>
        <w:spacing w:after="139" w:line="1" w:lineRule="exact"/>
      </w:pPr>
    </w:p>
    <w:p>
      <w:pPr>
        <w:pStyle w:val="Style44"/>
        <w:keepNext w:val="0"/>
        <w:keepLines w:val="0"/>
        <w:widowControl w:val="0"/>
        <w:shd w:val="clear" w:color="auto" w:fill="auto"/>
        <w:bidi w:val="0"/>
        <w:spacing w:before="0" w:after="140" w:line="240" w:lineRule="auto"/>
        <w:ind w:left="0" w:right="0" w:firstLine="660"/>
        <w:jc w:val="left"/>
      </w:pPr>
      <w:r>
        <w:rPr>
          <w:color w:val="000000"/>
          <w:spacing w:val="0"/>
          <w:w w:val="100"/>
          <w:position w:val="0"/>
        </w:rPr>
        <w:t>（续）</w:t>
      </w:r>
    </w:p>
    <w:tbl>
      <w:tblPr>
        <w:tblOverlap w:val="never"/>
        <w:jc w:val="center"/>
        <w:tblLayout w:type="fixed"/>
      </w:tblPr>
      <w:tblGrid>
        <w:gridCol w:w="3163"/>
        <w:gridCol w:w="1915"/>
        <w:gridCol w:w="283"/>
        <w:gridCol w:w="1843"/>
        <w:gridCol w:w="144"/>
        <w:gridCol w:w="1944"/>
      </w:tblGrid>
      <w:tr>
        <w:trPr>
          <w:trHeight w:val="48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子公司名称</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期初余额</w:t>
            </w:r>
          </w:p>
        </w:tc>
      </w:tr>
      <w:tr>
        <w:trPr>
          <w:trHeight w:val="461"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流动资产</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资产合计</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深圳市斯诺实业发展有限公司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330,162,087.90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269,522,160.29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599,684,248.19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福建省星民智联科技有限公司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16,208,195.20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911,556.11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17,119,751.31</w:t>
            </w:r>
          </w:p>
        </w:tc>
      </w:tr>
      <w:tr>
        <w:trPr>
          <w:trHeight w:val="461"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子公司名称</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流动负债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非流动负债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负债合计</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深圳市斯诺实业发展有限公司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902,096,177.53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22,000,000.00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924,096,177.53</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福建省星民智联科技有限公司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5,309,577.42</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5,309,577.42</w:t>
            </w:r>
          </w:p>
        </w:tc>
      </w:tr>
    </w:tbl>
    <w:p>
      <w:pPr>
        <w:widowControl w:val="0"/>
        <w:spacing w:after="139" w:line="1" w:lineRule="exact"/>
      </w:pPr>
    </w:p>
    <w:p>
      <w:pPr>
        <w:pStyle w:val="Style44"/>
        <w:keepNext w:val="0"/>
        <w:keepLines w:val="0"/>
        <w:widowControl w:val="0"/>
        <w:shd w:val="clear" w:color="auto" w:fill="auto"/>
        <w:bidi w:val="0"/>
        <w:spacing w:before="0" w:after="140" w:line="240" w:lineRule="auto"/>
        <w:ind w:left="0" w:right="0" w:firstLine="660"/>
        <w:jc w:val="left"/>
      </w:pPr>
      <w:r>
        <w:rPr>
          <w:color w:val="000000"/>
          <w:spacing w:val="0"/>
          <w:w w:val="100"/>
          <w:position w:val="0"/>
        </w:rPr>
        <w:t>（续）</w:t>
      </w:r>
    </w:p>
    <w:tbl>
      <w:tblPr>
        <w:tblOverlap w:val="never"/>
        <w:jc w:val="center"/>
        <w:tblLayout w:type="fixed"/>
      </w:tblPr>
      <w:tblGrid>
        <w:gridCol w:w="3163"/>
        <w:gridCol w:w="1416"/>
        <w:gridCol w:w="768"/>
        <w:gridCol w:w="792"/>
        <w:gridCol w:w="1560"/>
        <w:gridCol w:w="1858"/>
      </w:tblGrid>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子公司名称</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期初余额</w:t>
            </w:r>
          </w:p>
        </w:tc>
      </w:tr>
      <w:tr>
        <w:trPr>
          <w:trHeight w:val="46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流动负债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负债合计</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深圳市斯诺实业发展有限公司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900,648,658.26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42,000,000.00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942,648,658.26</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福建省星民智联科技有限公司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5,780,521.64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5,780,521.64</w:t>
            </w:r>
          </w:p>
        </w:tc>
      </w:tr>
      <w:tr>
        <w:trPr>
          <w:trHeight w:val="46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子公司名称</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本期发生额</w:t>
            </w:r>
          </w:p>
        </w:tc>
      </w:tr>
      <w:tr>
        <w:trPr>
          <w:trHeight w:val="68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营业收入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center"/>
              <w:rPr>
                <w:sz w:val="20"/>
                <w:szCs w:val="20"/>
              </w:rPr>
            </w:pPr>
            <w:r>
              <w:rPr>
                <w:b/>
                <w:bCs/>
                <w:color w:val="000000"/>
                <w:spacing w:val="0"/>
                <w:w w:val="100"/>
                <w:position w:val="0"/>
                <w:sz w:val="20"/>
                <w:szCs w:val="20"/>
              </w:rPr>
              <w:t>经营活动现金 流量</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深圳市斯诺实业发展有限公司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138,125,699.56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-38,163,225.66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-38,163,225.66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37,931,509.27</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福建省星民智联科技有限公司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8,063,152.05</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-10,689,775.35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-10,689,775.35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-1,927,419.18</w:t>
            </w:r>
          </w:p>
        </w:tc>
      </w:tr>
    </w:tbl>
    <w:p>
      <w:pPr>
        <w:widowControl w:val="0"/>
        <w:spacing w:after="139" w:line="1" w:lineRule="exact"/>
      </w:pPr>
    </w:p>
    <w:p>
      <w:pPr>
        <w:pStyle w:val="Style44"/>
        <w:keepNext w:val="0"/>
        <w:keepLines w:val="0"/>
        <w:widowControl w:val="0"/>
        <w:shd w:val="clear" w:color="auto" w:fill="auto"/>
        <w:bidi w:val="0"/>
        <w:spacing w:before="0" w:after="140" w:line="240" w:lineRule="auto"/>
        <w:ind w:left="0" w:right="0" w:firstLine="660"/>
        <w:jc w:val="left"/>
      </w:pPr>
      <w:r>
        <w:rPr>
          <w:color w:val="000000"/>
          <w:spacing w:val="0"/>
          <w:w w:val="100"/>
          <w:position w:val="0"/>
        </w:rPr>
        <w:t>（续）</w:t>
      </w:r>
      <w:r>
        <w:br w:type="page"/>
      </w:r>
    </w:p>
    <w:tbl>
      <w:tblPr>
        <w:tblOverlap w:val="never"/>
        <w:jc w:val="center"/>
        <w:tblLayout w:type="fixed"/>
      </w:tblPr>
      <w:tblGrid>
        <w:gridCol w:w="2246"/>
        <w:gridCol w:w="1560"/>
        <w:gridCol w:w="1704"/>
        <w:gridCol w:w="1723"/>
        <w:gridCol w:w="1790"/>
      </w:tblGrid>
      <w:tr>
        <w:trPr>
          <w:trHeight w:val="48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子公司名称</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上期发生额</w:t>
            </w:r>
          </w:p>
        </w:tc>
      </w:tr>
      <w:tr>
        <w:trPr>
          <w:trHeight w:val="71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center"/>
              <w:rPr>
                <w:sz w:val="20"/>
                <w:szCs w:val="20"/>
              </w:rPr>
            </w:pPr>
            <w:r>
              <w:rPr>
                <w:b/>
                <w:bCs/>
                <w:color w:val="000000"/>
                <w:spacing w:val="0"/>
                <w:w w:val="100"/>
                <w:position w:val="0"/>
                <w:sz w:val="20"/>
                <w:szCs w:val="20"/>
              </w:rPr>
              <w:t>经营活动现金流 量</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02" w:lineRule="exact"/>
              <w:ind w:left="180" w:right="0" w:firstLine="0"/>
              <w:jc w:val="left"/>
              <w:rPr>
                <w:sz w:val="20"/>
                <w:szCs w:val="20"/>
              </w:rPr>
            </w:pPr>
            <w:r>
              <w:rPr>
                <w:color w:val="000000"/>
                <w:spacing w:val="0"/>
                <w:w w:val="100"/>
                <w:position w:val="0"/>
                <w:sz w:val="20"/>
                <w:szCs w:val="20"/>
              </w:rPr>
              <w:t>深圳市斯诺实业发展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146,862,642.61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-187,284,147.42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-187,284,147.42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-224,154,631.46</w:t>
            </w:r>
          </w:p>
        </w:tc>
      </w:tr>
      <w:tr>
        <w:trPr>
          <w:trHeight w:val="73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88" w:lineRule="exact"/>
              <w:ind w:left="180" w:right="0" w:firstLine="0"/>
              <w:jc w:val="left"/>
              <w:rPr>
                <w:sz w:val="20"/>
                <w:szCs w:val="20"/>
              </w:rPr>
            </w:pPr>
            <w:r>
              <w:rPr>
                <w:color w:val="000000"/>
                <w:spacing w:val="0"/>
                <w:w w:val="100"/>
                <w:position w:val="0"/>
                <w:sz w:val="20"/>
                <w:szCs w:val="20"/>
              </w:rPr>
              <w:t>福建省星民智联科技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35,836,452.94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-7,965,023.66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-7,965,023.66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-6,451,451.19</w:t>
            </w:r>
          </w:p>
        </w:tc>
      </w:tr>
    </w:tbl>
    <w:p>
      <w:pPr>
        <w:widowControl w:val="0"/>
        <w:spacing w:after="319" w:line="1" w:lineRule="exact"/>
      </w:pPr>
    </w:p>
    <w:p>
      <w:pPr>
        <w:pStyle w:val="Style42"/>
        <w:keepNext/>
        <w:keepLines/>
        <w:widowControl w:val="0"/>
        <w:shd w:val="clear" w:color="auto" w:fill="auto"/>
        <w:bidi w:val="0"/>
        <w:spacing w:before="0" w:after="200" w:line="240" w:lineRule="auto"/>
        <w:ind w:left="0" w:right="0" w:firstLine="0"/>
        <w:jc w:val="left"/>
      </w:pPr>
      <w:bookmarkStart w:id="1209" w:name="bookmark1209"/>
      <w:bookmarkStart w:id="1210" w:name="bookmark1210"/>
      <w:bookmarkStart w:id="1211" w:name="bookmark1211"/>
      <w:bookmarkStart w:id="1212" w:name="bookmark1212"/>
      <w:r>
        <w:rPr>
          <w:color w:val="000000"/>
          <w:spacing w:val="0"/>
          <w:w w:val="100"/>
          <w:position w:val="0"/>
        </w:rPr>
        <w:t>八</w:t>
      </w:r>
      <w:bookmarkEnd w:id="1211"/>
      <w:r>
        <w:rPr>
          <w:color w:val="000000"/>
          <w:spacing w:val="0"/>
          <w:w w:val="100"/>
          <w:position w:val="0"/>
        </w:rPr>
        <w:t>、与金融工具相关的风险</w:t>
      </w:r>
      <w:bookmarkEnd w:id="1209"/>
      <w:bookmarkEnd w:id="1210"/>
      <w:bookmarkEnd w:id="1212"/>
    </w:p>
    <w:p>
      <w:pPr>
        <w:pStyle w:val="Style44"/>
        <w:keepNext w:val="0"/>
        <w:keepLines w:val="0"/>
        <w:widowControl w:val="0"/>
        <w:shd w:val="clear" w:color="auto" w:fill="auto"/>
        <w:bidi w:val="0"/>
        <w:spacing w:before="0" w:after="420" w:line="470" w:lineRule="exact"/>
        <w:ind w:left="0" w:right="0" w:firstLine="480"/>
        <w:jc w:val="both"/>
      </w:pPr>
      <w:r>
        <w:rPr>
          <w:color w:val="000000"/>
          <w:spacing w:val="0"/>
          <w:w w:val="100"/>
          <w:position w:val="0"/>
        </w:rPr>
        <w:t>本公司的经营活动会面临各种金融风险：市场风险（主要包括外汇风险、利率风险和其他价 格风险）、信用风险和流动性风险。本公司已制定风险管理政策，力求减少各种风险对财务业绩 的潜在不利影响。</w:t>
      </w:r>
    </w:p>
    <w:p>
      <w:pPr>
        <w:pStyle w:val="Style52"/>
        <w:keepNext/>
        <w:keepLines/>
        <w:widowControl w:val="0"/>
        <w:shd w:val="clear" w:color="auto" w:fill="auto"/>
        <w:bidi w:val="0"/>
        <w:spacing w:before="0" w:after="0" w:line="410" w:lineRule="auto"/>
        <w:ind w:left="0" w:right="0" w:firstLine="0"/>
        <w:jc w:val="left"/>
        <w:rPr>
          <w:sz w:val="24"/>
          <w:szCs w:val="24"/>
        </w:rPr>
      </w:pPr>
      <w:bookmarkStart w:id="1213" w:name="bookmark1213"/>
      <w:bookmarkStart w:id="1214" w:name="bookmark1214"/>
      <w:bookmarkStart w:id="1215" w:name="bookmark1215"/>
      <w:r>
        <w:rPr>
          <w:rFonts w:ascii="Times New Roman" w:eastAsia="Times New Roman" w:hAnsi="Times New Roman" w:cs="Times New Roman"/>
          <w:b w:val="0"/>
          <w:bCs w:val="0"/>
          <w:color w:val="000000"/>
          <w:spacing w:val="0"/>
          <w:w w:val="100"/>
          <w:position w:val="0"/>
          <w:sz w:val="24"/>
          <w:szCs w:val="24"/>
        </w:rPr>
        <w:t>1</w:t>
      </w:r>
      <w:r>
        <w:rPr>
          <w:b w:val="0"/>
          <w:bCs w:val="0"/>
          <w:color w:val="000000"/>
          <w:spacing w:val="0"/>
          <w:w w:val="100"/>
          <w:position w:val="0"/>
          <w:sz w:val="24"/>
          <w:szCs w:val="24"/>
        </w:rPr>
        <w:t>、市场风险</w:t>
      </w:r>
      <w:bookmarkEnd w:id="1213"/>
      <w:bookmarkEnd w:id="1214"/>
      <w:bookmarkEnd w:id="1215"/>
    </w:p>
    <w:p>
      <w:pPr>
        <w:pStyle w:val="Style44"/>
        <w:keepNext w:val="0"/>
        <w:keepLines w:val="0"/>
        <w:widowControl w:val="0"/>
        <w:shd w:val="clear" w:color="auto" w:fill="auto"/>
        <w:bidi w:val="0"/>
        <w:spacing w:before="0" w:after="0" w:line="470" w:lineRule="exact"/>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）外汇风险</w:t>
      </w:r>
    </w:p>
    <w:p>
      <w:pPr>
        <w:pStyle w:val="Style44"/>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本公司于中国境内的业务以人民币结算，海外业务包括美元、港币、新加坡元等外币项目结 算，因此海外业务的结算存在外汇风险。此外，本公司已确认的外币资产和负债及未来的外币交 易（外币资产和负债及外币交易的计价货币主要为美元）依然存在外汇风险。本公司财务部门负 责监控公司外币交易和外币资产及负债的规模，以最大程度降低面临的外汇风险。</w:t>
      </w:r>
    </w:p>
    <w:p>
      <w:pPr>
        <w:pStyle w:val="Style44"/>
        <w:keepNext w:val="0"/>
        <w:keepLines w:val="0"/>
        <w:widowControl w:val="0"/>
        <w:shd w:val="clear" w:color="auto" w:fill="auto"/>
        <w:bidi w:val="0"/>
        <w:spacing w:before="0" w:after="140" w:line="480" w:lineRule="exact"/>
        <w:ind w:left="0" w:right="0" w:firstLine="4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日及</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日，本公司内以人民币为记账本位币的各所属公司持 有的外币金融资产和外币金融负债折算成人民币的金额列示如下：</w:t>
      </w:r>
    </w:p>
    <w:tbl>
      <w:tblPr>
        <w:tblOverlap w:val="never"/>
        <w:jc w:val="center"/>
        <w:tblLayout w:type="fixed"/>
      </w:tblPr>
      <w:tblGrid>
        <w:gridCol w:w="1886"/>
        <w:gridCol w:w="1699"/>
        <w:gridCol w:w="1416"/>
        <w:gridCol w:w="1987"/>
        <w:gridCol w:w="1594"/>
      </w:tblGrid>
      <w:tr>
        <w:trPr>
          <w:trHeight w:val="408" w:hRule="exact"/>
        </w:trPr>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外币项目</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2020.12.31</w:t>
            </w:r>
          </w:p>
        </w:tc>
      </w:tr>
      <w:tr>
        <w:trPr>
          <w:trHeight w:val="403" w:hRule="exact"/>
        </w:trPr>
        <w:tc>
          <w:tcPr>
            <w:vMerge/>
            <w:tcBorders/>
            <w:shd w:val="clear" w:color="auto" w:fill="FFFFFF"/>
            <w:vAlign w:val="bottom"/>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美元项目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港币项目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新加坡元币种项目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外币金融资产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9,179,651.22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12,824.24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114,140.21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9,306,615.67</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2,693,255.83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2,693,255.83</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110.92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218,728.89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218,839.81</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11,873,017.97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12,824.24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332,869.10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12,218,711.31</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外币金融负债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14,751,741.87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14,751,741.87</w:t>
            </w:r>
          </w:p>
        </w:tc>
      </w:tr>
      <w:tr>
        <w:trPr>
          <w:trHeight w:val="46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1,763,972.07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1,763,972.07</w:t>
            </w:r>
          </w:p>
        </w:tc>
      </w:tr>
    </w:tbl>
    <w:p>
      <w:pPr>
        <w:sectPr>
          <w:headerReference w:type="default" r:id="rId155"/>
          <w:footerReference w:type="default" r:id="rId156"/>
          <w:headerReference w:type="even" r:id="rId157"/>
          <w:footerReference w:type="even" r:id="rId158"/>
          <w:headerReference w:type="first" r:id="rId159"/>
          <w:footerReference w:type="first" r:id="rId160"/>
          <w:footnotePr>
            <w:pos w:val="pageBottom"/>
            <w:numFmt w:val="decimal"/>
            <w:numRestart w:val="continuous"/>
          </w:footnotePr>
          <w:pgSz w:w="11900" w:h="16840"/>
          <w:pgMar w:top="1136" w:right="885" w:bottom="1275" w:left="801" w:header="0" w:footer="3" w:gutter="0"/>
          <w:cols w:space="720"/>
          <w:noEndnote/>
          <w:titlePg/>
          <w:rtlGutter w:val="0"/>
          <w:docGrid w:linePitch="360"/>
        </w:sectPr>
      </w:pPr>
    </w:p>
    <w:p>
      <w:pPr>
        <w:pStyle w:val="Style128"/>
        <w:keepNext w:val="0"/>
        <w:keepLines w:val="0"/>
        <w:widowControl w:val="0"/>
        <w:shd w:val="clear" w:color="auto" w:fill="auto"/>
        <w:tabs>
          <w:tab w:pos="1474" w:val="left"/>
          <w:tab w:pos="6437" w:val="left"/>
        </w:tabs>
        <w:bidi w:val="0"/>
        <w:spacing w:before="0" w:after="260" w:line="240" w:lineRule="auto"/>
        <w:ind w:left="0" w:right="0" w:firstLine="0"/>
        <w:jc w:val="center"/>
      </w:pPr>
      <w:r>
        <w:rPr>
          <w:rFonts w:ascii="SimSun" w:eastAsia="SimSun" w:hAnsi="SimSun" w:cs="SimSun"/>
          <w:color w:val="000000"/>
          <w:spacing w:val="0"/>
          <w:w w:val="100"/>
          <w:position w:val="0"/>
          <w:sz w:val="20"/>
          <w:szCs w:val="20"/>
        </w:rPr>
        <w:t>小计</w:t>
        <w:tab/>
      </w:r>
      <w:r>
        <w:rPr>
          <w:color w:val="000000"/>
          <w:spacing w:val="0"/>
          <w:w w:val="100"/>
          <w:position w:val="0"/>
        </w:rPr>
        <w:t>16,515,713.94</w:t>
        <w:tab/>
        <w:t>16,515,713.94</w:t>
      </w:r>
    </w:p>
    <w:p>
      <w:pPr>
        <w:pStyle w:val="Style38"/>
        <w:keepNext w:val="0"/>
        <w:keepLines w:val="0"/>
        <w:widowControl w:val="0"/>
        <w:shd w:val="clear" w:color="auto" w:fill="auto"/>
        <w:bidi w:val="0"/>
        <w:spacing w:before="0" w:after="0" w:line="240" w:lineRule="auto"/>
        <w:ind w:left="326" w:right="0" w:firstLine="0"/>
        <w:jc w:val="left"/>
      </w:pPr>
      <w:r>
        <w:rPr>
          <w:color w:val="000000"/>
          <w:spacing w:val="0"/>
          <w:w w:val="100"/>
          <w:position w:val="0"/>
        </w:rPr>
        <w:t>（续）</w:t>
      </w:r>
    </w:p>
    <w:tbl>
      <w:tblPr>
        <w:tblOverlap w:val="never"/>
        <w:jc w:val="left"/>
        <w:tblLayout w:type="fixed"/>
      </w:tblPr>
      <w:tblGrid>
        <w:gridCol w:w="1886"/>
        <w:gridCol w:w="1699"/>
        <w:gridCol w:w="1416"/>
        <w:gridCol w:w="1987"/>
        <w:gridCol w:w="1594"/>
      </w:tblGrid>
      <w:tr>
        <w:trPr>
          <w:trHeight w:val="408" w:hRule="exact"/>
        </w:trPr>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外币项目</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2019.12.31</w:t>
            </w:r>
          </w:p>
        </w:tc>
      </w:tr>
      <w:tr>
        <w:trPr>
          <w:trHeight w:val="403" w:hRule="exact"/>
        </w:trPr>
        <w:tc>
          <w:tcPr>
            <w:vMerge/>
            <w:tcBorders/>
            <w:shd w:val="clear" w:color="auto" w:fill="FFFFFF"/>
            <w:vAlign w:val="bottom"/>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美元项目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港币项目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新加坡元币种项目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外币金融资产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12,064,449.83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10,077.69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475,459.52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12,549,987.04</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4,557,983.64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4,557,983.64</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6,982,017.25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229,484.82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7,211,502.07</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23,604,450.72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10,077.69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704,944.34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24,319,472.75</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外币金融负债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6,982,017.24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6,982,017.24</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8,383,333.58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8,383,333.58</w:t>
            </w:r>
          </w:p>
        </w:tc>
      </w:tr>
      <w:tr>
        <w:trPr>
          <w:trHeight w:val="46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15,365,350.82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15,365,350.82</w:t>
            </w:r>
          </w:p>
        </w:tc>
      </w:tr>
    </w:tbl>
    <w:p>
      <w:pPr>
        <w:widowControl w:val="0"/>
        <w:spacing w:after="119" w:line="1" w:lineRule="exact"/>
      </w:pPr>
    </w:p>
    <w:p>
      <w:pPr>
        <w:pStyle w:val="Style44"/>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对于本公司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日上述外币金融资产和外币金融负债，如果人民币对其升值或</w:t>
      </w:r>
    </w:p>
    <w:p>
      <w:pPr>
        <w:pStyle w:val="Style4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贬值</w:t>
      </w:r>
      <w:r>
        <w:rPr>
          <w:rFonts w:ascii="Times New Roman" w:eastAsia="Times New Roman" w:hAnsi="Times New Roman" w:cs="Times New Roman"/>
          <w:color w:val="000000"/>
          <w:spacing w:val="0"/>
          <w:w w:val="100"/>
          <w:position w:val="0"/>
        </w:rPr>
        <w:t>10%</w:t>
      </w:r>
      <w:r>
        <w:rPr>
          <w:color w:val="000000"/>
          <w:spacing w:val="0"/>
          <w:w w:val="100"/>
          <w:position w:val="0"/>
        </w:rPr>
        <w:t>，其他因素保持不变，则本公司将增加或减少净利润列示如下：</w:t>
      </w:r>
    </w:p>
    <w:tbl>
      <w:tblPr>
        <w:tblOverlap w:val="never"/>
        <w:jc w:val="left"/>
        <w:tblLayout w:type="fixed"/>
      </w:tblPr>
      <w:tblGrid>
        <w:gridCol w:w="2165"/>
        <w:gridCol w:w="2837"/>
        <w:gridCol w:w="3154"/>
      </w:tblGrid>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币种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升值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贬值</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464,269.60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464,269.60</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1,282.42</w:t>
            </w:r>
          </w:p>
        </w:tc>
      </w:tr>
      <w:tr>
        <w:trPr>
          <w:trHeight w:val="46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新加坡元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33,286.91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33,286.91</w:t>
            </w:r>
          </w:p>
        </w:tc>
      </w:tr>
    </w:tbl>
    <w:p>
      <w:pPr>
        <w:widowControl w:val="0"/>
        <w:spacing w:after="119" w:line="1" w:lineRule="exact"/>
      </w:pPr>
    </w:p>
    <w:p>
      <w:pPr>
        <w:pStyle w:val="Style44"/>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4"/>
          <w:szCs w:val="24"/>
        </w:rPr>
        <w:t>（2</w:t>
      </w:r>
      <w:r>
        <w:rPr>
          <w:color w:val="000000"/>
          <w:spacing w:val="0"/>
          <w:w w:val="100"/>
          <w:position w:val="0"/>
          <w:sz w:val="20"/>
          <w:szCs w:val="20"/>
        </w:rPr>
        <w:t>）利率风险</w:t>
      </w:r>
    </w:p>
    <w:p>
      <w:pPr>
        <w:pStyle w:val="Style44"/>
        <w:keepNext w:val="0"/>
        <w:keepLines w:val="0"/>
        <w:widowControl w:val="0"/>
        <w:shd w:val="clear" w:color="auto" w:fill="auto"/>
        <w:bidi w:val="0"/>
        <w:spacing w:before="0" w:after="0" w:line="470" w:lineRule="exact"/>
        <w:ind w:left="0" w:right="0" w:firstLine="480"/>
        <w:jc w:val="left"/>
      </w:pPr>
      <w:r>
        <w:rPr>
          <w:color w:val="000000"/>
          <w:spacing w:val="0"/>
          <w:w w:val="100"/>
          <w:position w:val="0"/>
        </w:rPr>
        <w:t>本公司的利率风险主要产生于银行借款等带息债务。浮动利率的金融负债使本公司面临现金 流量利率风险，固定利率的金融负债使本公司面临公允价值利率风险。本公司根据当时的市场环 境来决定固定利率及浮动利率合同的相对比例。</w:t>
      </w:r>
    </w:p>
    <w:p>
      <w:pPr>
        <w:pStyle w:val="Style44"/>
        <w:keepNext w:val="0"/>
        <w:keepLines w:val="0"/>
        <w:widowControl w:val="0"/>
        <w:shd w:val="clear" w:color="auto" w:fill="auto"/>
        <w:bidi w:val="0"/>
        <w:spacing w:before="0" w:after="0" w:line="470" w:lineRule="exact"/>
        <w:ind w:left="0" w:right="0" w:firstLine="480"/>
        <w:jc w:val="left"/>
      </w:pPr>
      <w:r>
        <w:rPr>
          <w:color w:val="000000"/>
          <w:spacing w:val="0"/>
          <w:w w:val="100"/>
          <w:position w:val="0"/>
        </w:rPr>
        <w:t>本公司财务部门持续监控公司利率水平。利率上升会增加新增带息债务的成本以及本公司尚 未付清的以浮动利率计息的带息债务的利息支出，并对本公司的财务业绩产生重大的不利影响， 管理层会依据最新的市场状况及时做出调整。本公司报告期内银行借款基本以固定利率计息。</w:t>
      </w:r>
    </w:p>
    <w:p>
      <w:pPr>
        <w:pStyle w:val="Style44"/>
        <w:keepNext w:val="0"/>
        <w:keepLines w:val="0"/>
        <w:widowControl w:val="0"/>
        <w:shd w:val="clear" w:color="auto" w:fill="auto"/>
        <w:bidi w:val="0"/>
        <w:spacing w:before="0" w:after="0" w:line="470" w:lineRule="exact"/>
        <w:ind w:left="0" w:right="0" w:firstLine="480"/>
        <w:jc w:val="both"/>
      </w:pPr>
      <w:bookmarkStart w:id="1216" w:name="bookmark1216"/>
      <w:r>
        <w:rPr>
          <w:color w:val="000000"/>
          <w:spacing w:val="0"/>
          <w:w w:val="100"/>
          <w:position w:val="0"/>
        </w:rPr>
        <w:t>（</w:t>
      </w:r>
      <w:bookmarkEnd w:id="1216"/>
      <w:r>
        <w:rPr>
          <w:rFonts w:ascii="Times New Roman" w:eastAsia="Times New Roman" w:hAnsi="Times New Roman" w:cs="Times New Roman"/>
          <w:color w:val="000000"/>
          <w:spacing w:val="0"/>
          <w:w w:val="100"/>
          <w:position w:val="0"/>
        </w:rPr>
        <w:t>3</w:t>
      </w:r>
      <w:r>
        <w:rPr>
          <w:color w:val="000000"/>
          <w:spacing w:val="0"/>
          <w:w w:val="100"/>
          <w:position w:val="0"/>
        </w:rPr>
        <w:t>）其他价格风险</w:t>
      </w:r>
    </w:p>
    <w:p>
      <w:pPr>
        <w:pStyle w:val="Style44"/>
        <w:keepNext w:val="0"/>
        <w:keepLines w:val="0"/>
        <w:widowControl w:val="0"/>
        <w:shd w:val="clear" w:color="auto" w:fill="auto"/>
        <w:bidi w:val="0"/>
        <w:spacing w:before="0" w:after="0" w:line="470" w:lineRule="exact"/>
        <w:ind w:left="0" w:right="0" w:firstLine="480"/>
        <w:jc w:val="left"/>
      </w:pPr>
      <w:r>
        <w:rPr>
          <w:color w:val="000000"/>
          <w:spacing w:val="0"/>
          <w:w w:val="100"/>
          <w:position w:val="0"/>
        </w:rPr>
        <w:t>本公司其他价格风险主要产生于各类权益工具投资，存在权益工具价格变动而风险。</w:t>
      </w:r>
    </w:p>
    <w:p>
      <w:pPr>
        <w:pStyle w:val="Style44"/>
        <w:keepNext w:val="0"/>
        <w:keepLines w:val="0"/>
        <w:widowControl w:val="0"/>
        <w:shd w:val="clear" w:color="auto" w:fill="auto"/>
        <w:bidi w:val="0"/>
        <w:spacing w:before="0" w:after="80" w:line="458" w:lineRule="exact"/>
        <w:ind w:left="0" w:right="0" w:firstLine="480"/>
        <w:jc w:val="left"/>
        <w:rPr>
          <w:sz w:val="18"/>
          <w:szCs w:val="18"/>
        </w:rPr>
        <w:sectPr>
          <w:headerReference w:type="default" r:id="rId161"/>
          <w:footerReference w:type="default" r:id="rId162"/>
          <w:headerReference w:type="even" r:id="rId163"/>
          <w:footerReference w:type="even" r:id="rId164"/>
          <w:footnotePr>
            <w:pos w:val="pageBottom"/>
            <w:numFmt w:val="decimal"/>
            <w:numRestart w:val="continuous"/>
          </w:footnotePr>
          <w:pgSz w:w="11900" w:h="16840"/>
          <w:pgMar w:top="1518" w:right="1009" w:bottom="1028" w:left="1109" w:header="0" w:footer="600" w:gutter="0"/>
          <w:pgNumType w:start="204"/>
          <w:cols w:space="720"/>
          <w:noEndnote/>
          <w:rtlGutter w:val="0"/>
          <w:docGrid w:linePitch="360"/>
        </w:sect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日，如果本公司各类权益工具投资预期价格上涨或下降</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，其他因素保持 不变，本公司将增加或减少净利润</w:t>
      </w:r>
      <w:r>
        <w:rPr>
          <w:rFonts w:ascii="Times New Roman" w:eastAsia="Times New Roman" w:hAnsi="Times New Roman" w:cs="Times New Roman"/>
          <w:color w:val="000000"/>
          <w:spacing w:val="0"/>
          <w:w w:val="100"/>
          <w:position w:val="0"/>
          <w:sz w:val="22"/>
          <w:szCs w:val="22"/>
        </w:rPr>
        <w:t>5,773,219.54</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3,800,364.75</w:t>
      </w:r>
      <w:r>
        <w:rPr>
          <w:color w:val="000000"/>
          <w:spacing w:val="0"/>
          <w:w w:val="100"/>
          <w:position w:val="0"/>
          <w:sz w:val="22"/>
          <w:szCs w:val="22"/>
        </w:rPr>
        <w:t xml:space="preserve">元），增加或减少其他综 </w:t>
      </w:r>
      <w:r>
        <w:rPr>
          <w:color w:val="000000"/>
          <w:spacing w:val="0"/>
          <w:w w:val="100"/>
          <w:position w:val="0"/>
          <w:sz w:val="18"/>
          <w:szCs w:val="18"/>
        </w:rPr>
        <w:t>第</w:t>
      </w:r>
      <w:r>
        <w:rPr>
          <w:rFonts w:ascii="Times New Roman" w:eastAsia="Times New Roman" w:hAnsi="Times New Roman" w:cs="Times New Roman"/>
          <w:color w:val="000000"/>
          <w:spacing w:val="0"/>
          <w:w w:val="100"/>
          <w:position w:val="0"/>
          <w:sz w:val="18"/>
          <w:szCs w:val="18"/>
        </w:rPr>
        <w:t>203</w:t>
      </w:r>
      <w:r>
        <w:rPr>
          <w:color w:val="000000"/>
          <w:spacing w:val="0"/>
          <w:w w:val="100"/>
          <w:position w:val="0"/>
          <w:sz w:val="18"/>
          <w:szCs w:val="18"/>
        </w:rPr>
        <w:t>页</w:t>
      </w:r>
    </w:p>
    <w:p>
      <w:pPr>
        <w:pStyle w:val="Style128"/>
        <w:keepNext w:val="0"/>
        <w:keepLines w:val="0"/>
        <w:widowControl w:val="0"/>
        <w:shd w:val="clear" w:color="auto" w:fill="auto"/>
        <w:bidi w:val="0"/>
        <w:spacing w:before="0" w:after="200" w:line="240" w:lineRule="auto"/>
        <w:ind w:left="0" w:right="0" w:firstLine="140"/>
        <w:jc w:val="both"/>
      </w:pPr>
      <w:r>
        <w:rPr>
          <w:rFonts w:ascii="SimSun" w:eastAsia="SimSun" w:hAnsi="SimSun" w:cs="SimSun"/>
          <w:color w:val="000000"/>
          <w:spacing w:val="0"/>
          <w:w w:val="100"/>
          <w:position w:val="0"/>
        </w:rPr>
        <w:t xml:space="preserve">合收益 </w:t>
      </w:r>
      <w:r>
        <w:rPr>
          <w:color w:val="000000"/>
          <w:spacing w:val="0"/>
          <w:w w:val="100"/>
          <w:position w:val="0"/>
        </w:rPr>
        <w:t xml:space="preserve">6,940,234.59 </w:t>
      </w:r>
      <w:r>
        <w:rPr>
          <w:rFonts w:ascii="SimSun" w:eastAsia="SimSun" w:hAnsi="SimSun" w:cs="SimSun"/>
          <w:color w:val="000000"/>
          <w:spacing w:val="0"/>
          <w:w w:val="100"/>
          <w:position w:val="0"/>
        </w:rPr>
        <w:t>元（</w:t>
      </w: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6,928,011.93 </w:t>
      </w:r>
      <w:r>
        <w:rPr>
          <w:rFonts w:ascii="SimSun" w:eastAsia="SimSun" w:hAnsi="SimSun" w:cs="SimSun"/>
          <w:color w:val="000000"/>
          <w:spacing w:val="0"/>
          <w:w w:val="100"/>
          <w:position w:val="0"/>
        </w:rPr>
        <w:t>元）。</w:t>
      </w:r>
    </w:p>
    <w:p>
      <w:pPr>
        <w:pStyle w:val="Style52"/>
        <w:keepNext/>
        <w:keepLines/>
        <w:widowControl w:val="0"/>
        <w:shd w:val="clear" w:color="auto" w:fill="auto"/>
        <w:tabs>
          <w:tab w:pos="542" w:val="left"/>
        </w:tabs>
        <w:bidi w:val="0"/>
        <w:spacing w:before="0" w:after="200" w:line="473" w:lineRule="exact"/>
        <w:ind w:left="0" w:right="0" w:firstLine="140"/>
        <w:jc w:val="both"/>
        <w:rPr>
          <w:sz w:val="24"/>
          <w:szCs w:val="24"/>
        </w:rPr>
      </w:pPr>
      <w:bookmarkStart w:id="1217" w:name="bookmark1217"/>
      <w:bookmarkStart w:id="1218" w:name="bookmark1218"/>
      <w:bookmarkStart w:id="1219" w:name="bookmark1219"/>
      <w:bookmarkStart w:id="1220" w:name="bookmark1220"/>
      <w:r>
        <w:rPr>
          <w:rFonts w:ascii="Times New Roman" w:eastAsia="Times New Roman" w:hAnsi="Times New Roman" w:cs="Times New Roman"/>
          <w:b w:val="0"/>
          <w:bCs w:val="0"/>
          <w:color w:val="000000"/>
          <w:spacing w:val="0"/>
          <w:w w:val="100"/>
          <w:position w:val="0"/>
          <w:sz w:val="24"/>
          <w:szCs w:val="24"/>
        </w:rPr>
        <w:t>2</w:t>
      </w:r>
      <w:bookmarkEnd w:id="1219"/>
      <w:r>
        <w:rPr>
          <w:b w:val="0"/>
          <w:bCs w:val="0"/>
          <w:color w:val="000000"/>
          <w:spacing w:val="0"/>
          <w:w w:val="100"/>
          <w:position w:val="0"/>
          <w:sz w:val="24"/>
          <w:szCs w:val="24"/>
        </w:rPr>
        <w:t>、</w:t>
        <w:tab/>
        <w:t>信用风险</w:t>
      </w:r>
      <w:bookmarkEnd w:id="1217"/>
      <w:bookmarkEnd w:id="1218"/>
      <w:bookmarkEnd w:id="1220"/>
    </w:p>
    <w:p>
      <w:pPr>
        <w:pStyle w:val="Style44"/>
        <w:keepNext w:val="0"/>
        <w:keepLines w:val="0"/>
        <w:widowControl w:val="0"/>
        <w:shd w:val="clear" w:color="auto" w:fill="auto"/>
        <w:bidi w:val="0"/>
        <w:spacing w:before="0" w:after="0" w:line="470" w:lineRule="exact"/>
        <w:ind w:left="140" w:right="0" w:firstLine="460"/>
        <w:jc w:val="both"/>
      </w:pPr>
      <w:r>
        <w:rPr>
          <w:color w:val="000000"/>
          <w:spacing w:val="0"/>
          <w:w w:val="100"/>
          <w:position w:val="0"/>
        </w:rPr>
        <w:t>本公司对信用风险按组合分类进行管理。信用风险主要产生于银行存款、应收账款、其他应 收款、应收票据、交易性金融资产等其他金融资产。</w:t>
      </w:r>
    </w:p>
    <w:p>
      <w:pPr>
        <w:pStyle w:val="Style44"/>
        <w:keepNext w:val="0"/>
        <w:keepLines w:val="0"/>
        <w:widowControl w:val="0"/>
        <w:shd w:val="clear" w:color="auto" w:fill="auto"/>
        <w:bidi w:val="0"/>
        <w:spacing w:before="0" w:after="0" w:line="480" w:lineRule="exact"/>
        <w:ind w:left="140" w:right="0" w:firstLine="460"/>
        <w:jc w:val="both"/>
      </w:pPr>
      <w:r>
        <w:rPr>
          <w:color w:val="000000"/>
          <w:spacing w:val="0"/>
          <w:w w:val="100"/>
          <w:position w:val="0"/>
        </w:rPr>
        <w:t>本公司银行存款主要存放于国有银行和其它大中型上市银行，本公司认为其不存在重大的信 用风险，不会产生因对方单位违约而导致的任何重大损失。</w:t>
      </w:r>
    </w:p>
    <w:p>
      <w:pPr>
        <w:pStyle w:val="Style44"/>
        <w:keepNext w:val="0"/>
        <w:keepLines w:val="0"/>
        <w:widowControl w:val="0"/>
        <w:shd w:val="clear" w:color="auto" w:fill="auto"/>
        <w:bidi w:val="0"/>
        <w:spacing w:before="0" w:after="200" w:line="473" w:lineRule="exact"/>
        <w:ind w:left="140" w:right="0" w:firstLine="460"/>
        <w:jc w:val="both"/>
      </w:pPr>
      <w:r>
        <w:rPr>
          <w:color w:val="000000"/>
          <w:spacing w:val="0"/>
          <w:w w:val="100"/>
          <w:position w:val="0"/>
        </w:rPr>
        <w:t>对于应收账款、其他应收款和应收票据，本公司设定相关政策以控制信用风险敞口。本公司 基于对客户的财务状况、从第三方获取担保的可能性、信用记录及目前市场状况等其它因素评估 客户的信用资质并设置相应信用期。</w:t>
      </w:r>
    </w:p>
    <w:p>
      <w:pPr>
        <w:pStyle w:val="Style52"/>
        <w:keepNext/>
        <w:keepLines/>
        <w:widowControl w:val="0"/>
        <w:shd w:val="clear" w:color="auto" w:fill="auto"/>
        <w:tabs>
          <w:tab w:pos="542" w:val="left"/>
        </w:tabs>
        <w:bidi w:val="0"/>
        <w:spacing w:before="0" w:after="200" w:line="473" w:lineRule="exact"/>
        <w:ind w:left="0" w:right="0" w:firstLine="140"/>
        <w:jc w:val="both"/>
        <w:rPr>
          <w:sz w:val="24"/>
          <w:szCs w:val="24"/>
        </w:rPr>
      </w:pPr>
      <w:bookmarkStart w:id="1221" w:name="bookmark1221"/>
      <w:bookmarkStart w:id="1222" w:name="bookmark1222"/>
      <w:bookmarkStart w:id="1223" w:name="bookmark1223"/>
      <w:bookmarkStart w:id="1224" w:name="bookmark1224"/>
      <w:r>
        <w:rPr>
          <w:rFonts w:ascii="Times New Roman" w:eastAsia="Times New Roman" w:hAnsi="Times New Roman" w:cs="Times New Roman"/>
          <w:b w:val="0"/>
          <w:bCs w:val="0"/>
          <w:color w:val="000000"/>
          <w:spacing w:val="0"/>
          <w:w w:val="100"/>
          <w:position w:val="0"/>
          <w:sz w:val="24"/>
          <w:szCs w:val="24"/>
        </w:rPr>
        <w:t>3</w:t>
      </w:r>
      <w:bookmarkEnd w:id="1223"/>
      <w:r>
        <w:rPr>
          <w:b w:val="0"/>
          <w:bCs w:val="0"/>
          <w:color w:val="000000"/>
          <w:spacing w:val="0"/>
          <w:w w:val="100"/>
          <w:position w:val="0"/>
          <w:sz w:val="24"/>
          <w:szCs w:val="24"/>
        </w:rPr>
        <w:t>、</w:t>
        <w:tab/>
        <w:t>流动性风险</w:t>
      </w:r>
      <w:bookmarkEnd w:id="1221"/>
      <w:bookmarkEnd w:id="1222"/>
      <w:bookmarkEnd w:id="1224"/>
    </w:p>
    <w:p>
      <w:pPr>
        <w:pStyle w:val="Style44"/>
        <w:keepNext w:val="0"/>
        <w:keepLines w:val="0"/>
        <w:widowControl w:val="0"/>
        <w:shd w:val="clear" w:color="auto" w:fill="auto"/>
        <w:bidi w:val="0"/>
        <w:spacing w:before="0" w:after="0" w:line="475" w:lineRule="exact"/>
        <w:ind w:left="140" w:right="0" w:firstLine="460"/>
        <w:jc w:val="both"/>
      </w:pPr>
      <w:r>
        <w:rPr>
          <w:color w:val="000000"/>
          <w:spacing w:val="0"/>
          <w:w w:val="100"/>
          <w:position w:val="0"/>
        </w:rPr>
        <w:t>流动性风险，是指本公司在履行以交付现金或其他金融资产的方式结算的义务时发生资金短 缺的风险。</w:t>
      </w:r>
    </w:p>
    <w:p>
      <w:pPr>
        <w:pStyle w:val="Style44"/>
        <w:keepNext w:val="0"/>
        <w:keepLines w:val="0"/>
        <w:widowControl w:val="0"/>
        <w:shd w:val="clear" w:color="auto" w:fill="auto"/>
        <w:bidi w:val="0"/>
        <w:spacing w:before="0" w:after="0" w:line="467" w:lineRule="exact"/>
        <w:ind w:left="140" w:right="0" w:firstLine="460"/>
        <w:jc w:val="both"/>
      </w:pPr>
      <w:r>
        <w:rPr>
          <w:color w:val="000000"/>
          <w:spacing w:val="0"/>
          <w:w w:val="100"/>
          <w:position w:val="0"/>
        </w:rPr>
        <w:t>管理流动风险时，本公司保持管理层认为充分的现金及现金等价物并对其进行监控，以满足 本公司的经营需要，并降低现金流量波动的影响。本公司管理层对银行借款的使用情况进行监控 并确保遵守借款协议。同时从主要金融机构获得提供足够备用资金的承诺，以满足短期和长期的 资金需求。</w:t>
      </w:r>
    </w:p>
    <w:p>
      <w:pPr>
        <w:pStyle w:val="Style44"/>
        <w:keepNext w:val="0"/>
        <w:keepLines w:val="0"/>
        <w:widowControl w:val="0"/>
        <w:shd w:val="clear" w:color="auto" w:fill="auto"/>
        <w:bidi w:val="0"/>
        <w:spacing w:before="0" w:after="200" w:line="485" w:lineRule="exact"/>
        <w:ind w:left="14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日，本公司已获得国内多家银行提供最高为人民币</w:t>
      </w:r>
      <w:r>
        <w:rPr>
          <w:rFonts w:ascii="Times New Roman" w:eastAsia="Times New Roman" w:hAnsi="Times New Roman" w:cs="Times New Roman"/>
          <w:color w:val="000000"/>
          <w:spacing w:val="0"/>
          <w:w w:val="100"/>
          <w:position w:val="0"/>
        </w:rPr>
        <w:t>4.37</w:t>
      </w:r>
      <w:r>
        <w:rPr>
          <w:color w:val="000000"/>
          <w:spacing w:val="0"/>
          <w:w w:val="100"/>
          <w:position w:val="0"/>
        </w:rPr>
        <w:t>亿元的贷款额度， 其中尚未使用的银行授信额度为人民币零元。</w:t>
      </w:r>
    </w:p>
    <w:p>
      <w:pPr>
        <w:pStyle w:val="Style128"/>
        <w:keepNext w:val="0"/>
        <w:keepLines w:val="0"/>
        <w:widowControl w:val="0"/>
        <w:shd w:val="clear" w:color="auto" w:fill="auto"/>
        <w:bidi w:val="0"/>
        <w:spacing w:before="0" w:after="200" w:line="240" w:lineRule="auto"/>
        <w:ind w:left="0" w:right="0" w:firstLine="60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日，本公司的流动负债净额为人民币</w:t>
      </w:r>
      <w:r>
        <w:rPr>
          <w:color w:val="000000"/>
          <w:spacing w:val="0"/>
          <w:w w:val="100"/>
          <w:position w:val="0"/>
        </w:rPr>
        <w:t>607,800,454.85</w:t>
      </w:r>
      <w:r>
        <w:rPr>
          <w:rFonts w:ascii="SimSun" w:eastAsia="SimSun" w:hAnsi="SimSun" w:cs="SimSun"/>
          <w:color w:val="000000"/>
          <w:spacing w:val="0"/>
          <w:w w:val="100"/>
          <w:position w:val="0"/>
        </w:rPr>
        <w:t>元</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p>
    <w:p>
      <w:pPr>
        <w:pStyle w:val="Style44"/>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日为人民币</w:t>
      </w:r>
      <w:r>
        <w:rPr>
          <w:rFonts w:ascii="Times New Roman" w:eastAsia="Times New Roman" w:hAnsi="Times New Roman" w:cs="Times New Roman"/>
          <w:color w:val="000000"/>
          <w:spacing w:val="0"/>
          <w:w w:val="100"/>
          <w:position w:val="0"/>
        </w:rPr>
        <w:t>852,000,424.00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，各项金融负债以未折现的合同现金流量按到期日列示如下：</w:t>
      </w:r>
    </w:p>
    <w:tbl>
      <w:tblPr>
        <w:tblOverlap w:val="never"/>
        <w:jc w:val="center"/>
        <w:tblLayout w:type="fixed"/>
      </w:tblPr>
      <w:tblGrid>
        <w:gridCol w:w="2150"/>
        <w:gridCol w:w="1661"/>
        <w:gridCol w:w="1450"/>
        <w:gridCol w:w="1349"/>
        <w:gridCol w:w="1555"/>
        <w:gridCol w:w="1690"/>
      </w:tblGrid>
      <w:tr>
        <w:trPr>
          <w:trHeight w:val="408" w:hRule="exact"/>
        </w:trPr>
        <w:tc>
          <w:tcPr>
            <w:vMerge w:val="restart"/>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20"/>
                <w:szCs w:val="20"/>
              </w:rPr>
            </w:pPr>
            <w:r>
              <w:rPr>
                <w:b/>
                <w:bCs/>
                <w:color w:val="000000"/>
                <w:spacing w:val="0"/>
                <w:w w:val="100"/>
                <w:position w:val="0"/>
                <w:sz w:val="20"/>
                <w:szCs w:val="20"/>
              </w:rPr>
              <w:t>项目</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p>
        </w:tc>
      </w:tr>
      <w:tr>
        <w:trPr>
          <w:trHeight w:val="403"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一到二年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二到五年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五年以上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100,189,138.89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100,189,138.89</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28,306,071.80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28,306,071.80</w:t>
            </w:r>
          </w:p>
        </w:tc>
      </w:tr>
      <w:tr>
        <w:trPr>
          <w:trHeight w:val="4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140,452,013.01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140,452,013.01</w:t>
            </w:r>
          </w:p>
        </w:tc>
      </w:tr>
    </w:tbl>
    <w:p>
      <w:pPr>
        <w:sectPr>
          <w:headerReference w:type="default" r:id="rId165"/>
          <w:footerReference w:type="default" r:id="rId166"/>
          <w:headerReference w:type="even" r:id="rId167"/>
          <w:footerReference w:type="even" r:id="rId168"/>
          <w:footnotePr>
            <w:pos w:val="pageBottom"/>
            <w:numFmt w:val="decimal"/>
            <w:numRestart w:val="continuous"/>
          </w:footnotePr>
          <w:pgSz w:w="11900" w:h="16840"/>
          <w:pgMar w:top="1566" w:right="1071" w:bottom="1566" w:left="975" w:header="0" w:footer="3" w:gutter="0"/>
          <w:pgNumType w:start="204"/>
          <w:cols w:space="720"/>
          <w:noEndnote/>
          <w:rtlGutter w:val="0"/>
          <w:docGrid w:linePitch="360"/>
        </w:sectPr>
      </w:pPr>
    </w:p>
    <w:tbl>
      <w:tblPr>
        <w:tblOverlap w:val="never"/>
        <w:jc w:val="center"/>
        <w:tblLayout w:type="fixed"/>
      </w:tblPr>
      <w:tblGrid>
        <w:gridCol w:w="2155"/>
        <w:gridCol w:w="1656"/>
        <w:gridCol w:w="1450"/>
        <w:gridCol w:w="1349"/>
        <w:gridCol w:w="1560"/>
        <w:gridCol w:w="1685"/>
      </w:tblGrid>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left"/>
              <w:rPr>
                <w:sz w:val="20"/>
                <w:szCs w:val="20"/>
              </w:rPr>
            </w:pPr>
            <w:r>
              <w:rPr>
                <w:color w:val="000000"/>
                <w:spacing w:val="0"/>
                <w:w w:val="100"/>
                <w:position w:val="0"/>
                <w:sz w:val="20"/>
                <w:szCs w:val="20"/>
              </w:rPr>
              <w:t>一年内到期的长期借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20,636,033.14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20,636,033.14</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295,000,000.00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317,000,000.00</w:t>
            </w:r>
          </w:p>
        </w:tc>
      </w:tr>
      <w:tr>
        <w:trPr>
          <w:trHeight w:val="46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b/>
                <w:bCs/>
                <w:color w:val="000000"/>
                <w:spacing w:val="0"/>
                <w:w w:val="100"/>
                <w:position w:val="0"/>
                <w:sz w:val="20"/>
                <w:szCs w:val="20"/>
              </w:rPr>
              <w:t>289,583,256.84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295,000,000.00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b/>
                <w:bCs/>
                <w:color w:val="000000"/>
                <w:spacing w:val="0"/>
                <w:w w:val="100"/>
                <w:position w:val="0"/>
                <w:sz w:val="20"/>
                <w:szCs w:val="20"/>
              </w:rPr>
              <w:t>606,583,256.84</w:t>
            </w:r>
          </w:p>
        </w:tc>
      </w:tr>
    </w:tbl>
    <w:p>
      <w:pPr>
        <w:widowControl w:val="0"/>
        <w:spacing w:after="139" w:line="1" w:lineRule="exact"/>
      </w:pPr>
    </w:p>
    <w:p>
      <w:pPr>
        <w:pStyle w:val="Style44"/>
        <w:keepNext w:val="0"/>
        <w:keepLines w:val="0"/>
        <w:widowControl w:val="0"/>
        <w:shd w:val="clear" w:color="auto" w:fill="auto"/>
        <w:bidi w:val="0"/>
        <w:spacing w:before="0" w:after="140" w:line="240" w:lineRule="auto"/>
        <w:ind w:left="0" w:right="0" w:firstLine="740"/>
        <w:jc w:val="left"/>
        <w:rPr>
          <w:sz w:val="20"/>
          <w:szCs w:val="20"/>
        </w:rPr>
      </w:pPr>
      <w:r>
        <w:rPr>
          <w:color w:val="000000"/>
          <w:spacing w:val="0"/>
          <w:w w:val="100"/>
          <w:position w:val="0"/>
          <w:sz w:val="20"/>
          <w:szCs w:val="20"/>
        </w:rPr>
        <w:t>（续）</w:t>
      </w:r>
    </w:p>
    <w:tbl>
      <w:tblPr>
        <w:tblOverlap w:val="never"/>
        <w:jc w:val="center"/>
        <w:tblLayout w:type="fixed"/>
      </w:tblPr>
      <w:tblGrid>
        <w:gridCol w:w="1982"/>
        <w:gridCol w:w="1618"/>
        <w:gridCol w:w="1565"/>
        <w:gridCol w:w="1502"/>
        <w:gridCol w:w="1133"/>
        <w:gridCol w:w="1742"/>
      </w:tblGrid>
      <w:tr>
        <w:trPr>
          <w:trHeight w:val="40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b/>
                <w:bCs/>
                <w:color w:val="000000"/>
                <w:spacing w:val="0"/>
                <w:w w:val="100"/>
                <w:position w:val="0"/>
                <w:sz w:val="20"/>
                <w:szCs w:val="20"/>
              </w:rPr>
              <w:t>项目</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2019</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一到二年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二到五年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五年以上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325,536,033.33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325,536,033.33</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34,178,722.88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34,178,722.88</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140,967,450.05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140,967,450.05</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一年内到期的长期</w:t>
            </w:r>
          </w:p>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20,135,216.67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20,135,216.67</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42,000,000.00</w:t>
            </w:r>
          </w:p>
        </w:tc>
      </w:tr>
      <w:tr>
        <w:trPr>
          <w:trHeight w:val="46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b/>
                <w:bCs/>
                <w:color w:val="000000"/>
                <w:spacing w:val="0"/>
                <w:w w:val="100"/>
                <w:position w:val="0"/>
                <w:sz w:val="20"/>
                <w:szCs w:val="20"/>
              </w:rPr>
              <w:t>520,817,422.93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b/>
                <w:bCs/>
                <w:color w:val="000000"/>
                <w:spacing w:val="0"/>
                <w:w w:val="100"/>
                <w:position w:val="0"/>
                <w:sz w:val="20"/>
                <w:szCs w:val="20"/>
              </w:rPr>
              <w:t>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22,000,000.00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rPr>
              <w:t>562,817,422.93</w:t>
            </w:r>
          </w:p>
        </w:tc>
      </w:tr>
    </w:tbl>
    <w:p>
      <w:pPr>
        <w:widowControl w:val="0"/>
        <w:spacing w:after="339" w:line="1" w:lineRule="exact"/>
      </w:pPr>
    </w:p>
    <w:p>
      <w:pPr>
        <w:pStyle w:val="Style42"/>
        <w:keepNext/>
        <w:keepLines/>
        <w:widowControl w:val="0"/>
        <w:shd w:val="clear" w:color="auto" w:fill="auto"/>
        <w:bidi w:val="0"/>
        <w:spacing w:before="0" w:after="340" w:line="240" w:lineRule="auto"/>
        <w:ind w:left="0" w:right="0" w:firstLine="140"/>
        <w:jc w:val="left"/>
      </w:pPr>
      <w:bookmarkStart w:id="1225" w:name="bookmark1225"/>
      <w:bookmarkStart w:id="1226" w:name="bookmark1226"/>
      <w:bookmarkStart w:id="1227" w:name="bookmark1227"/>
      <w:bookmarkStart w:id="1228" w:name="bookmark1228"/>
      <w:r>
        <w:rPr>
          <w:color w:val="000000"/>
          <w:spacing w:val="0"/>
          <w:w w:val="100"/>
          <w:position w:val="0"/>
        </w:rPr>
        <w:t>九</w:t>
      </w:r>
      <w:bookmarkEnd w:id="1227"/>
      <w:r>
        <w:rPr>
          <w:color w:val="000000"/>
          <w:spacing w:val="0"/>
          <w:w w:val="100"/>
          <w:position w:val="0"/>
        </w:rPr>
        <w:t>、公允价值的披露</w:t>
      </w:r>
      <w:bookmarkEnd w:id="1225"/>
      <w:bookmarkEnd w:id="1226"/>
      <w:bookmarkEnd w:id="1228"/>
    </w:p>
    <w:p>
      <w:pPr>
        <w:pStyle w:val="Style52"/>
        <w:keepNext/>
        <w:keepLines/>
        <w:widowControl w:val="0"/>
        <w:shd w:val="clear" w:color="auto" w:fill="auto"/>
        <w:bidi w:val="0"/>
        <w:spacing w:before="0" w:after="280" w:line="240" w:lineRule="auto"/>
        <w:ind w:left="0" w:right="0" w:firstLine="140"/>
        <w:jc w:val="left"/>
        <w:rPr>
          <w:sz w:val="24"/>
          <w:szCs w:val="24"/>
        </w:rPr>
      </w:pPr>
      <w:bookmarkStart w:id="1229" w:name="bookmark1229"/>
      <w:bookmarkStart w:id="1230" w:name="bookmark1230"/>
      <w:bookmarkStart w:id="1231" w:name="bookmark1231"/>
      <w:r>
        <w:rPr>
          <w:rFonts w:ascii="Times New Roman" w:eastAsia="Times New Roman" w:hAnsi="Times New Roman" w:cs="Times New Roman"/>
          <w:b w:val="0"/>
          <w:bCs w:val="0"/>
          <w:color w:val="000000"/>
          <w:spacing w:val="0"/>
          <w:w w:val="100"/>
          <w:position w:val="0"/>
          <w:sz w:val="24"/>
          <w:szCs w:val="24"/>
        </w:rPr>
        <w:t>1</w:t>
      </w:r>
      <w:r>
        <w:rPr>
          <w:b w:val="0"/>
          <w:bCs w:val="0"/>
          <w:color w:val="000000"/>
          <w:spacing w:val="0"/>
          <w:w w:val="100"/>
          <w:position w:val="0"/>
          <w:sz w:val="24"/>
          <w:szCs w:val="24"/>
        </w:rPr>
        <w:t>、以公允价值计量的资产和负债的年末公允价值</w:t>
      </w:r>
      <w:bookmarkEnd w:id="1229"/>
      <w:bookmarkEnd w:id="1230"/>
      <w:bookmarkEnd w:id="1231"/>
    </w:p>
    <w:tbl>
      <w:tblPr>
        <w:tblOverlap w:val="never"/>
        <w:jc w:val="center"/>
        <w:tblLayout w:type="fixed"/>
      </w:tblPr>
      <w:tblGrid>
        <w:gridCol w:w="3413"/>
        <w:gridCol w:w="1560"/>
        <w:gridCol w:w="1699"/>
        <w:gridCol w:w="1560"/>
        <w:gridCol w:w="1699"/>
      </w:tblGrid>
      <w:tr>
        <w:trPr>
          <w:trHeight w:val="427"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项目</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期末公允价值</w:t>
            </w:r>
          </w:p>
        </w:tc>
      </w:tr>
      <w:tr>
        <w:trPr>
          <w:trHeight w:val="68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center"/>
              <w:rPr>
                <w:sz w:val="20"/>
                <w:szCs w:val="20"/>
              </w:rPr>
            </w:pPr>
            <w:r>
              <w:rPr>
                <w:b/>
                <w:bCs/>
                <w:color w:val="000000"/>
                <w:spacing w:val="0"/>
                <w:w w:val="100"/>
                <w:position w:val="0"/>
                <w:sz w:val="20"/>
                <w:szCs w:val="20"/>
              </w:rPr>
              <w:t>第一层次公允 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center"/>
              <w:rPr>
                <w:sz w:val="20"/>
                <w:szCs w:val="20"/>
              </w:rPr>
            </w:pPr>
            <w:r>
              <w:rPr>
                <w:b/>
                <w:bCs/>
                <w:color w:val="000000"/>
                <w:spacing w:val="0"/>
                <w:w w:val="100"/>
                <w:position w:val="0"/>
                <w:sz w:val="20"/>
                <w:szCs w:val="20"/>
              </w:rPr>
              <w:t>第二层次公允 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center"/>
              <w:rPr>
                <w:sz w:val="20"/>
                <w:szCs w:val="20"/>
              </w:rPr>
            </w:pPr>
            <w:r>
              <w:rPr>
                <w:b/>
                <w:bCs/>
                <w:color w:val="000000"/>
                <w:spacing w:val="0"/>
                <w:w w:val="100"/>
                <w:position w:val="0"/>
                <w:sz w:val="20"/>
                <w:szCs w:val="20"/>
              </w:rPr>
              <w:t>第三层次公允 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其中：权益工具投资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40,657,147.88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17,075,047.47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57,732,195.35</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（二）应收款项融资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20,780,180.07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20,780,180.07</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69,402,345.88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69,402,345.88</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其中：出租的建筑物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379,019,310.00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379,019,310.00</w:t>
            </w:r>
          </w:p>
        </w:tc>
      </w:tr>
      <w:tr>
        <w:trPr>
          <w:trHeight w:val="70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74" w:lineRule="exact"/>
              <w:ind w:left="500" w:right="0" w:firstLine="0"/>
              <w:jc w:val="left"/>
              <w:rPr>
                <w:sz w:val="20"/>
                <w:szCs w:val="20"/>
              </w:rPr>
            </w:pPr>
            <w:r>
              <w:rPr>
                <w:b/>
                <w:bCs/>
                <w:color w:val="000000"/>
                <w:spacing w:val="0"/>
                <w:w w:val="100"/>
                <w:position w:val="0"/>
                <w:sz w:val="20"/>
                <w:szCs w:val="20"/>
              </w:rPr>
              <w:t>持续以公允价值计量的资产总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b/>
                <w:bCs/>
                <w:color w:val="000000"/>
                <w:spacing w:val="0"/>
                <w:w w:val="100"/>
                <w:position w:val="0"/>
                <w:sz w:val="20"/>
                <w:szCs w:val="20"/>
              </w:rPr>
              <w:t>40,657,147.88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b/>
                <w:bCs/>
                <w:color w:val="000000"/>
                <w:spacing w:val="0"/>
                <w:w w:val="100"/>
                <w:position w:val="0"/>
                <w:sz w:val="20"/>
                <w:szCs w:val="20"/>
              </w:rPr>
              <w:t>399,799,490.07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b/>
                <w:bCs/>
                <w:color w:val="000000"/>
                <w:spacing w:val="0"/>
                <w:w w:val="100"/>
                <w:position w:val="0"/>
                <w:sz w:val="20"/>
                <w:szCs w:val="20"/>
              </w:rPr>
              <w:t>86,477,393.35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526,934,031.30</w:t>
            </w:r>
          </w:p>
        </w:tc>
      </w:tr>
    </w:tbl>
    <w:p>
      <w:pPr>
        <w:widowControl w:val="0"/>
        <w:spacing w:after="279" w:line="1" w:lineRule="exact"/>
      </w:pPr>
    </w:p>
    <w:p>
      <w:pPr>
        <w:pStyle w:val="Style52"/>
        <w:keepNext/>
        <w:keepLines/>
        <w:widowControl w:val="0"/>
        <w:shd w:val="clear" w:color="auto" w:fill="auto"/>
        <w:bidi w:val="0"/>
        <w:spacing w:before="0" w:after="420" w:line="240" w:lineRule="auto"/>
        <w:ind w:left="0" w:right="0" w:firstLine="140"/>
        <w:jc w:val="left"/>
        <w:rPr>
          <w:sz w:val="24"/>
          <w:szCs w:val="24"/>
        </w:rPr>
      </w:pPr>
      <w:bookmarkStart w:id="1232" w:name="bookmark1232"/>
      <w:bookmarkStart w:id="1233" w:name="bookmark1233"/>
      <w:bookmarkStart w:id="1234" w:name="bookmark1234"/>
      <w:r>
        <w:rPr>
          <w:rFonts w:ascii="Times New Roman" w:eastAsia="Times New Roman" w:hAnsi="Times New Roman" w:cs="Times New Roman"/>
          <w:b w:val="0"/>
          <w:bCs w:val="0"/>
          <w:color w:val="000000"/>
          <w:spacing w:val="0"/>
          <w:w w:val="100"/>
          <w:position w:val="0"/>
          <w:sz w:val="24"/>
          <w:szCs w:val="24"/>
        </w:rPr>
        <w:t>2</w:t>
      </w:r>
      <w:r>
        <w:rPr>
          <w:b w:val="0"/>
          <w:bCs w:val="0"/>
          <w:color w:val="000000"/>
          <w:spacing w:val="0"/>
          <w:w w:val="100"/>
          <w:position w:val="0"/>
          <w:sz w:val="24"/>
          <w:szCs w:val="24"/>
        </w:rPr>
        <w:t>、持续和非持续第一层次公允价值计量项目市价的确定依据</w:t>
      </w:r>
      <w:bookmarkEnd w:id="1232"/>
      <w:bookmarkEnd w:id="1233"/>
      <w:bookmarkEnd w:id="1234"/>
    </w:p>
    <w:p>
      <w:pPr>
        <w:pStyle w:val="Style128"/>
        <w:keepNext w:val="0"/>
        <w:keepLines w:val="0"/>
        <w:widowControl w:val="0"/>
        <w:shd w:val="clear" w:color="auto" w:fill="auto"/>
        <w:bidi w:val="0"/>
        <w:spacing w:before="0" w:after="180" w:line="240" w:lineRule="auto"/>
        <w:ind w:left="0" w:right="0" w:firstLine="600"/>
        <w:jc w:val="left"/>
      </w:pPr>
      <w:r>
        <w:rPr>
          <w:rFonts w:ascii="SimSun" w:eastAsia="SimSun" w:hAnsi="SimSun" w:cs="SimSun"/>
          <w:color w:val="000000"/>
          <w:spacing w:val="0"/>
          <w:w w:val="100"/>
          <w:position w:val="0"/>
        </w:rPr>
        <w:t>对于</w:t>
      </w:r>
      <w:r>
        <w:rPr>
          <w:color w:val="000000"/>
          <w:spacing w:val="0"/>
          <w:w w:val="100"/>
          <w:position w:val="0"/>
        </w:rPr>
        <w:t>Ambiq Micro,Inc,</w:t>
      </w:r>
      <w:r>
        <w:rPr>
          <w:rFonts w:ascii="SimSun" w:eastAsia="SimSun" w:hAnsi="SimSun" w:cs="SimSun"/>
          <w:color w:val="000000"/>
          <w:spacing w:val="0"/>
          <w:w w:val="100"/>
          <w:position w:val="0"/>
        </w:rPr>
        <w:t>的投资，公司参与的是</w:t>
      </w:r>
      <w:r>
        <w:rPr>
          <w:color w:val="000000"/>
          <w:spacing w:val="0"/>
          <w:w w:val="100"/>
          <w:position w:val="0"/>
        </w:rPr>
        <w:t xml:space="preserve">Ambiq Micro,Inc, </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D</w:t>
      </w:r>
      <w:r>
        <w:rPr>
          <w:rFonts w:ascii="SimSun" w:eastAsia="SimSun" w:hAnsi="SimSun" w:cs="SimSun"/>
          <w:color w:val="000000"/>
          <w:spacing w:val="0"/>
          <w:w w:val="100"/>
          <w:position w:val="0"/>
        </w:rPr>
        <w:t>轮优先股的融资，</w:t>
      </w:r>
    </w:p>
    <w:p>
      <w:pPr>
        <w:pStyle w:val="Style128"/>
        <w:keepNext w:val="0"/>
        <w:keepLines w:val="0"/>
        <w:widowControl w:val="0"/>
        <w:shd w:val="clear" w:color="auto" w:fill="auto"/>
        <w:bidi w:val="0"/>
        <w:spacing w:before="0" w:after="180" w:line="240" w:lineRule="auto"/>
        <w:ind w:left="0" w:right="0" w:firstLine="140"/>
        <w:jc w:val="left"/>
      </w:pPr>
      <w:r>
        <w:rPr>
          <w:rFonts w:ascii="SimSun" w:eastAsia="SimSun" w:hAnsi="SimSun" w:cs="SimSun"/>
          <w:color w:val="000000"/>
          <w:spacing w:val="0"/>
          <w:w w:val="100"/>
          <w:position w:val="0"/>
        </w:rPr>
        <w:t>每股成本为</w:t>
      </w:r>
      <w:r>
        <w:rPr>
          <w:color w:val="000000"/>
          <w:spacing w:val="0"/>
          <w:w w:val="100"/>
          <w:position w:val="0"/>
        </w:rPr>
        <w:t>0.88</w:t>
      </w:r>
      <w:r>
        <w:rPr>
          <w:rFonts w:ascii="SimSun" w:eastAsia="SimSun" w:hAnsi="SimSun" w:cs="SimSun"/>
          <w:color w:val="000000"/>
          <w:spacing w:val="0"/>
          <w:w w:val="100"/>
          <w:position w:val="0"/>
        </w:rPr>
        <w:t>美元。</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r>
        <w:rPr>
          <w:color w:val="000000"/>
          <w:spacing w:val="0"/>
          <w:w w:val="100"/>
          <w:position w:val="0"/>
        </w:rPr>
        <w:t>Ambiq Micro,Inc.</w:t>
      </w:r>
      <w:r>
        <w:rPr>
          <w:rFonts w:ascii="SimSun" w:eastAsia="SimSun" w:hAnsi="SimSun" w:cs="SimSun"/>
          <w:color w:val="000000"/>
          <w:spacing w:val="0"/>
          <w:w w:val="100"/>
          <w:position w:val="0"/>
        </w:rPr>
        <w:t>发行</w:t>
      </w:r>
      <w:r>
        <w:rPr>
          <w:color w:val="000000"/>
          <w:spacing w:val="0"/>
          <w:w w:val="100"/>
          <w:position w:val="0"/>
        </w:rPr>
        <w:t>65,813,840</w:t>
      </w:r>
      <w:r>
        <w:rPr>
          <w:rFonts w:ascii="SimSun" w:eastAsia="SimSun" w:hAnsi="SimSun" w:cs="SimSun"/>
          <w:color w:val="000000"/>
          <w:spacing w:val="0"/>
          <w:w w:val="100"/>
          <w:position w:val="0"/>
        </w:rPr>
        <w:t>股</w:t>
      </w:r>
      <w:r>
        <w:rPr>
          <w:color w:val="000000"/>
          <w:spacing w:val="0"/>
          <w:w w:val="100"/>
          <w:position w:val="0"/>
        </w:rPr>
        <w:t>F</w:t>
      </w:r>
      <w:r>
        <w:rPr>
          <w:rFonts w:ascii="SimSun" w:eastAsia="SimSun" w:hAnsi="SimSun" w:cs="SimSun"/>
          <w:color w:val="000000"/>
          <w:spacing w:val="0"/>
          <w:w w:val="100"/>
          <w:position w:val="0"/>
        </w:rPr>
        <w:t>轮优先股，允</w:t>
      </w:r>
    </w:p>
    <w:p>
      <w:pPr>
        <w:pStyle w:val="Style84"/>
        <w:keepNext w:val="0"/>
        <w:keepLines w:val="0"/>
        <w:widowControl w:val="0"/>
        <w:shd w:val="clear" w:color="auto" w:fill="auto"/>
        <w:bidi w:val="0"/>
        <w:spacing w:before="0" w:after="280" w:line="240" w:lineRule="auto"/>
        <w:ind w:left="0" w:right="0" w:firstLine="0"/>
        <w:jc w:val="center"/>
        <w:sectPr>
          <w:headerReference w:type="default" r:id="rId169"/>
          <w:footerReference w:type="default" r:id="rId170"/>
          <w:headerReference w:type="even" r:id="rId171"/>
          <w:footerReference w:type="even" r:id="rId172"/>
          <w:footnotePr>
            <w:pos w:val="pageBottom"/>
            <w:numFmt w:val="decimal"/>
            <w:numRestart w:val="continuous"/>
          </w:footnotePr>
          <w:pgSz w:w="11900" w:h="16840"/>
          <w:pgMar w:top="1441" w:right="994" w:bottom="1028" w:left="975" w:header="0" w:footer="600" w:gutter="0"/>
          <w:pgNumType w:start="206"/>
          <w:cols w:space="720"/>
          <w:noEndnote/>
          <w:rtlGutter w:val="0"/>
          <w:docGrid w:linePitch="360"/>
        </w:sectPr>
      </w:pPr>
      <w:r>
        <w:rPr>
          <w:color w:val="000000"/>
          <w:spacing w:val="0"/>
          <w:w w:val="100"/>
          <w:position w:val="0"/>
        </w:rPr>
        <w:t>第</w:t>
      </w:r>
      <w:r>
        <w:rPr>
          <w:rFonts w:ascii="Times New Roman" w:eastAsia="Times New Roman" w:hAnsi="Times New Roman" w:cs="Times New Roman"/>
          <w:color w:val="000000"/>
          <w:spacing w:val="0"/>
          <w:w w:val="100"/>
          <w:position w:val="0"/>
        </w:rPr>
        <w:t>205</w:t>
      </w:r>
      <w:r>
        <w:rPr>
          <w:color w:val="000000"/>
          <w:spacing w:val="0"/>
          <w:w w:val="100"/>
          <w:position w:val="0"/>
        </w:rPr>
        <w:t>页</w:t>
      </w:r>
    </w:p>
    <w:p>
      <w:pPr>
        <w:pStyle w:val="Style44"/>
        <w:keepNext w:val="0"/>
        <w:keepLines w:val="0"/>
        <w:widowControl w:val="0"/>
        <w:shd w:val="clear" w:color="auto" w:fill="auto"/>
        <w:bidi w:val="0"/>
        <w:spacing w:before="0" w:after="220" w:line="466" w:lineRule="exact"/>
        <w:ind w:left="0" w:right="0" w:firstLine="0"/>
        <w:jc w:val="both"/>
      </w:pPr>
      <w:r>
        <w:rPr>
          <w:color w:val="000000"/>
          <w:spacing w:val="0"/>
          <w:w w:val="100"/>
          <w:position w:val="0"/>
        </w:rPr>
        <w:t>许以每股</w:t>
      </w:r>
      <w:r>
        <w:rPr>
          <w:rFonts w:ascii="Times New Roman" w:eastAsia="Times New Roman" w:hAnsi="Times New Roman" w:cs="Times New Roman"/>
          <w:color w:val="000000"/>
          <w:spacing w:val="0"/>
          <w:w w:val="100"/>
          <w:position w:val="0"/>
        </w:rPr>
        <w:t>1.82799</w:t>
      </w:r>
      <w:r>
        <w:rPr>
          <w:color w:val="000000"/>
          <w:spacing w:val="0"/>
          <w:w w:val="100"/>
          <w:position w:val="0"/>
        </w:rPr>
        <w:t>美元的购买价格购买，发行成功。因此每股</w:t>
      </w:r>
      <w:r>
        <w:rPr>
          <w:rFonts w:ascii="Times New Roman" w:eastAsia="Times New Roman" w:hAnsi="Times New Roman" w:cs="Times New Roman"/>
          <w:color w:val="000000"/>
          <w:spacing w:val="0"/>
          <w:w w:val="100"/>
          <w:position w:val="0"/>
        </w:rPr>
        <w:t>1.82799</w:t>
      </w:r>
      <w:r>
        <w:rPr>
          <w:color w:val="000000"/>
          <w:spacing w:val="0"/>
          <w:w w:val="100"/>
          <w:position w:val="0"/>
        </w:rPr>
        <w:t>美元可以视为公允价值。</w:t>
      </w:r>
    </w:p>
    <w:p>
      <w:pPr>
        <w:pStyle w:val="Style52"/>
        <w:keepNext/>
        <w:keepLines/>
        <w:widowControl w:val="0"/>
        <w:shd w:val="clear" w:color="auto" w:fill="auto"/>
        <w:tabs>
          <w:tab w:pos="397" w:val="left"/>
        </w:tabs>
        <w:bidi w:val="0"/>
        <w:spacing w:before="0" w:after="220" w:line="466" w:lineRule="exact"/>
        <w:ind w:left="0" w:right="0" w:firstLine="0"/>
        <w:jc w:val="both"/>
        <w:rPr>
          <w:sz w:val="24"/>
          <w:szCs w:val="24"/>
        </w:rPr>
      </w:pPr>
      <w:bookmarkStart w:id="1238" w:name="bookmark1238"/>
      <w:bookmarkStart w:id="1239" w:name="bookmark1239"/>
      <w:bookmarkStart w:id="1240" w:name="bookmark1240"/>
      <w:bookmarkStart w:id="1241" w:name="bookmark1241"/>
      <w:r>
        <w:rPr>
          <w:rFonts w:ascii="Times New Roman" w:eastAsia="Times New Roman" w:hAnsi="Times New Roman" w:cs="Times New Roman"/>
          <w:b w:val="0"/>
          <w:bCs w:val="0"/>
          <w:color w:val="000000"/>
          <w:spacing w:val="0"/>
          <w:w w:val="100"/>
          <w:position w:val="0"/>
          <w:sz w:val="24"/>
          <w:szCs w:val="24"/>
        </w:rPr>
        <w:t>3</w:t>
      </w:r>
      <w:bookmarkEnd w:id="1240"/>
      <w:r>
        <w:rPr>
          <w:b w:val="0"/>
          <w:bCs w:val="0"/>
          <w:color w:val="000000"/>
          <w:spacing w:val="0"/>
          <w:w w:val="100"/>
          <w:position w:val="0"/>
          <w:sz w:val="24"/>
          <w:szCs w:val="24"/>
        </w:rPr>
        <w:t>、</w:t>
        <w:tab/>
        <w:t>持续和非持续第二层次公允价值计量项目，采用的估值技术和重要参数的定性及定量信息</w:t>
      </w:r>
      <w:bookmarkEnd w:id="1238"/>
      <w:bookmarkEnd w:id="1239"/>
      <w:bookmarkEnd w:id="1241"/>
    </w:p>
    <w:p>
      <w:pPr>
        <w:pStyle w:val="Style44"/>
        <w:keepNext w:val="0"/>
        <w:keepLines w:val="0"/>
        <w:widowControl w:val="0"/>
        <w:shd w:val="clear" w:color="auto" w:fill="auto"/>
        <w:bidi w:val="0"/>
        <w:spacing w:before="0" w:after="40" w:line="466" w:lineRule="exact"/>
        <w:ind w:left="0" w:right="0" w:firstLine="520"/>
        <w:jc w:val="both"/>
      </w:pPr>
      <w:r>
        <w:rPr>
          <w:color w:val="000000"/>
          <w:spacing w:val="0"/>
          <w:w w:val="100"/>
          <w:position w:val="0"/>
        </w:rPr>
        <w:t>对于应收款项融资，其剩余期限较短，账面余额与公允价值相近；</w:t>
      </w:r>
    </w:p>
    <w:p>
      <w:pPr>
        <w:pStyle w:val="Style44"/>
        <w:keepNext w:val="0"/>
        <w:keepLines w:val="0"/>
        <w:widowControl w:val="0"/>
        <w:shd w:val="clear" w:color="auto" w:fill="auto"/>
        <w:bidi w:val="0"/>
        <w:spacing w:before="0" w:after="220" w:line="466" w:lineRule="exact"/>
        <w:ind w:left="0" w:right="0" w:firstLine="520"/>
        <w:jc w:val="both"/>
      </w:pPr>
      <w:r>
        <w:rPr>
          <w:color w:val="000000"/>
          <w:spacing w:val="0"/>
          <w:w w:val="100"/>
          <w:position w:val="0"/>
        </w:rPr>
        <w:t>对于类似房地产交易活跃的投资性房地产，本公司采用估值技术确定其公允价值。所采用估 值技术为收益法。估值技术的输入值主要包括房地产价格、收益年限、年净收益、折现率、年净 收益增长率等。</w:t>
      </w:r>
    </w:p>
    <w:p>
      <w:pPr>
        <w:pStyle w:val="Style52"/>
        <w:keepNext/>
        <w:keepLines/>
        <w:widowControl w:val="0"/>
        <w:shd w:val="clear" w:color="auto" w:fill="auto"/>
        <w:tabs>
          <w:tab w:pos="402" w:val="left"/>
        </w:tabs>
        <w:bidi w:val="0"/>
        <w:spacing w:before="0" w:after="220" w:line="466" w:lineRule="exact"/>
        <w:ind w:left="0" w:right="0" w:firstLine="0"/>
        <w:jc w:val="both"/>
        <w:rPr>
          <w:sz w:val="24"/>
          <w:szCs w:val="24"/>
        </w:rPr>
      </w:pPr>
      <w:bookmarkStart w:id="1242" w:name="bookmark1242"/>
      <w:bookmarkStart w:id="1243" w:name="bookmark1243"/>
      <w:bookmarkStart w:id="1244" w:name="bookmark1244"/>
      <w:bookmarkStart w:id="1245" w:name="bookmark1245"/>
      <w:r>
        <w:rPr>
          <w:rFonts w:ascii="Times New Roman" w:eastAsia="Times New Roman" w:hAnsi="Times New Roman" w:cs="Times New Roman"/>
          <w:b w:val="0"/>
          <w:bCs w:val="0"/>
          <w:color w:val="000000"/>
          <w:spacing w:val="0"/>
          <w:w w:val="100"/>
          <w:position w:val="0"/>
          <w:sz w:val="24"/>
          <w:szCs w:val="24"/>
        </w:rPr>
        <w:t>4</w:t>
      </w:r>
      <w:bookmarkEnd w:id="1244"/>
      <w:r>
        <w:rPr>
          <w:b w:val="0"/>
          <w:bCs w:val="0"/>
          <w:color w:val="000000"/>
          <w:spacing w:val="0"/>
          <w:w w:val="100"/>
          <w:position w:val="0"/>
          <w:sz w:val="24"/>
          <w:szCs w:val="24"/>
        </w:rPr>
        <w:t>、</w:t>
        <w:tab/>
        <w:t>持续和非持续第三层次公允价值计量项目，采用的估值技术和重要参数的定性及定量信息</w:t>
      </w:r>
      <w:bookmarkEnd w:id="1242"/>
      <w:bookmarkEnd w:id="1243"/>
      <w:bookmarkEnd w:id="1245"/>
    </w:p>
    <w:p>
      <w:pPr>
        <w:pStyle w:val="Style44"/>
        <w:keepNext w:val="0"/>
        <w:keepLines w:val="0"/>
        <w:widowControl w:val="0"/>
        <w:shd w:val="clear" w:color="auto" w:fill="auto"/>
        <w:bidi w:val="0"/>
        <w:spacing w:before="0" w:after="40" w:line="461" w:lineRule="exact"/>
        <w:ind w:left="0" w:right="0" w:firstLine="520"/>
        <w:jc w:val="both"/>
      </w:pPr>
      <w:r>
        <w:rPr>
          <w:color w:val="000000"/>
          <w:spacing w:val="0"/>
          <w:w w:val="100"/>
          <w:position w:val="0"/>
        </w:rPr>
        <w:t>因被投资企业东莞市沃泰通新能源有限公司的经营环境和经营情况、财务状况未发生重大变 化，所以公司按投资成本作为公允价值的合理估计进行计量；</w:t>
      </w:r>
    </w:p>
    <w:p>
      <w:pPr>
        <w:pStyle w:val="Style44"/>
        <w:keepNext w:val="0"/>
        <w:keepLines w:val="0"/>
        <w:widowControl w:val="0"/>
        <w:shd w:val="clear" w:color="auto" w:fill="auto"/>
        <w:bidi w:val="0"/>
        <w:spacing w:before="0" w:after="40" w:line="466" w:lineRule="exact"/>
        <w:ind w:left="0" w:right="0" w:firstLine="520"/>
        <w:jc w:val="both"/>
      </w:pPr>
      <w:r>
        <w:rPr>
          <w:color w:val="000000"/>
          <w:spacing w:val="0"/>
          <w:w w:val="100"/>
          <w:position w:val="0"/>
        </w:rPr>
        <w:t>因被投资企业南京瀚谟新能源产业投资合伙企业（有限合伙）的经营环境和经营情况、财务 状况恶化，所以公司以零元作为公允价值的合理估计进行计量；</w:t>
      </w:r>
    </w:p>
    <w:p>
      <w:pPr>
        <w:pStyle w:val="Style44"/>
        <w:keepNext w:val="0"/>
        <w:keepLines w:val="0"/>
        <w:widowControl w:val="0"/>
        <w:shd w:val="clear" w:color="auto" w:fill="auto"/>
        <w:bidi w:val="0"/>
        <w:spacing w:before="0" w:after="40" w:line="456" w:lineRule="exact"/>
        <w:ind w:left="0" w:right="0" w:firstLine="520"/>
        <w:jc w:val="both"/>
      </w:pPr>
      <w:r>
        <w:rPr>
          <w:color w:val="000000"/>
          <w:spacing w:val="0"/>
          <w:w w:val="100"/>
          <w:position w:val="0"/>
        </w:rPr>
        <w:t>因被投资企业中信资本（深圳）信息技术创业投资基金企业（有限合伙）的经营环境和经营 情况、财务状况未发生重大变化，所以公司按投资成本作为公允价值的合理估计进行计量；</w:t>
      </w:r>
    </w:p>
    <w:p>
      <w:pPr>
        <w:pStyle w:val="Style44"/>
        <w:keepNext w:val="0"/>
        <w:keepLines w:val="0"/>
        <w:widowControl w:val="0"/>
        <w:shd w:val="clear" w:color="auto" w:fill="auto"/>
        <w:bidi w:val="0"/>
        <w:spacing w:before="0" w:after="40" w:line="461" w:lineRule="exact"/>
        <w:ind w:left="0" w:right="0" w:firstLine="520"/>
        <w:jc w:val="both"/>
      </w:pPr>
      <w:r>
        <w:rPr>
          <w:color w:val="000000"/>
          <w:spacing w:val="0"/>
          <w:w w:val="100"/>
          <w:position w:val="0"/>
        </w:rPr>
        <w:t>因被投资企业绵阳市绵州通有限责任公司的资产主要为货币性资产，所以公司按被投资单位 的账面资产的预计可变现价值，以及公司持股比例确定公允价值；</w:t>
      </w:r>
    </w:p>
    <w:p>
      <w:pPr>
        <w:pStyle w:val="Style44"/>
        <w:keepNext w:val="0"/>
        <w:keepLines w:val="0"/>
        <w:widowControl w:val="0"/>
        <w:shd w:val="clear" w:color="auto" w:fill="auto"/>
        <w:bidi w:val="0"/>
        <w:spacing w:before="0" w:after="360" w:line="469" w:lineRule="exact"/>
        <w:ind w:left="0" w:right="0" w:firstLine="520"/>
        <w:jc w:val="both"/>
      </w:pPr>
      <w:r>
        <w:rPr>
          <w:color w:val="000000"/>
          <w:spacing w:val="0"/>
          <w:w w:val="100"/>
          <w:position w:val="0"/>
        </w:rPr>
        <w:t>因被投资企业深圳国泰旗兴产业投资基金管理中心（有限合伙）相关人员发生失联事件且普 通合伙人已被除名，由深圳前海国民投资管理有限公司（以下简称“国民投资”）依法担任清算 人，已办理清算人工商备案登记，并于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日取得清算组公章，正式获得深圳国泰旗 兴产业投资基金管理中心（有限合伙）清算人资格。所以公司以零元作为公允价值的合理估计进 行计量。</w:t>
      </w:r>
    </w:p>
    <w:p>
      <w:pPr>
        <w:pStyle w:val="Style52"/>
        <w:keepNext/>
        <w:keepLines/>
        <w:widowControl w:val="0"/>
        <w:shd w:val="clear" w:color="auto" w:fill="auto"/>
        <w:tabs>
          <w:tab w:pos="406" w:val="left"/>
        </w:tabs>
        <w:bidi w:val="0"/>
        <w:spacing w:before="0" w:after="220" w:line="326" w:lineRule="exact"/>
        <w:ind w:left="0" w:right="0" w:firstLine="0"/>
        <w:jc w:val="both"/>
        <w:rPr>
          <w:sz w:val="24"/>
          <w:szCs w:val="24"/>
        </w:rPr>
      </w:pPr>
      <w:bookmarkStart w:id="1246" w:name="bookmark1246"/>
      <w:bookmarkStart w:id="1247" w:name="bookmark1247"/>
      <w:bookmarkStart w:id="1248" w:name="bookmark1248"/>
      <w:bookmarkStart w:id="1249" w:name="bookmark1249"/>
      <w:r>
        <w:rPr>
          <w:rFonts w:ascii="Times New Roman" w:eastAsia="Times New Roman" w:hAnsi="Times New Roman" w:cs="Times New Roman"/>
          <w:b w:val="0"/>
          <w:bCs w:val="0"/>
          <w:color w:val="000000"/>
          <w:spacing w:val="0"/>
          <w:w w:val="100"/>
          <w:position w:val="0"/>
          <w:sz w:val="24"/>
          <w:szCs w:val="24"/>
        </w:rPr>
        <w:t>5</w:t>
      </w:r>
      <w:bookmarkEnd w:id="1248"/>
      <w:r>
        <w:rPr>
          <w:b w:val="0"/>
          <w:bCs w:val="0"/>
          <w:color w:val="000000"/>
          <w:spacing w:val="0"/>
          <w:w w:val="100"/>
          <w:position w:val="0"/>
          <w:sz w:val="24"/>
          <w:szCs w:val="24"/>
        </w:rPr>
        <w:t>、</w:t>
        <w:tab/>
        <w:t>持续的公允价值计量项目，本年内发生各层级之间转换的，转换的原因及确定转换时点的 政策</w:t>
      </w:r>
      <w:bookmarkEnd w:id="1246"/>
      <w:bookmarkEnd w:id="1247"/>
      <w:bookmarkEnd w:id="1249"/>
    </w:p>
    <w:p>
      <w:pPr>
        <w:pStyle w:val="Style44"/>
        <w:keepNext w:val="0"/>
        <w:keepLines w:val="0"/>
        <w:widowControl w:val="0"/>
        <w:shd w:val="clear" w:color="auto" w:fill="auto"/>
        <w:bidi w:val="0"/>
        <w:spacing w:before="0" w:after="40" w:line="468" w:lineRule="exact"/>
        <w:ind w:left="0" w:right="0" w:firstLine="520"/>
        <w:jc w:val="both"/>
      </w:pPr>
      <w:r>
        <w:rPr>
          <w:color w:val="000000"/>
          <w:spacing w:val="0"/>
          <w:w w:val="100"/>
          <w:position w:val="0"/>
        </w:rPr>
        <w:t>由于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r>
        <w:rPr>
          <w:rFonts w:ascii="Times New Roman" w:eastAsia="Times New Roman" w:hAnsi="Times New Roman" w:cs="Times New Roman"/>
          <w:color w:val="000000"/>
          <w:spacing w:val="0"/>
          <w:w w:val="100"/>
          <w:position w:val="0"/>
        </w:rPr>
        <w:t>Ambiq Micro,Inc.</w:t>
      </w:r>
      <w:r>
        <w:rPr>
          <w:color w:val="000000"/>
          <w:spacing w:val="0"/>
          <w:w w:val="100"/>
          <w:position w:val="0"/>
        </w:rPr>
        <w:t>发行</w:t>
      </w:r>
      <w:r>
        <w:rPr>
          <w:rFonts w:ascii="Times New Roman" w:eastAsia="Times New Roman" w:hAnsi="Times New Roman" w:cs="Times New Roman"/>
          <w:color w:val="000000"/>
          <w:spacing w:val="0"/>
          <w:w w:val="100"/>
          <w:position w:val="0"/>
        </w:rPr>
        <w:t>65,813,840</w:t>
      </w:r>
      <w:r>
        <w:rPr>
          <w:color w:val="000000"/>
          <w:spacing w:val="0"/>
          <w:w w:val="100"/>
          <w:position w:val="0"/>
        </w:rPr>
        <w:t>股</w:t>
      </w:r>
      <w:r>
        <w:rPr>
          <w:rFonts w:ascii="Times New Roman" w:eastAsia="Times New Roman" w:hAnsi="Times New Roman" w:cs="Times New Roman"/>
          <w:color w:val="000000"/>
          <w:spacing w:val="0"/>
          <w:w w:val="100"/>
          <w:position w:val="0"/>
        </w:rPr>
        <w:t>F</w:t>
      </w:r>
      <w:r>
        <w:rPr>
          <w:color w:val="000000"/>
          <w:spacing w:val="0"/>
          <w:w w:val="100"/>
          <w:position w:val="0"/>
        </w:rPr>
        <w:t>轮优先股，允许以每股</w:t>
      </w:r>
      <w:r>
        <w:rPr>
          <w:rFonts w:ascii="Times New Roman" w:eastAsia="Times New Roman" w:hAnsi="Times New Roman" w:cs="Times New Roman"/>
          <w:color w:val="000000"/>
          <w:spacing w:val="0"/>
          <w:w w:val="100"/>
          <w:position w:val="0"/>
        </w:rPr>
        <w:t xml:space="preserve">1.82799 </w:t>
      </w:r>
      <w:r>
        <w:rPr>
          <w:color w:val="000000"/>
          <w:spacing w:val="0"/>
          <w:w w:val="100"/>
          <w:position w:val="0"/>
        </w:rPr>
        <w:t>美元的购买价格购买，发行成功，市场价值可以取得，本年转换为第一层次公允价值计量，转换 时点为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44"/>
        <w:keepNext w:val="0"/>
        <w:keepLines w:val="0"/>
        <w:widowControl w:val="0"/>
        <w:shd w:val="clear" w:color="auto" w:fill="auto"/>
        <w:bidi w:val="0"/>
        <w:spacing w:before="0" w:after="120" w:line="466" w:lineRule="exact"/>
        <w:ind w:left="0" w:right="0" w:firstLine="520"/>
        <w:jc w:val="both"/>
      </w:pPr>
      <w:r>
        <w:rPr>
          <w:color w:val="000000"/>
          <w:spacing w:val="0"/>
          <w:w w:val="100"/>
          <w:position w:val="0"/>
        </w:rPr>
        <w:t>东莞市沃泰通新能源有限公司本期无法取得可靠的市场价值，本年转换为第三层次公允价值</w:t>
      </w:r>
      <w:r>
        <w:br w:type="page"/>
      </w:r>
    </w:p>
    <w:p>
      <w:pPr>
        <w:pStyle w:val="Style44"/>
        <w:keepNext w:val="0"/>
        <w:keepLines w:val="0"/>
        <w:widowControl w:val="0"/>
        <w:shd w:val="clear" w:color="auto" w:fill="auto"/>
        <w:bidi w:val="0"/>
        <w:spacing w:before="0" w:after="420" w:line="240" w:lineRule="auto"/>
        <w:ind w:left="0" w:right="0" w:firstLine="140"/>
        <w:jc w:val="left"/>
      </w:pPr>
      <w:r>
        <w:rPr>
          <w:color w:val="000000"/>
          <w:spacing w:val="0"/>
          <w:w w:val="100"/>
          <w:position w:val="0"/>
        </w:rPr>
        <w:t>计量，转换时点为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42"/>
        <w:keepNext/>
        <w:keepLines/>
        <w:widowControl w:val="0"/>
        <w:shd w:val="clear" w:color="auto" w:fill="auto"/>
        <w:bidi w:val="0"/>
        <w:spacing w:before="0" w:after="0" w:line="240" w:lineRule="auto"/>
        <w:ind w:left="0" w:right="0" w:firstLine="140"/>
        <w:jc w:val="left"/>
      </w:pPr>
      <w:bookmarkStart w:id="1250" w:name="bookmark1250"/>
      <w:bookmarkStart w:id="1251" w:name="bookmark1251"/>
      <w:bookmarkStart w:id="1252" w:name="bookmark1252"/>
      <w:r>
        <w:rPr>
          <w:color w:val="000000"/>
          <w:spacing w:val="0"/>
          <w:w w:val="100"/>
          <w:position w:val="0"/>
        </w:rPr>
        <w:t>十、关联方及其交易</w:t>
      </w:r>
      <w:bookmarkEnd w:id="1250"/>
      <w:bookmarkEnd w:id="1251"/>
      <w:bookmarkEnd w:id="1252"/>
    </w:p>
    <w:p>
      <w:pPr>
        <w:widowControl w:val="0"/>
        <w:spacing w:line="1" w:lineRule="exact"/>
        <w:sectPr>
          <w:headerReference w:type="default" r:id="rId173"/>
          <w:footerReference w:type="default" r:id="rId174"/>
          <w:headerReference w:type="even" r:id="rId175"/>
          <w:footerReference w:type="even" r:id="rId176"/>
          <w:footnotePr>
            <w:pos w:val="pageBottom"/>
            <w:numFmt w:val="decimal"/>
            <w:numRestart w:val="continuous"/>
          </w:footnotePr>
          <w:pgSz w:w="11900" w:h="16840"/>
          <w:pgMar w:top="1542" w:right="1153" w:bottom="1604" w:left="983" w:header="0" w:footer="3" w:gutter="0"/>
          <w:pgNumType w:start="206"/>
          <w:cols w:space="720"/>
          <w:noEndnote/>
          <w:rtlGutter w:val="0"/>
          <w:docGrid w:linePitch="360"/>
        </w:sectPr>
      </w:pPr>
      <w:r>
        <mc:AlternateContent>
          <mc:Choice Requires="wps">
            <w:drawing>
              <wp:anchor distT="127000" distB="0" distL="0" distR="0" simplePos="0" relativeHeight="125829456" behindDoc="0" locked="0" layoutInCell="1" allowOverlap="1">
                <wp:simplePos x="0" y="0"/>
                <wp:positionH relativeFrom="page">
                  <wp:posOffset>768985</wp:posOffset>
                </wp:positionH>
                <wp:positionV relativeFrom="paragraph">
                  <wp:posOffset>127000</wp:posOffset>
                </wp:positionV>
                <wp:extent cx="213360" cy="198120"/>
                <wp:wrapTopAndBottom/>
                <wp:docPr id="479" name="Shape 479"/>
                <a:graphic xmlns:a="http://schemas.openxmlformats.org/drawingml/2006/main">
                  <a:graphicData uri="http://schemas.microsoft.com/office/word/2010/wordprocessingShape">
                    <wps:wsp>
                      <wps:cNvSpPr txBox="1"/>
                      <wps:spPr>
                        <a:xfrm>
                          <a:ext cx="213360" cy="19812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r>
                          </w:p>
                        </w:txbxContent>
                      </wps:txbx>
                      <wps:bodyPr wrap="none" lIns="0" tIns="0" rIns="0" bIns="0">
                        <a:noAutoFit/>
                      </wps:bodyPr>
                    </wps:wsp>
                  </a:graphicData>
                </a:graphic>
              </wp:anchor>
            </w:drawing>
          </mc:Choice>
          <mc:Fallback>
            <w:pict>
              <v:shape id="_x0000_s1505" type="#_x0000_t202" style="position:absolute;margin-left:60.550000000000004pt;margin-top:10.pt;width:16.800000000000001pt;height:15.6pt;z-index:-125829297;mso-wrap-distance-left:0;mso-wrap-distance-top:10.pt;mso-wrap-distance-right:0;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r>
                    </w:p>
                  </w:txbxContent>
                </v:textbox>
                <w10:wrap type="topAndBottom" anchorx="page"/>
              </v:shape>
            </w:pict>
          </mc:Fallback>
        </mc:AlternateContent>
      </w:r>
      <w:r>
        <mc:AlternateContent>
          <mc:Choice Requires="wps">
            <w:drawing>
              <wp:anchor distT="130175" distB="8890" distL="0" distR="0" simplePos="0" relativeHeight="125829458" behindDoc="0" locked="0" layoutInCell="1" allowOverlap="1">
                <wp:simplePos x="0" y="0"/>
                <wp:positionH relativeFrom="page">
                  <wp:posOffset>985520</wp:posOffset>
                </wp:positionH>
                <wp:positionV relativeFrom="paragraph">
                  <wp:posOffset>130175</wp:posOffset>
                </wp:positionV>
                <wp:extent cx="1395730" cy="186055"/>
                <wp:wrapTopAndBottom/>
                <wp:docPr id="481" name="Shape 481"/>
                <a:graphic xmlns:a="http://schemas.openxmlformats.org/drawingml/2006/main">
                  <a:graphicData uri="http://schemas.microsoft.com/office/word/2010/wordprocessingShape">
                    <wps:wsp>
                      <wps:cNvSpPr txBox="1"/>
                      <wps:spPr>
                        <a:xfrm>
                          <a:ext cx="1395730" cy="186055"/>
                        </a:xfrm>
                        <a:prstGeom prst="rect"/>
                        <a:noFill/>
                      </wps:spPr>
                      <wps:txbx>
                        <w:txbxContent>
                          <w:p>
                            <w:pPr>
                              <w:pStyle w:val="Style52"/>
                              <w:keepNext/>
                              <w:keepLines/>
                              <w:widowControl w:val="0"/>
                              <w:shd w:val="clear" w:color="auto" w:fill="auto"/>
                              <w:bidi w:val="0"/>
                              <w:spacing w:before="0" w:after="0" w:line="240" w:lineRule="auto"/>
                              <w:ind w:left="0" w:right="0" w:firstLine="0"/>
                              <w:jc w:val="left"/>
                              <w:rPr>
                                <w:sz w:val="24"/>
                                <w:szCs w:val="24"/>
                              </w:rPr>
                            </w:pPr>
                            <w:bookmarkStart w:id="1235" w:name="bookmark1235"/>
                            <w:bookmarkStart w:id="1236" w:name="bookmark1236"/>
                            <w:bookmarkStart w:id="1237" w:name="bookmark1237"/>
                            <w:r>
                              <w:rPr>
                                <w:b w:val="0"/>
                                <w:bCs w:val="0"/>
                                <w:color w:val="000000"/>
                                <w:spacing w:val="0"/>
                                <w:w w:val="100"/>
                                <w:position w:val="0"/>
                                <w:sz w:val="24"/>
                                <w:szCs w:val="24"/>
                              </w:rPr>
                              <w:t>本公司的母公司情况</w:t>
                            </w:r>
                            <w:bookmarkEnd w:id="1235"/>
                            <w:bookmarkEnd w:id="1236"/>
                            <w:bookmarkEnd w:id="1237"/>
                          </w:p>
                        </w:txbxContent>
                      </wps:txbx>
                      <wps:bodyPr wrap="none" lIns="0" tIns="0" rIns="0" bIns="0">
                        <a:noAutoFit/>
                      </wps:bodyPr>
                    </wps:wsp>
                  </a:graphicData>
                </a:graphic>
              </wp:anchor>
            </w:drawing>
          </mc:Choice>
          <mc:Fallback>
            <w:pict>
              <v:shape id="_x0000_s1507" type="#_x0000_t202" style="position:absolute;margin-left:77.600000000000009pt;margin-top:10.25pt;width:109.90000000000001pt;height:14.65pt;z-index:-125829295;mso-wrap-distance-left:0;mso-wrap-distance-top:10.25pt;mso-wrap-distance-right:0;mso-wrap-distance-bottom:0.70000000000000007pt;mso-position-horizontal-relative:page" filled="f" stroked="f">
                <v:textbox inset="0,0,0,0">
                  <w:txbxContent>
                    <w:p>
                      <w:pPr>
                        <w:pStyle w:val="Style52"/>
                        <w:keepNext/>
                        <w:keepLines/>
                        <w:widowControl w:val="0"/>
                        <w:shd w:val="clear" w:color="auto" w:fill="auto"/>
                        <w:bidi w:val="0"/>
                        <w:spacing w:before="0" w:after="0" w:line="240" w:lineRule="auto"/>
                        <w:ind w:left="0" w:right="0" w:firstLine="0"/>
                        <w:jc w:val="left"/>
                        <w:rPr>
                          <w:sz w:val="24"/>
                          <w:szCs w:val="24"/>
                        </w:rPr>
                      </w:pPr>
                      <w:bookmarkStart w:id="1235" w:name="bookmark1235"/>
                      <w:bookmarkStart w:id="1236" w:name="bookmark1236"/>
                      <w:bookmarkStart w:id="1237" w:name="bookmark1237"/>
                      <w:r>
                        <w:rPr>
                          <w:b w:val="0"/>
                          <w:bCs w:val="0"/>
                          <w:color w:val="000000"/>
                          <w:spacing w:val="0"/>
                          <w:w w:val="100"/>
                          <w:position w:val="0"/>
                          <w:sz w:val="24"/>
                          <w:szCs w:val="24"/>
                        </w:rPr>
                        <w:t>本公司的母公司情况</w:t>
                      </w:r>
                      <w:bookmarkEnd w:id="1235"/>
                      <w:bookmarkEnd w:id="1236"/>
                      <w:bookmarkEnd w:id="1237"/>
                    </w:p>
                  </w:txbxContent>
                </v:textbox>
                <w10:wrap type="topAndBottom" anchorx="page"/>
              </v:shape>
            </w:pict>
          </mc:Fallback>
        </mc:AlternateContent>
      </w:r>
    </w:p>
    <w:p>
      <w:pPr>
        <w:widowControl w:val="0"/>
        <w:spacing w:before="28" w:after="2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42" w:right="0" w:bottom="2478" w:left="0" w:header="0" w:footer="3" w:gutter="0"/>
          <w:cols w:space="720"/>
          <w:noEndnote/>
          <w:rtlGutter w:val="0"/>
          <w:docGrid w:linePitch="360"/>
        </w:sectPr>
      </w:pPr>
    </w:p>
    <w:p>
      <w:pPr>
        <w:pStyle w:val="Style4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本公司无母公司。</w:t>
      </w:r>
    </w:p>
    <w:p>
      <w:pPr>
        <w:widowControl w:val="0"/>
        <w:spacing w:line="1" w:lineRule="exact"/>
        <w:sectPr>
          <w:footnotePr>
            <w:pos w:val="pageBottom"/>
            <w:numFmt w:val="decimal"/>
            <w:numRestart w:val="continuous"/>
          </w:footnotePr>
          <w:type w:val="continuous"/>
          <w:pgSz w:w="11900" w:h="16840"/>
          <w:pgMar w:top="1542" w:right="1310" w:bottom="2478" w:left="975" w:header="0" w:footer="3" w:gutter="0"/>
          <w:cols w:space="720"/>
          <w:noEndnote/>
          <w:rtlGutter w:val="0"/>
          <w:docGrid w:linePitch="360"/>
        </w:sectPr>
      </w:pPr>
      <w:r>
        <mc:AlternateContent>
          <mc:Choice Requires="wps">
            <w:drawing>
              <wp:anchor distT="177800" distB="0" distL="0" distR="0" simplePos="0" relativeHeight="125829460" behindDoc="0" locked="0" layoutInCell="1" allowOverlap="1">
                <wp:simplePos x="0" y="0"/>
                <wp:positionH relativeFrom="page">
                  <wp:posOffset>753745</wp:posOffset>
                </wp:positionH>
                <wp:positionV relativeFrom="paragraph">
                  <wp:posOffset>177800</wp:posOffset>
                </wp:positionV>
                <wp:extent cx="228600" cy="198120"/>
                <wp:wrapTopAndBottom/>
                <wp:docPr id="483" name="Shape 483"/>
                <a:graphic xmlns:a="http://schemas.openxmlformats.org/drawingml/2006/main">
                  <a:graphicData uri="http://schemas.microsoft.com/office/word/2010/wordprocessingShape">
                    <wps:wsp>
                      <wps:cNvSpPr txBox="1"/>
                      <wps:spPr>
                        <a:xfrm>
                          <a:ext cx="228600" cy="19812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r>
                          </w:p>
                        </w:txbxContent>
                      </wps:txbx>
                      <wps:bodyPr wrap="none" lIns="0" tIns="0" rIns="0" bIns="0">
                        <a:noAutoFit/>
                      </wps:bodyPr>
                    </wps:wsp>
                  </a:graphicData>
                </a:graphic>
              </wp:anchor>
            </w:drawing>
          </mc:Choice>
          <mc:Fallback>
            <w:pict>
              <v:shape id="_x0000_s1509" type="#_x0000_t202" style="position:absolute;margin-left:59.350000000000001pt;margin-top:14.pt;width:18.pt;height:15.6pt;z-index:-125829293;mso-wrap-distance-left:0;mso-wrap-distance-top:14.pt;mso-wrap-distance-right:0;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r>
                    </w:p>
                  </w:txbxContent>
                </v:textbox>
                <w10:wrap type="topAndBottom" anchorx="page"/>
              </v:shape>
            </w:pict>
          </mc:Fallback>
        </mc:AlternateContent>
      </w:r>
      <w:r>
        <mc:AlternateContent>
          <mc:Choice Requires="wps">
            <w:drawing>
              <wp:anchor distT="184150" distB="5715" distL="0" distR="0" simplePos="0" relativeHeight="125829462" behindDoc="0" locked="0" layoutInCell="1" allowOverlap="1">
                <wp:simplePos x="0" y="0"/>
                <wp:positionH relativeFrom="page">
                  <wp:posOffset>985520</wp:posOffset>
                </wp:positionH>
                <wp:positionV relativeFrom="paragraph">
                  <wp:posOffset>184150</wp:posOffset>
                </wp:positionV>
                <wp:extent cx="1395730" cy="186055"/>
                <wp:wrapTopAndBottom/>
                <wp:docPr id="485" name="Shape 485"/>
                <a:graphic xmlns:a="http://schemas.openxmlformats.org/drawingml/2006/main">
                  <a:graphicData uri="http://schemas.microsoft.com/office/word/2010/wordprocessingShape">
                    <wps:wsp>
                      <wps:cNvSpPr txBox="1"/>
                      <wps:spPr>
                        <a:xfrm>
                          <a:ext cx="1395730" cy="186055"/>
                        </a:xfrm>
                        <a:prstGeom prst="rect"/>
                        <a:noFill/>
                      </wps:spPr>
                      <wps:txbx>
                        <w:txbxContent>
                          <w:p>
                            <w:pPr>
                              <w:pStyle w:val="Style52"/>
                              <w:keepNext/>
                              <w:keepLines/>
                              <w:widowControl w:val="0"/>
                              <w:shd w:val="clear" w:color="auto" w:fill="auto"/>
                              <w:bidi w:val="0"/>
                              <w:spacing w:before="0" w:after="0" w:line="240" w:lineRule="auto"/>
                              <w:ind w:left="0" w:right="0" w:firstLine="0"/>
                              <w:jc w:val="left"/>
                              <w:rPr>
                                <w:sz w:val="24"/>
                                <w:szCs w:val="24"/>
                              </w:rPr>
                            </w:pPr>
                            <w:bookmarkStart w:id="1253" w:name="bookmark1253"/>
                            <w:bookmarkStart w:id="1254" w:name="bookmark1254"/>
                            <w:bookmarkStart w:id="1255" w:name="bookmark1255"/>
                            <w:r>
                              <w:rPr>
                                <w:b w:val="0"/>
                                <w:bCs w:val="0"/>
                                <w:color w:val="000000"/>
                                <w:spacing w:val="0"/>
                                <w:w w:val="100"/>
                                <w:position w:val="0"/>
                                <w:sz w:val="24"/>
                                <w:szCs w:val="24"/>
                              </w:rPr>
                              <w:t>本公司的子公司情况</w:t>
                            </w:r>
                            <w:bookmarkEnd w:id="1253"/>
                            <w:bookmarkEnd w:id="1254"/>
                            <w:bookmarkEnd w:id="1255"/>
                          </w:p>
                        </w:txbxContent>
                      </wps:txbx>
                      <wps:bodyPr wrap="none" lIns="0" tIns="0" rIns="0" bIns="0">
                        <a:noAutoFit/>
                      </wps:bodyPr>
                    </wps:wsp>
                  </a:graphicData>
                </a:graphic>
              </wp:anchor>
            </w:drawing>
          </mc:Choice>
          <mc:Fallback>
            <w:pict>
              <v:shape id="_x0000_s1511" type="#_x0000_t202" style="position:absolute;margin-left:77.600000000000009pt;margin-top:14.5pt;width:109.90000000000001pt;height:14.65pt;z-index:-125829291;mso-wrap-distance-left:0;mso-wrap-distance-top:14.5pt;mso-wrap-distance-right:0;mso-wrap-distance-bottom:0.45000000000000001pt;mso-position-horizontal-relative:page" filled="f" stroked="f">
                <v:textbox inset="0,0,0,0">
                  <w:txbxContent>
                    <w:p>
                      <w:pPr>
                        <w:pStyle w:val="Style52"/>
                        <w:keepNext/>
                        <w:keepLines/>
                        <w:widowControl w:val="0"/>
                        <w:shd w:val="clear" w:color="auto" w:fill="auto"/>
                        <w:bidi w:val="0"/>
                        <w:spacing w:before="0" w:after="0" w:line="240" w:lineRule="auto"/>
                        <w:ind w:left="0" w:right="0" w:firstLine="0"/>
                        <w:jc w:val="left"/>
                        <w:rPr>
                          <w:sz w:val="24"/>
                          <w:szCs w:val="24"/>
                        </w:rPr>
                      </w:pPr>
                      <w:bookmarkStart w:id="1253" w:name="bookmark1253"/>
                      <w:bookmarkStart w:id="1254" w:name="bookmark1254"/>
                      <w:bookmarkStart w:id="1255" w:name="bookmark1255"/>
                      <w:r>
                        <w:rPr>
                          <w:b w:val="0"/>
                          <w:bCs w:val="0"/>
                          <w:color w:val="000000"/>
                          <w:spacing w:val="0"/>
                          <w:w w:val="100"/>
                          <w:position w:val="0"/>
                          <w:sz w:val="24"/>
                          <w:szCs w:val="24"/>
                        </w:rPr>
                        <w:t>本公司的子公司情况</w:t>
                      </w:r>
                      <w:bookmarkEnd w:id="1253"/>
                      <w:bookmarkEnd w:id="1254"/>
                      <w:bookmarkEnd w:id="1255"/>
                    </w:p>
                  </w:txbxContent>
                </v:textbox>
                <w10:wrap type="topAndBottom" anchorx="page"/>
              </v:shape>
            </w:pict>
          </mc:Fallback>
        </mc:AlternateContent>
      </w:r>
    </w:p>
    <w:p>
      <w:pPr>
        <w:widowControl w:val="0"/>
        <w:spacing w:before="33" w:after="3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42" w:right="0" w:bottom="2478" w:left="0" w:header="0" w:footer="3" w:gutter="0"/>
          <w:cols w:space="720"/>
          <w:noEndnote/>
          <w:rtlGutter w:val="0"/>
          <w:docGrid w:linePitch="360"/>
        </w:sectPr>
      </w:pPr>
    </w:p>
    <w:p>
      <w:pPr>
        <w:pStyle w:val="Style4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本公司所属的子公司详见附注七、</w:t>
      </w:r>
      <w:r>
        <w:rPr>
          <w:rFonts w:ascii="Times New Roman" w:eastAsia="Times New Roman" w:hAnsi="Times New Roman" w:cs="Times New Roman"/>
          <w:color w:val="000000"/>
          <w:spacing w:val="0"/>
          <w:w w:val="100"/>
          <w:position w:val="0"/>
        </w:rPr>
        <w:t>“</w:t>
      </w:r>
      <w:r>
        <w:rPr>
          <w:color w:val="000000"/>
          <w:spacing w:val="0"/>
          <w:w w:val="100"/>
          <w:position w:val="0"/>
        </w:rPr>
        <w:t>在子公司中的权益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widowControl w:val="0"/>
        <w:spacing w:line="1" w:lineRule="exact"/>
        <w:sectPr>
          <w:footnotePr>
            <w:pos w:val="pageBottom"/>
            <w:numFmt w:val="decimal"/>
            <w:numRestart w:val="continuous"/>
          </w:footnotePr>
          <w:type w:val="continuous"/>
          <w:pgSz w:w="11900" w:h="16840"/>
          <w:pgMar w:top="1542" w:right="1310" w:bottom="2478" w:left="975" w:header="0" w:footer="3" w:gutter="0"/>
          <w:cols w:space="720"/>
          <w:noEndnote/>
          <w:rtlGutter w:val="0"/>
          <w:docGrid w:linePitch="360"/>
        </w:sectPr>
      </w:pPr>
      <w:r>
        <mc:AlternateContent>
          <mc:Choice Requires="wps">
            <w:drawing>
              <wp:anchor distT="165100" distB="0" distL="0" distR="0" simplePos="0" relativeHeight="125829464" behindDoc="0" locked="0" layoutInCell="1" allowOverlap="1">
                <wp:simplePos x="0" y="0"/>
                <wp:positionH relativeFrom="page">
                  <wp:posOffset>756920</wp:posOffset>
                </wp:positionH>
                <wp:positionV relativeFrom="paragraph">
                  <wp:posOffset>165100</wp:posOffset>
                </wp:positionV>
                <wp:extent cx="225425" cy="198120"/>
                <wp:wrapTopAndBottom/>
                <wp:docPr id="487" name="Shape 487"/>
                <a:graphic xmlns:a="http://schemas.openxmlformats.org/drawingml/2006/main">
                  <a:graphicData uri="http://schemas.microsoft.com/office/word/2010/wordprocessingShape">
                    <wps:wsp>
                      <wps:cNvSpPr txBox="1"/>
                      <wps:spPr>
                        <a:xfrm>
                          <a:ext cx="225425" cy="19812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r>
                          </w:p>
                        </w:txbxContent>
                      </wps:txbx>
                      <wps:bodyPr wrap="none" lIns="0" tIns="0" rIns="0" bIns="0">
                        <a:noAutoFit/>
                      </wps:bodyPr>
                    </wps:wsp>
                  </a:graphicData>
                </a:graphic>
              </wp:anchor>
            </w:drawing>
          </mc:Choice>
          <mc:Fallback>
            <w:pict>
              <v:shape id="_x0000_s1513" type="#_x0000_t202" style="position:absolute;margin-left:59.600000000000001pt;margin-top:13.pt;width:17.75pt;height:15.6pt;z-index:-125829289;mso-wrap-distance-left:0;mso-wrap-distance-top:13.pt;mso-wrap-distance-right:0;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r>
                    </w:p>
                  </w:txbxContent>
                </v:textbox>
                <w10:wrap type="topAndBottom" anchorx="page"/>
              </v:shape>
            </w:pict>
          </mc:Fallback>
        </mc:AlternateContent>
      </w:r>
      <w:r>
        <mc:AlternateContent>
          <mc:Choice Requires="wps">
            <w:drawing>
              <wp:anchor distT="171450" distB="5715" distL="0" distR="0" simplePos="0" relativeHeight="125829466" behindDoc="0" locked="0" layoutInCell="1" allowOverlap="1">
                <wp:simplePos x="0" y="0"/>
                <wp:positionH relativeFrom="page">
                  <wp:posOffset>985520</wp:posOffset>
                </wp:positionH>
                <wp:positionV relativeFrom="paragraph">
                  <wp:posOffset>171450</wp:posOffset>
                </wp:positionV>
                <wp:extent cx="2005330" cy="186055"/>
                <wp:wrapTopAndBottom/>
                <wp:docPr id="489" name="Shape 489"/>
                <a:graphic xmlns:a="http://schemas.openxmlformats.org/drawingml/2006/main">
                  <a:graphicData uri="http://schemas.microsoft.com/office/word/2010/wordprocessingShape">
                    <wps:wsp>
                      <wps:cNvSpPr txBox="1"/>
                      <wps:spPr>
                        <a:xfrm>
                          <a:ext cx="2005330" cy="186055"/>
                        </a:xfrm>
                        <a:prstGeom prst="rect"/>
                        <a:noFill/>
                      </wps:spPr>
                      <wps:txbx>
                        <w:txbxContent>
                          <w:p>
                            <w:pPr>
                              <w:pStyle w:val="Style52"/>
                              <w:keepNext/>
                              <w:keepLines/>
                              <w:widowControl w:val="0"/>
                              <w:shd w:val="clear" w:color="auto" w:fill="auto"/>
                              <w:bidi w:val="0"/>
                              <w:spacing w:before="0" w:after="0" w:line="240" w:lineRule="auto"/>
                              <w:ind w:left="0" w:right="0" w:firstLine="0"/>
                              <w:jc w:val="left"/>
                              <w:rPr>
                                <w:sz w:val="24"/>
                                <w:szCs w:val="24"/>
                              </w:rPr>
                            </w:pPr>
                            <w:bookmarkStart w:id="1256" w:name="bookmark1256"/>
                            <w:bookmarkStart w:id="1257" w:name="bookmark1257"/>
                            <w:bookmarkStart w:id="1258" w:name="bookmark1258"/>
                            <w:r>
                              <w:rPr>
                                <w:b w:val="0"/>
                                <w:bCs w:val="0"/>
                                <w:color w:val="000000"/>
                                <w:spacing w:val="0"/>
                                <w:w w:val="100"/>
                                <w:position w:val="0"/>
                                <w:sz w:val="24"/>
                                <w:szCs w:val="24"/>
                              </w:rPr>
                              <w:t>本公司的合营和联营企业情况</w:t>
                            </w:r>
                            <w:bookmarkEnd w:id="1256"/>
                            <w:bookmarkEnd w:id="1257"/>
                            <w:bookmarkEnd w:id="1258"/>
                          </w:p>
                        </w:txbxContent>
                      </wps:txbx>
                      <wps:bodyPr wrap="none" lIns="0" tIns="0" rIns="0" bIns="0">
                        <a:noAutoFit/>
                      </wps:bodyPr>
                    </wps:wsp>
                  </a:graphicData>
                </a:graphic>
              </wp:anchor>
            </w:drawing>
          </mc:Choice>
          <mc:Fallback>
            <w:pict>
              <v:shape id="_x0000_s1515" type="#_x0000_t202" style="position:absolute;margin-left:77.600000000000009pt;margin-top:13.5pt;width:157.90000000000001pt;height:14.65pt;z-index:-125829287;mso-wrap-distance-left:0;mso-wrap-distance-top:13.5pt;mso-wrap-distance-right:0;mso-wrap-distance-bottom:0.45000000000000001pt;mso-position-horizontal-relative:page" filled="f" stroked="f">
                <v:textbox inset="0,0,0,0">
                  <w:txbxContent>
                    <w:p>
                      <w:pPr>
                        <w:pStyle w:val="Style52"/>
                        <w:keepNext/>
                        <w:keepLines/>
                        <w:widowControl w:val="0"/>
                        <w:shd w:val="clear" w:color="auto" w:fill="auto"/>
                        <w:bidi w:val="0"/>
                        <w:spacing w:before="0" w:after="0" w:line="240" w:lineRule="auto"/>
                        <w:ind w:left="0" w:right="0" w:firstLine="0"/>
                        <w:jc w:val="left"/>
                        <w:rPr>
                          <w:sz w:val="24"/>
                          <w:szCs w:val="24"/>
                        </w:rPr>
                      </w:pPr>
                      <w:bookmarkStart w:id="1256" w:name="bookmark1256"/>
                      <w:bookmarkStart w:id="1257" w:name="bookmark1257"/>
                      <w:bookmarkStart w:id="1258" w:name="bookmark1258"/>
                      <w:r>
                        <w:rPr>
                          <w:b w:val="0"/>
                          <w:bCs w:val="0"/>
                          <w:color w:val="000000"/>
                          <w:spacing w:val="0"/>
                          <w:w w:val="100"/>
                          <w:position w:val="0"/>
                          <w:sz w:val="24"/>
                          <w:szCs w:val="24"/>
                        </w:rPr>
                        <w:t>本公司的合营和联营企业情况</w:t>
                      </w:r>
                      <w:bookmarkEnd w:id="1256"/>
                      <w:bookmarkEnd w:id="1257"/>
                      <w:bookmarkEnd w:id="1258"/>
                    </w:p>
                  </w:txbxContent>
                </v:textbox>
                <w10:wrap type="topAndBottom" anchorx="page"/>
              </v:shape>
            </w:pict>
          </mc:Fallback>
        </mc:AlternateContent>
      </w: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74" w:right="0" w:bottom="1330" w:left="0" w:header="0" w:footer="3" w:gutter="0"/>
          <w:cols w:space="720"/>
          <w:noEndnote/>
          <w:rtlGutter w:val="0"/>
          <w:docGrid w:linePitch="360"/>
        </w:sectPr>
      </w:pPr>
    </w:p>
    <w:p>
      <w:pPr>
        <w:pStyle w:val="Style44"/>
        <w:keepNext w:val="0"/>
        <w:keepLines w:val="0"/>
        <w:widowControl w:val="0"/>
        <w:shd w:val="clear" w:color="auto" w:fill="auto"/>
        <w:bidi w:val="0"/>
        <w:spacing w:before="0" w:after="420" w:line="240" w:lineRule="auto"/>
        <w:ind w:left="0" w:right="0" w:firstLine="600"/>
        <w:jc w:val="left"/>
      </w:pPr>
      <w:r>
        <w:rPr>
          <w:color w:val="000000"/>
          <w:spacing w:val="0"/>
          <w:w w:val="100"/>
          <w:position w:val="0"/>
        </w:rPr>
        <w:t>本公司无合营和联营企业。</w:t>
      </w:r>
    </w:p>
    <w:tbl>
      <w:tblPr>
        <w:tblOverlap w:val="never"/>
        <w:jc w:val="left"/>
        <w:tblLayout w:type="fixed"/>
      </w:tblPr>
      <w:tblGrid>
        <w:gridCol w:w="4229"/>
        <w:gridCol w:w="5246"/>
      </w:tblGrid>
      <w:tr>
        <w:trPr>
          <w:trHeight w:val="466" w:hRule="exact"/>
        </w:trPr>
        <w:tc>
          <w:tcPr>
            <w:tcBorders>
              <w:top w:val="single" w:sz="4"/>
            </w:tcBorders>
            <w:shd w:val="clear" w:color="auto" w:fill="FFFFFF"/>
            <w:vAlign w:val="center"/>
          </w:tcPr>
          <w:p>
            <w:pPr>
              <w:pStyle w:val="Style2"/>
              <w:keepNext w:val="0"/>
              <w:keepLines w:val="0"/>
              <w:framePr w:w="9475" w:h="2213" w:hSpace="10" w:vSpace="610" w:wrap="notBeside" w:vAnchor="text" w:hAnchor="text" w:x="267" w:y="611"/>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其他关联方名称</w:t>
            </w:r>
          </w:p>
        </w:tc>
        <w:tc>
          <w:tcPr>
            <w:tcBorders>
              <w:top w:val="single" w:sz="4"/>
              <w:left w:val="single" w:sz="4"/>
            </w:tcBorders>
            <w:shd w:val="clear" w:color="auto" w:fill="FFFFFF"/>
            <w:vAlign w:val="center"/>
          </w:tcPr>
          <w:p>
            <w:pPr>
              <w:pStyle w:val="Style2"/>
              <w:keepNext w:val="0"/>
              <w:keepLines w:val="0"/>
              <w:framePr w:w="9475" w:h="2213" w:hSpace="10" w:vSpace="610" w:wrap="notBeside" w:vAnchor="text" w:hAnchor="text" w:x="267" w:y="611"/>
              <w:widowControl w:val="0"/>
              <w:shd w:val="clear" w:color="auto" w:fill="auto"/>
              <w:bidi w:val="0"/>
              <w:spacing w:before="0" w:after="0" w:line="240" w:lineRule="auto"/>
              <w:ind w:left="0" w:right="0" w:firstLine="820"/>
              <w:jc w:val="left"/>
              <w:rPr>
                <w:sz w:val="20"/>
                <w:szCs w:val="20"/>
              </w:rPr>
            </w:pPr>
            <w:r>
              <w:rPr>
                <w:b/>
                <w:bCs/>
                <w:color w:val="000000"/>
                <w:spacing w:val="0"/>
                <w:w w:val="100"/>
                <w:position w:val="0"/>
                <w:sz w:val="20"/>
                <w:szCs w:val="20"/>
              </w:rPr>
              <w:t>与本公司的关系</w:t>
            </w:r>
          </w:p>
        </w:tc>
      </w:tr>
      <w:tr>
        <w:trPr>
          <w:trHeight w:val="422" w:hRule="exact"/>
        </w:trPr>
        <w:tc>
          <w:tcPr>
            <w:tcBorders>
              <w:top w:val="single" w:sz="4"/>
            </w:tcBorders>
            <w:shd w:val="clear" w:color="auto" w:fill="FFFFFF"/>
            <w:vAlign w:val="center"/>
          </w:tcPr>
          <w:p>
            <w:pPr>
              <w:pStyle w:val="Style2"/>
              <w:keepNext w:val="0"/>
              <w:keepLines w:val="0"/>
              <w:framePr w:w="9475" w:h="2213" w:hSpace="10" w:vSpace="610" w:wrap="notBeside" w:vAnchor="text" w:hAnchor="text" w:x="267" w:y="611"/>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Ambiq Micro,Inc.</w:t>
            </w:r>
          </w:p>
        </w:tc>
        <w:tc>
          <w:tcPr>
            <w:tcBorders>
              <w:top w:val="single" w:sz="4"/>
              <w:left w:val="single" w:sz="4"/>
            </w:tcBorders>
            <w:shd w:val="clear" w:color="auto" w:fill="FFFFFF"/>
            <w:vAlign w:val="center"/>
          </w:tcPr>
          <w:p>
            <w:pPr>
              <w:pStyle w:val="Style2"/>
              <w:keepNext w:val="0"/>
              <w:keepLines w:val="0"/>
              <w:framePr w:w="9475" w:h="2213" w:hSpace="10" w:vSpace="610" w:wrap="notBeside" w:vAnchor="text" w:hAnchor="text" w:x="267" w:y="611"/>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其他投资单位</w:t>
            </w:r>
          </w:p>
        </w:tc>
      </w:tr>
      <w:tr>
        <w:trPr>
          <w:trHeight w:val="720" w:hRule="exact"/>
        </w:trPr>
        <w:tc>
          <w:tcPr>
            <w:tcBorders>
              <w:top w:val="single" w:sz="4"/>
            </w:tcBorders>
            <w:shd w:val="clear" w:color="auto" w:fill="FFFFFF"/>
            <w:vAlign w:val="center"/>
          </w:tcPr>
          <w:p>
            <w:pPr>
              <w:pStyle w:val="Style2"/>
              <w:keepNext w:val="0"/>
              <w:keepLines w:val="0"/>
              <w:framePr w:w="9475" w:h="2213" w:hSpace="10" w:vSpace="610" w:wrap="notBeside" w:vAnchor="text" w:hAnchor="text" w:x="267" w:y="611"/>
              <w:widowControl w:val="0"/>
              <w:shd w:val="clear" w:color="auto" w:fill="auto"/>
              <w:bidi w:val="0"/>
              <w:spacing w:before="0" w:after="0" w:line="288" w:lineRule="exact"/>
              <w:ind w:left="600" w:right="0" w:firstLine="0"/>
              <w:jc w:val="left"/>
              <w:rPr>
                <w:sz w:val="20"/>
                <w:szCs w:val="20"/>
              </w:rPr>
            </w:pPr>
            <w:r>
              <w:rPr>
                <w:color w:val="000000"/>
                <w:spacing w:val="0"/>
                <w:w w:val="100"/>
                <w:position w:val="0"/>
                <w:sz w:val="20"/>
                <w:szCs w:val="20"/>
              </w:rPr>
              <w:t>成都国民天成半导体产业发展有限公 司</w:t>
            </w:r>
          </w:p>
        </w:tc>
        <w:tc>
          <w:tcPr>
            <w:tcBorders>
              <w:top w:val="single" w:sz="4"/>
              <w:left w:val="single" w:sz="4"/>
            </w:tcBorders>
            <w:shd w:val="clear" w:color="auto" w:fill="FFFFFF"/>
            <w:vAlign w:val="center"/>
          </w:tcPr>
          <w:p>
            <w:pPr>
              <w:pStyle w:val="Style2"/>
              <w:keepNext w:val="0"/>
              <w:keepLines w:val="0"/>
              <w:framePr w:w="9475" w:h="2213" w:hSpace="10" w:vSpace="610" w:wrap="notBeside" w:vAnchor="text" w:hAnchor="text" w:x="267" w:y="611"/>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其他投资单位(本期已退出)</w:t>
            </w:r>
          </w:p>
        </w:tc>
      </w:tr>
      <w:tr>
        <w:trPr>
          <w:trHeight w:val="605" w:hRule="exact"/>
        </w:trPr>
        <w:tc>
          <w:tcPr>
            <w:gridSpan w:val="2"/>
            <w:tcBorders>
              <w:top w:val="single" w:sz="4"/>
            </w:tcBorders>
            <w:shd w:val="clear" w:color="auto" w:fill="FFFFFF"/>
            <w:vAlign w:val="bottom"/>
          </w:tcPr>
          <w:p>
            <w:pPr>
              <w:pStyle w:val="Style2"/>
              <w:keepNext w:val="0"/>
              <w:keepLines w:val="0"/>
              <w:framePr w:w="9475" w:h="2213" w:hSpace="10" w:vSpace="610" w:wrap="notBeside" w:vAnchor="text" w:hAnchor="text" w:x="267" w:y="611"/>
              <w:widowControl w:val="0"/>
              <w:shd w:val="clear" w:color="auto" w:fill="auto"/>
              <w:bidi w:val="0"/>
              <w:spacing w:before="0" w:after="0" w:line="240" w:lineRule="auto"/>
              <w:ind w:left="0" w:right="0" w:firstLine="0"/>
              <w:jc w:val="left"/>
              <w:rPr>
                <w:sz w:val="24"/>
                <w:szCs w:val="24"/>
              </w:rPr>
            </w:pPr>
            <w:bookmarkStart w:id="1259" w:name="bookmark1259"/>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、关联方交易情况</w:t>
            </w:r>
            <w:bookmarkEnd w:id="1259"/>
          </w:p>
        </w:tc>
      </w:tr>
    </w:tbl>
    <w:p>
      <w:pPr>
        <w:pStyle w:val="Style38"/>
        <w:keepNext w:val="0"/>
        <w:keepLines w:val="0"/>
        <w:framePr w:w="1714" w:h="298" w:hSpace="256" w:wrap="notBeside" w:vAnchor="text" w:hAnchor="text" w:x="627" w:y="16"/>
        <w:widowControl w:val="0"/>
        <w:shd w:val="clear" w:color="auto" w:fill="auto"/>
        <w:bidi w:val="0"/>
        <w:spacing w:before="0" w:after="0" w:line="240" w:lineRule="auto"/>
        <w:ind w:left="0" w:right="0" w:firstLine="0"/>
        <w:jc w:val="left"/>
        <w:rPr>
          <w:sz w:val="24"/>
          <w:szCs w:val="24"/>
        </w:rPr>
      </w:pPr>
      <w:bookmarkStart w:id="1260" w:name="bookmark1260"/>
      <w:r>
        <w:rPr>
          <w:color w:val="000000"/>
          <w:spacing w:val="0"/>
          <w:w w:val="100"/>
          <w:position w:val="0"/>
          <w:sz w:val="24"/>
          <w:szCs w:val="24"/>
        </w:rPr>
        <w:t>其他关联方情况</w:t>
      </w:r>
      <w:bookmarkEnd w:id="1260"/>
    </w:p>
    <w:p>
      <w:pPr>
        <w:pStyle w:val="Style38"/>
        <w:keepNext w:val="0"/>
        <w:keepLines w:val="0"/>
        <w:framePr w:w="360" w:h="312" w:hSpace="256" w:wrap="notBeside" w:vAnchor="text" w:hAnchor="text" w:x="257" w:y="1"/>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r>
    </w:p>
    <w:p>
      <w:pPr>
        <w:widowControl w:val="0"/>
        <w:spacing w:line="1" w:lineRule="exact"/>
      </w:pPr>
    </w:p>
    <w:p>
      <w:pPr>
        <w:pStyle w:val="Style44"/>
        <w:keepNext w:val="0"/>
        <w:keepLines w:val="0"/>
        <w:widowControl w:val="0"/>
        <w:shd w:val="clear" w:color="auto" w:fill="auto"/>
        <w:bidi w:val="0"/>
        <w:spacing w:before="0" w:after="22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p>
    <w:p>
      <w:pPr>
        <w:pStyle w:val="Style38"/>
        <w:keepNext w:val="0"/>
        <w:keepLines w:val="0"/>
        <w:widowControl w:val="0"/>
        <w:shd w:val="clear" w:color="auto" w:fill="auto"/>
        <w:bidi w:val="0"/>
        <w:spacing w:before="0" w:after="0" w:line="240" w:lineRule="auto"/>
        <w:ind w:left="595"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w:t>
      </w:r>
    </w:p>
    <w:tbl>
      <w:tblPr>
        <w:tblOverlap w:val="never"/>
        <w:jc w:val="center"/>
        <w:tblLayout w:type="fixed"/>
      </w:tblPr>
      <w:tblGrid>
        <w:gridCol w:w="2813"/>
        <w:gridCol w:w="2414"/>
        <w:gridCol w:w="2069"/>
        <w:gridCol w:w="2064"/>
      </w:tblGrid>
      <w:tr>
        <w:trPr>
          <w:trHeight w:val="437"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关联方名称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关联交易内容</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r>
      <w:tr>
        <w:trPr>
          <w:trHeight w:val="42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年度</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Ambiq Micro,Inc.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12,911,750.79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11,588,749.12</w:t>
            </w:r>
          </w:p>
        </w:tc>
      </w:tr>
      <w:tr>
        <w:trPr>
          <w:trHeight w:val="44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b/>
                <w:bCs/>
                <w:color w:val="000000"/>
                <w:spacing w:val="0"/>
                <w:w w:val="100"/>
                <w:position w:val="0"/>
              </w:rPr>
              <w:t>12,911,750.79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b/>
                <w:bCs/>
                <w:color w:val="000000"/>
                <w:spacing w:val="0"/>
                <w:w w:val="100"/>
                <w:position w:val="0"/>
              </w:rPr>
              <w:t>11,588,749.12</w:t>
            </w:r>
          </w:p>
        </w:tc>
      </w:tr>
    </w:tbl>
    <w:p>
      <w:pPr>
        <w:widowControl w:val="0"/>
        <w:spacing w:after="119" w:line="1" w:lineRule="exact"/>
      </w:pPr>
    </w:p>
    <w:p>
      <w:pPr>
        <w:pStyle w:val="Style38"/>
        <w:keepNext w:val="0"/>
        <w:keepLines w:val="0"/>
        <w:widowControl w:val="0"/>
        <w:shd w:val="clear" w:color="auto" w:fill="auto"/>
        <w:bidi w:val="0"/>
        <w:spacing w:before="0" w:after="0" w:line="240" w:lineRule="auto"/>
        <w:ind w:left="643"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)关键管理人员报酬</w:t>
      </w:r>
    </w:p>
    <w:tbl>
      <w:tblPr>
        <w:tblOverlap w:val="never"/>
        <w:jc w:val="center"/>
        <w:tblLayout w:type="fixed"/>
      </w:tblPr>
      <w:tblGrid>
        <w:gridCol w:w="4526"/>
        <w:gridCol w:w="2333"/>
        <w:gridCol w:w="2472"/>
      </w:tblGrid>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年度</w:t>
            </w:r>
          </w:p>
        </w:tc>
      </w:tr>
      <w:tr>
        <w:trPr>
          <w:trHeight w:val="49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7,096,000.00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7,540,000.00</w:t>
            </w:r>
          </w:p>
        </w:tc>
      </w:tr>
    </w:tbl>
    <w:p>
      <w:pPr>
        <w:pStyle w:val="Style52"/>
        <w:keepNext/>
        <w:keepLines/>
        <w:widowControl w:val="0"/>
        <w:shd w:val="clear" w:color="auto" w:fill="auto"/>
        <w:bidi w:val="0"/>
        <w:spacing w:before="0" w:after="400" w:line="240" w:lineRule="auto"/>
        <w:ind w:left="0" w:right="0" w:firstLine="0"/>
        <w:jc w:val="left"/>
        <w:rPr>
          <w:sz w:val="24"/>
          <w:szCs w:val="24"/>
        </w:rPr>
      </w:pPr>
      <w:bookmarkStart w:id="1261" w:name="bookmark1261"/>
      <w:bookmarkStart w:id="1262" w:name="bookmark1262"/>
      <w:bookmarkStart w:id="1263" w:name="bookmark1263"/>
      <w:bookmarkStart w:id="1264" w:name="bookmark1264"/>
      <w:r>
        <w:rPr>
          <w:rFonts w:ascii="Times New Roman" w:eastAsia="Times New Roman" w:hAnsi="Times New Roman" w:cs="Times New Roman"/>
          <w:b w:val="0"/>
          <w:bCs w:val="0"/>
          <w:color w:val="000000"/>
          <w:spacing w:val="0"/>
          <w:w w:val="100"/>
          <w:position w:val="0"/>
          <w:sz w:val="24"/>
          <w:szCs w:val="24"/>
        </w:rPr>
        <w:t>6</w:t>
      </w:r>
      <w:bookmarkEnd w:id="1263"/>
      <w:r>
        <w:rPr>
          <w:b w:val="0"/>
          <w:bCs w:val="0"/>
          <w:color w:val="000000"/>
          <w:spacing w:val="0"/>
          <w:w w:val="100"/>
          <w:position w:val="0"/>
          <w:sz w:val="24"/>
          <w:szCs w:val="24"/>
        </w:rPr>
        <w:t>、关联方应收应付款项</w:t>
      </w:r>
      <w:bookmarkEnd w:id="1261"/>
      <w:bookmarkEnd w:id="1262"/>
      <w:bookmarkEnd w:id="1264"/>
    </w:p>
    <w:p>
      <w:pPr>
        <w:pStyle w:val="Style38"/>
        <w:keepNext w:val="0"/>
        <w:keepLines w:val="0"/>
        <w:widowControl w:val="0"/>
        <w:shd w:val="clear" w:color="auto" w:fill="auto"/>
        <w:bidi w:val="0"/>
        <w:spacing w:before="0" w:after="0" w:line="240" w:lineRule="auto"/>
        <w:ind w:left="614"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）应收项目</w:t>
      </w:r>
    </w:p>
    <w:tbl>
      <w:tblPr>
        <w:tblOverlap w:val="never"/>
        <w:jc w:val="center"/>
        <w:tblLayout w:type="fixed"/>
      </w:tblPr>
      <w:tblGrid>
        <w:gridCol w:w="1747"/>
        <w:gridCol w:w="1987"/>
        <w:gridCol w:w="1416"/>
        <w:gridCol w:w="1277"/>
        <w:gridCol w:w="1416"/>
        <w:gridCol w:w="1584"/>
      </w:tblGrid>
      <w:tr>
        <w:trPr>
          <w:trHeight w:val="403"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项目名称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关联方</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2020.12.31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b/>
                <w:bCs/>
                <w:color w:val="000000"/>
                <w:spacing w:val="0"/>
                <w:w w:val="100"/>
                <w:position w:val="0"/>
              </w:rPr>
              <w:t>2019.12.31</w:t>
            </w:r>
          </w:p>
        </w:tc>
      </w:tr>
      <w:tr>
        <w:trPr>
          <w:trHeight w:val="76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坏账准备</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Ambiq Micro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1,680,817.18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16,808.17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1,655,162.40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16,551.62</w:t>
            </w:r>
          </w:p>
        </w:tc>
      </w:tr>
      <w:tr>
        <w:trPr>
          <w:trHeight w:val="9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81" w:lineRule="exact"/>
              <w:ind w:left="140" w:right="0" w:firstLine="0"/>
              <w:jc w:val="left"/>
              <w:rPr>
                <w:sz w:val="20"/>
                <w:szCs w:val="20"/>
              </w:rPr>
            </w:pPr>
            <w:r>
              <w:rPr>
                <w:color w:val="000000"/>
                <w:spacing w:val="0"/>
                <w:w w:val="100"/>
                <w:position w:val="0"/>
                <w:sz w:val="20"/>
                <w:szCs w:val="20"/>
              </w:rPr>
              <w:t>成都国民天成半 导体产业发展有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15,781,832.00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6,438,000.00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3,219,000.00</w:t>
            </w:r>
          </w:p>
        </w:tc>
      </w:tr>
    </w:tbl>
    <w:p>
      <w:pPr>
        <w:widowControl w:val="0"/>
        <w:spacing w:after="119" w:line="1" w:lineRule="exact"/>
      </w:pPr>
    </w:p>
    <w:p>
      <w:pPr>
        <w:pStyle w:val="Style38"/>
        <w:keepNext w:val="0"/>
        <w:keepLines w:val="0"/>
        <w:widowControl w:val="0"/>
        <w:shd w:val="clear" w:color="auto" w:fill="auto"/>
        <w:bidi w:val="0"/>
        <w:spacing w:before="0" w:after="0" w:line="240" w:lineRule="auto"/>
        <w:ind w:left="614"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）应付项目</w:t>
      </w:r>
    </w:p>
    <w:tbl>
      <w:tblPr>
        <w:tblOverlap w:val="never"/>
        <w:jc w:val="left"/>
        <w:tblLayout w:type="fixed"/>
      </w:tblPr>
      <w:tblGrid>
        <w:gridCol w:w="1747"/>
        <w:gridCol w:w="2021"/>
        <w:gridCol w:w="2515"/>
        <w:gridCol w:w="2774"/>
      </w:tblGrid>
      <w:tr>
        <w:trPr>
          <w:trHeight w:val="403"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项目名称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关联方名称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b/>
                <w:bCs/>
                <w:color w:val="000000"/>
                <w:spacing w:val="0"/>
                <w:w w:val="100"/>
                <w:position w:val="0"/>
              </w:rPr>
              <w:t>2019.12.31</w:t>
            </w:r>
          </w:p>
        </w:tc>
      </w:tr>
      <w:tr>
        <w:trPr>
          <w:trHeight w:val="39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r>
      <w:tr>
        <w:trPr>
          <w:trHeight w:val="41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Ambiq Micro Inc</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7,151,502.49</w:t>
            </w:r>
          </w:p>
        </w:tc>
      </w:tr>
    </w:tbl>
    <w:p>
      <w:pPr>
        <w:widowControl w:val="0"/>
        <w:spacing w:after="339" w:line="1" w:lineRule="exact"/>
      </w:pPr>
    </w:p>
    <w:p>
      <w:pPr>
        <w:pStyle w:val="Style42"/>
        <w:keepNext/>
        <w:keepLines/>
        <w:widowControl w:val="0"/>
        <w:shd w:val="clear" w:color="auto" w:fill="auto"/>
        <w:bidi w:val="0"/>
        <w:spacing w:before="0" w:after="340" w:line="240" w:lineRule="auto"/>
        <w:ind w:left="0" w:right="0" w:firstLine="0"/>
        <w:jc w:val="left"/>
      </w:pPr>
      <w:bookmarkStart w:id="1265" w:name="bookmark1265"/>
      <w:bookmarkStart w:id="1266" w:name="bookmark1266"/>
      <w:bookmarkStart w:id="1267" w:name="bookmark1267"/>
      <w:r>
        <w:rPr>
          <w:color w:val="000000"/>
          <w:spacing w:val="0"/>
          <w:w w:val="100"/>
          <w:position w:val="0"/>
        </w:rPr>
        <w:t>十一、承诺及或有事项</w:t>
      </w:r>
      <w:bookmarkEnd w:id="1265"/>
      <w:bookmarkEnd w:id="1266"/>
      <w:bookmarkEnd w:id="1267"/>
    </w:p>
    <w:p>
      <w:pPr>
        <w:pStyle w:val="Style52"/>
        <w:keepNext/>
        <w:keepLines/>
        <w:widowControl w:val="0"/>
        <w:shd w:val="clear" w:color="auto" w:fill="auto"/>
        <w:bidi w:val="0"/>
        <w:spacing w:before="0" w:after="340" w:line="240" w:lineRule="auto"/>
        <w:ind w:left="0" w:right="0" w:firstLine="0"/>
        <w:jc w:val="left"/>
        <w:rPr>
          <w:sz w:val="24"/>
          <w:szCs w:val="24"/>
        </w:rPr>
      </w:pPr>
      <w:bookmarkStart w:id="1268" w:name="bookmark1268"/>
      <w:bookmarkStart w:id="1269" w:name="bookmark1269"/>
      <w:bookmarkStart w:id="1270" w:name="bookmark1270"/>
      <w:r>
        <w:rPr>
          <w:b w:val="0"/>
          <w:bCs w:val="0"/>
          <w:color w:val="000000"/>
          <w:spacing w:val="0"/>
          <w:w w:val="100"/>
          <w:position w:val="0"/>
          <w:sz w:val="24"/>
          <w:szCs w:val="24"/>
        </w:rPr>
        <w:t>（一）重要承诺事项</w:t>
      </w:r>
      <w:bookmarkEnd w:id="1268"/>
      <w:bookmarkEnd w:id="1269"/>
      <w:bookmarkEnd w:id="1270"/>
    </w:p>
    <w:p>
      <w:pPr>
        <w:pStyle w:val="Style52"/>
        <w:keepNext/>
        <w:keepLines/>
        <w:widowControl w:val="0"/>
        <w:shd w:val="clear" w:color="auto" w:fill="auto"/>
        <w:bidi w:val="0"/>
        <w:spacing w:before="0" w:after="200" w:line="240" w:lineRule="auto"/>
        <w:ind w:left="0" w:right="0" w:firstLine="0"/>
        <w:jc w:val="left"/>
        <w:rPr>
          <w:sz w:val="24"/>
          <w:szCs w:val="24"/>
        </w:rPr>
      </w:pPr>
      <w:bookmarkStart w:id="1271" w:name="bookmark1271"/>
      <w:bookmarkStart w:id="1272" w:name="bookmark1272"/>
      <w:bookmarkStart w:id="1273" w:name="bookmark1273"/>
      <w:r>
        <w:rPr>
          <w:rFonts w:ascii="Times New Roman" w:eastAsia="Times New Roman" w:hAnsi="Times New Roman" w:cs="Times New Roman"/>
          <w:b w:val="0"/>
          <w:bCs w:val="0"/>
          <w:color w:val="000000"/>
          <w:spacing w:val="0"/>
          <w:w w:val="100"/>
          <w:position w:val="0"/>
          <w:sz w:val="24"/>
          <w:szCs w:val="24"/>
        </w:rPr>
        <w:t>1</w:t>
      </w:r>
      <w:r>
        <w:rPr>
          <w:b w:val="0"/>
          <w:bCs w:val="0"/>
          <w:color w:val="000000"/>
          <w:spacing w:val="0"/>
          <w:w w:val="100"/>
          <w:position w:val="0"/>
          <w:sz w:val="24"/>
          <w:szCs w:val="24"/>
        </w:rPr>
        <w:t>、现金收购斯诺实业</w:t>
      </w:r>
      <w:r>
        <w:rPr>
          <w:rFonts w:ascii="Times New Roman" w:eastAsia="Times New Roman" w:hAnsi="Times New Roman" w:cs="Times New Roman"/>
          <w:b w:val="0"/>
          <w:bCs w:val="0"/>
          <w:color w:val="000000"/>
          <w:spacing w:val="0"/>
          <w:w w:val="100"/>
          <w:position w:val="0"/>
          <w:sz w:val="24"/>
          <w:szCs w:val="24"/>
        </w:rPr>
        <w:t>70%</w:t>
      </w:r>
      <w:r>
        <w:rPr>
          <w:b w:val="0"/>
          <w:bCs w:val="0"/>
          <w:color w:val="000000"/>
          <w:spacing w:val="0"/>
          <w:w w:val="100"/>
          <w:position w:val="0"/>
          <w:sz w:val="24"/>
          <w:szCs w:val="24"/>
        </w:rPr>
        <w:t>股权事项</w:t>
      </w:r>
      <w:bookmarkEnd w:id="1271"/>
      <w:bookmarkEnd w:id="1272"/>
      <w:bookmarkEnd w:id="1273"/>
    </w:p>
    <w:p>
      <w:pPr>
        <w:pStyle w:val="Style44"/>
        <w:keepNext w:val="0"/>
        <w:keepLines w:val="0"/>
        <w:widowControl w:val="0"/>
        <w:shd w:val="clear" w:color="auto" w:fill="auto"/>
        <w:tabs>
          <w:tab w:pos="1098" w:val="left"/>
        </w:tabs>
        <w:bidi w:val="0"/>
        <w:spacing w:before="0" w:after="0" w:line="470" w:lineRule="exact"/>
        <w:ind w:left="0" w:right="0" w:firstLine="520"/>
        <w:jc w:val="both"/>
      </w:pPr>
      <w:bookmarkStart w:id="1274" w:name="bookmark1274"/>
      <w:r>
        <w:rPr>
          <w:color w:val="000000"/>
          <w:spacing w:val="0"/>
          <w:w w:val="100"/>
          <w:position w:val="0"/>
        </w:rPr>
        <w:t>（</w:t>
      </w:r>
      <w:bookmarkEnd w:id="1274"/>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日公司第三届董事会第二十七次会议审议通过了《关于全资子公司支 付现金收购深圳市斯诺实业发展股份有限公司</w:t>
      </w:r>
      <w:r>
        <w:rPr>
          <w:rFonts w:ascii="Times New Roman" w:eastAsia="Times New Roman" w:hAnsi="Times New Roman" w:cs="Times New Roman"/>
          <w:color w:val="000000"/>
          <w:spacing w:val="0"/>
          <w:w w:val="100"/>
          <w:position w:val="0"/>
        </w:rPr>
        <w:t>70%</w:t>
      </w:r>
      <w:r>
        <w:rPr>
          <w:color w:val="000000"/>
          <w:spacing w:val="0"/>
          <w:w w:val="100"/>
          <w:position w:val="0"/>
        </w:rPr>
        <w:t>股权的议案》。同日国民科技作出股东决议， 同意国民科技以增资款结合并购贷款合计人民币</w:t>
      </w:r>
      <w:r>
        <w:rPr>
          <w:rFonts w:ascii="Times New Roman" w:eastAsia="Times New Roman" w:hAnsi="Times New Roman" w:cs="Times New Roman"/>
          <w:color w:val="000000"/>
          <w:spacing w:val="0"/>
          <w:w w:val="100"/>
          <w:position w:val="0"/>
        </w:rPr>
        <w:t>91,923.08</w:t>
      </w:r>
      <w:r>
        <w:rPr>
          <w:color w:val="000000"/>
          <w:spacing w:val="0"/>
          <w:w w:val="100"/>
          <w:position w:val="0"/>
        </w:rPr>
        <w:t>万元收购斯诺实业的部分股权；国民 投资作出股东决议，同意国民投资以自有资金合计人民币</w:t>
      </w:r>
      <w:r>
        <w:rPr>
          <w:rFonts w:ascii="Times New Roman" w:eastAsia="Times New Roman" w:hAnsi="Times New Roman" w:cs="Times New Roman"/>
          <w:color w:val="000000"/>
          <w:spacing w:val="0"/>
          <w:w w:val="100"/>
          <w:position w:val="0"/>
        </w:rPr>
        <w:t>41,692.31</w:t>
      </w:r>
      <w:r>
        <w:rPr>
          <w:color w:val="000000"/>
          <w:spacing w:val="0"/>
          <w:w w:val="100"/>
          <w:position w:val="0"/>
        </w:rPr>
        <w:t>万元收购斯诺实业部分股权。</w:t>
      </w:r>
    </w:p>
    <w:p>
      <w:pPr>
        <w:pStyle w:val="Style44"/>
        <w:keepNext w:val="0"/>
        <w:keepLines w:val="0"/>
        <w:widowControl w:val="0"/>
        <w:shd w:val="clear" w:color="auto" w:fill="auto"/>
        <w:tabs>
          <w:tab w:pos="1098" w:val="left"/>
        </w:tabs>
        <w:bidi w:val="0"/>
        <w:spacing w:before="0" w:after="0" w:line="480" w:lineRule="exact"/>
        <w:ind w:left="0" w:right="0" w:firstLine="520"/>
        <w:jc w:val="both"/>
      </w:pPr>
      <w:bookmarkStart w:id="1275" w:name="bookmark1275"/>
      <w:r>
        <w:rPr>
          <w:color w:val="000000"/>
          <w:spacing w:val="0"/>
          <w:w w:val="100"/>
          <w:position w:val="0"/>
        </w:rPr>
        <w:t>（</w:t>
      </w:r>
      <w:bookmarkEnd w:id="1275"/>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w:t>
      </w:r>
      <w:r>
        <w:rPr>
          <w:rFonts w:ascii="Times New Roman" w:eastAsia="Times New Roman" w:hAnsi="Times New Roman" w:cs="Times New Roman"/>
          <w:color w:val="000000"/>
          <w:spacing w:val="0"/>
          <w:w w:val="100"/>
          <w:position w:val="0"/>
        </w:rPr>
        <w:t>2018</w:t>
      </w:r>
      <w:r>
        <w:rPr>
          <w:color w:val="000000"/>
          <w:spacing w:val="0"/>
          <w:w w:val="100"/>
          <w:position w:val="0"/>
        </w:rPr>
        <w:t>年第一次临时股东大会审议通过了《关于全资子公司支付 现金收购深圳市斯诺实业发展股份有限公司</w:t>
      </w:r>
      <w:r>
        <w:rPr>
          <w:rFonts w:ascii="Times New Roman" w:eastAsia="Times New Roman" w:hAnsi="Times New Roman" w:cs="Times New Roman"/>
          <w:color w:val="000000"/>
          <w:spacing w:val="0"/>
          <w:w w:val="100"/>
          <w:position w:val="0"/>
        </w:rPr>
        <w:t>70%</w:t>
      </w:r>
      <w:r>
        <w:rPr>
          <w:color w:val="000000"/>
          <w:spacing w:val="0"/>
          <w:w w:val="100"/>
          <w:position w:val="0"/>
        </w:rPr>
        <w:t>股权的议案》。</w:t>
      </w:r>
    </w:p>
    <w:p>
      <w:pPr>
        <w:pStyle w:val="Style44"/>
        <w:keepNext w:val="0"/>
        <w:keepLines w:val="0"/>
        <w:widowControl w:val="0"/>
        <w:shd w:val="clear" w:color="auto" w:fill="auto"/>
        <w:tabs>
          <w:tab w:pos="1098" w:val="left"/>
        </w:tabs>
        <w:bidi w:val="0"/>
        <w:spacing w:before="0" w:after="0" w:line="480" w:lineRule="exact"/>
        <w:ind w:left="0" w:right="0" w:firstLine="520"/>
        <w:jc w:val="both"/>
      </w:pPr>
      <w:bookmarkStart w:id="1276" w:name="bookmark1276"/>
      <w:r>
        <w:rPr>
          <w:color w:val="000000"/>
          <w:spacing w:val="0"/>
          <w:w w:val="100"/>
          <w:position w:val="0"/>
        </w:rPr>
        <w:t>（</w:t>
      </w:r>
      <w:bookmarkEnd w:id="1276"/>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日公司与深圳市斯诺实业发展股份有限公司原股东签署《关于深圳市斯 诺实业发展股份有限公司之股权收购协议》。</w:t>
      </w:r>
    </w:p>
    <w:p>
      <w:pPr>
        <w:pStyle w:val="Style44"/>
        <w:keepNext w:val="0"/>
        <w:keepLines w:val="0"/>
        <w:widowControl w:val="0"/>
        <w:shd w:val="clear" w:color="auto" w:fill="auto"/>
        <w:tabs>
          <w:tab w:pos="1032" w:val="left"/>
        </w:tabs>
        <w:bidi w:val="0"/>
        <w:spacing w:before="0" w:after="0" w:line="475" w:lineRule="exact"/>
        <w:ind w:left="0" w:right="0" w:firstLine="520"/>
        <w:jc w:val="both"/>
      </w:pPr>
      <w:bookmarkStart w:id="1277" w:name="bookmark1277"/>
      <w:r>
        <w:rPr>
          <w:color w:val="000000"/>
          <w:spacing w:val="0"/>
          <w:w w:val="100"/>
          <w:position w:val="0"/>
        </w:rPr>
        <w:t>（</w:t>
      </w:r>
      <w:bookmarkEnd w:id="1277"/>
      <w:r>
        <w:rPr>
          <w:rFonts w:ascii="Times New Roman" w:eastAsia="Times New Roman" w:hAnsi="Times New Roman" w:cs="Times New Roman"/>
          <w:color w:val="000000"/>
          <w:spacing w:val="0"/>
          <w:w w:val="100"/>
          <w:position w:val="0"/>
        </w:rPr>
        <w:t>4</w:t>
      </w:r>
      <w:r>
        <w:rPr>
          <w:color w:val="000000"/>
          <w:spacing w:val="0"/>
          <w:w w:val="100"/>
          <w:position w:val="0"/>
        </w:rPr>
        <w:t>）</w:t>
        <w:tab/>
        <w:t>上述并购价款款项按照以下方式分四次支付：</w:t>
      </w:r>
    </w:p>
    <w:p>
      <w:pPr>
        <w:pStyle w:val="Style44"/>
        <w:keepNext w:val="0"/>
        <w:keepLines w:val="0"/>
        <w:widowControl w:val="0"/>
        <w:numPr>
          <w:ilvl w:val="0"/>
          <w:numId w:val="67"/>
        </w:numPr>
        <w:shd w:val="clear" w:color="auto" w:fill="auto"/>
        <w:tabs>
          <w:tab w:pos="954" w:val="left"/>
        </w:tabs>
        <w:bidi w:val="0"/>
        <w:spacing w:before="0" w:after="0" w:line="475" w:lineRule="exact"/>
        <w:ind w:left="0" w:right="0" w:firstLine="520"/>
        <w:jc w:val="both"/>
      </w:pPr>
      <w:bookmarkStart w:id="1278" w:name="bookmark1278"/>
      <w:bookmarkEnd w:id="1278"/>
      <w:r>
        <w:rPr>
          <w:color w:val="000000"/>
          <w:spacing w:val="0"/>
          <w:w w:val="100"/>
          <w:position w:val="0"/>
        </w:rPr>
        <w:t>《股权收购协议》生效之日起</w:t>
      </w:r>
      <w:r>
        <w:rPr>
          <w:rFonts w:ascii="Times New Roman" w:eastAsia="Times New Roman" w:hAnsi="Times New Roman" w:cs="Times New Roman"/>
          <w:color w:val="000000"/>
          <w:spacing w:val="0"/>
          <w:w w:val="100"/>
          <w:position w:val="0"/>
        </w:rPr>
        <w:t>3</w:t>
      </w:r>
      <w:r>
        <w:rPr>
          <w:color w:val="000000"/>
          <w:spacing w:val="0"/>
          <w:w w:val="100"/>
          <w:position w:val="0"/>
        </w:rPr>
        <w:t>个工作日内，支付定金，即股权收购款的</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44"/>
        <w:keepNext w:val="0"/>
        <w:keepLines w:val="0"/>
        <w:widowControl w:val="0"/>
        <w:numPr>
          <w:ilvl w:val="0"/>
          <w:numId w:val="67"/>
        </w:numPr>
        <w:shd w:val="clear" w:color="auto" w:fill="auto"/>
        <w:tabs>
          <w:tab w:pos="931" w:val="left"/>
        </w:tabs>
        <w:bidi w:val="0"/>
        <w:spacing w:before="0" w:after="200" w:line="475" w:lineRule="exact"/>
        <w:ind w:left="0" w:right="0" w:firstLine="520"/>
        <w:jc w:val="both"/>
      </w:pPr>
      <w:bookmarkStart w:id="1279" w:name="bookmark1279"/>
      <w:bookmarkEnd w:id="1279"/>
      <w:r>
        <w:rPr>
          <w:color w:val="000000"/>
          <w:spacing w:val="0"/>
          <w:w w:val="100"/>
          <w:position w:val="0"/>
        </w:rPr>
        <w:t>标的公司已由股份有限公司变更为有限责任公司之日起</w:t>
      </w:r>
      <w:r>
        <w:rPr>
          <w:rFonts w:ascii="Times New Roman" w:eastAsia="Times New Roman" w:hAnsi="Times New Roman" w:cs="Times New Roman"/>
          <w:color w:val="000000"/>
          <w:spacing w:val="0"/>
          <w:w w:val="100"/>
          <w:position w:val="0"/>
        </w:rPr>
        <w:t>3</w:t>
      </w:r>
      <w:r>
        <w:rPr>
          <w:color w:val="000000"/>
          <w:spacing w:val="0"/>
          <w:w w:val="100"/>
          <w:position w:val="0"/>
        </w:rPr>
        <w:t>个工作日内支付股权收购款的</w:t>
      </w:r>
    </w:p>
    <w:p>
      <w:pPr>
        <w:pStyle w:val="Style128"/>
        <w:keepNext w:val="0"/>
        <w:keepLines w:val="0"/>
        <w:widowControl w:val="0"/>
        <w:shd w:val="clear" w:color="auto" w:fill="auto"/>
        <w:bidi w:val="0"/>
        <w:spacing w:before="0" w:after="0" w:line="475" w:lineRule="exact"/>
        <w:ind w:left="0" w:right="0" w:firstLine="0"/>
        <w:jc w:val="left"/>
      </w:pPr>
      <w:r>
        <w:rPr>
          <w:color w:val="000000"/>
          <w:spacing w:val="0"/>
          <w:w w:val="100"/>
          <w:position w:val="0"/>
        </w:rPr>
        <w:t>20%</w:t>
      </w:r>
      <w:r>
        <w:rPr>
          <w:rFonts w:ascii="SimSun" w:eastAsia="SimSun" w:hAnsi="SimSun" w:cs="SimSun"/>
          <w:color w:val="000000"/>
          <w:spacing w:val="0"/>
          <w:w w:val="100"/>
          <w:position w:val="0"/>
        </w:rPr>
        <w:t>；</w:t>
      </w:r>
    </w:p>
    <w:p>
      <w:pPr>
        <w:pStyle w:val="Style44"/>
        <w:keepNext w:val="0"/>
        <w:keepLines w:val="0"/>
        <w:widowControl w:val="0"/>
        <w:numPr>
          <w:ilvl w:val="0"/>
          <w:numId w:val="67"/>
        </w:numPr>
        <w:shd w:val="clear" w:color="auto" w:fill="auto"/>
        <w:tabs>
          <w:tab w:pos="931" w:val="left"/>
        </w:tabs>
        <w:bidi w:val="0"/>
        <w:spacing w:before="0" w:after="160" w:line="475" w:lineRule="exact"/>
        <w:ind w:left="0" w:right="0" w:firstLine="520"/>
        <w:jc w:val="both"/>
        <w:sectPr>
          <w:footnotePr>
            <w:pos w:val="pageBottom"/>
            <w:numFmt w:val="decimal"/>
            <w:numRestart w:val="continuous"/>
          </w:footnotePr>
          <w:type w:val="continuous"/>
          <w:pgSz w:w="11900" w:h="16840"/>
          <w:pgMar w:top="1374" w:right="986" w:bottom="1330" w:left="916" w:header="0" w:footer="3" w:gutter="0"/>
          <w:cols w:space="720"/>
          <w:noEndnote/>
          <w:rtlGutter w:val="0"/>
          <w:docGrid w:linePitch="360"/>
        </w:sectPr>
      </w:pPr>
      <w:bookmarkStart w:id="1280" w:name="bookmark1280"/>
      <w:bookmarkEnd w:id="1280"/>
      <w:r>
        <w:rPr>
          <w:color w:val="000000"/>
          <w:spacing w:val="0"/>
          <w:w w:val="100"/>
          <w:position w:val="0"/>
        </w:rPr>
        <w:t>自股权工商变更登记完成日起</w:t>
      </w:r>
      <w:r>
        <w:rPr>
          <w:rFonts w:ascii="Times New Roman" w:eastAsia="Times New Roman" w:hAnsi="Times New Roman" w:cs="Times New Roman"/>
          <w:color w:val="000000"/>
          <w:spacing w:val="0"/>
          <w:w w:val="100"/>
          <w:position w:val="0"/>
        </w:rPr>
        <w:t>3</w:t>
      </w:r>
      <w:r>
        <w:rPr>
          <w:color w:val="000000"/>
          <w:spacing w:val="0"/>
          <w:w w:val="100"/>
          <w:position w:val="0"/>
        </w:rPr>
        <w:t>个工作日内，支付股权收购款的</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44"/>
        <w:keepNext w:val="0"/>
        <w:keepLines w:val="0"/>
        <w:widowControl w:val="0"/>
        <w:shd w:val="clear" w:color="auto" w:fill="auto"/>
        <w:bidi w:val="0"/>
        <w:spacing w:before="0" w:after="0" w:line="470" w:lineRule="exact"/>
        <w:ind w:left="0" w:right="0" w:firstLine="520"/>
        <w:jc w:val="both"/>
      </w:pPr>
      <w:r>
        <w:rPr>
          <w:color w:val="000000"/>
          <w:spacing w:val="0"/>
          <w:w w:val="100"/>
          <w:position w:val="0"/>
        </w:rPr>
        <w:t>④</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日前支付股权收购款的</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44"/>
        <w:keepNext w:val="0"/>
        <w:keepLines w:val="0"/>
        <w:widowControl w:val="0"/>
        <w:shd w:val="clear" w:color="auto" w:fill="auto"/>
        <w:bidi w:val="0"/>
        <w:spacing w:before="0" w:after="0" w:line="470" w:lineRule="exact"/>
        <w:ind w:left="0" w:right="0" w:firstLine="520"/>
        <w:jc w:val="both"/>
      </w:pPr>
      <w:r>
        <w:rPr>
          <w:color w:val="000000"/>
          <w:spacing w:val="0"/>
          <w:w w:val="100"/>
          <w:position w:val="0"/>
        </w:rPr>
        <w:t>考虑到市场环境变化等因素在</w:t>
      </w:r>
      <w:r>
        <w:rPr>
          <w:rFonts w:ascii="Times New Roman" w:eastAsia="Times New Roman" w:hAnsi="Times New Roman" w:cs="Times New Roman"/>
          <w:color w:val="000000"/>
          <w:spacing w:val="0"/>
          <w:w w:val="100"/>
          <w:position w:val="0"/>
        </w:rPr>
        <w:t>2019</w:t>
      </w:r>
      <w:r>
        <w:rPr>
          <w:color w:val="000000"/>
          <w:spacing w:val="0"/>
          <w:w w:val="100"/>
          <w:position w:val="0"/>
        </w:rPr>
        <w:t>年的滞延效应，为帮助公司缓解资金压力，斯诺实业原 法人股东同意国民科技、国民投资按照如下方式支付剩余</w:t>
      </w:r>
      <w:r>
        <w:rPr>
          <w:rFonts w:ascii="Times New Roman" w:eastAsia="Times New Roman" w:hAnsi="Times New Roman" w:cs="Times New Roman"/>
          <w:color w:val="000000"/>
          <w:spacing w:val="0"/>
          <w:w w:val="100"/>
          <w:position w:val="0"/>
        </w:rPr>
        <w:t>40%</w:t>
      </w:r>
      <w:r>
        <w:rPr>
          <w:color w:val="000000"/>
          <w:spacing w:val="0"/>
          <w:w w:val="100"/>
          <w:position w:val="0"/>
        </w:rPr>
        <w:t>股权收购对价款：</w:t>
      </w:r>
    </w:p>
    <w:p>
      <w:pPr>
        <w:pStyle w:val="Style44"/>
        <w:keepNext w:val="0"/>
        <w:keepLines w:val="0"/>
        <w:widowControl w:val="0"/>
        <w:shd w:val="clear" w:color="auto" w:fill="auto"/>
        <w:tabs>
          <w:tab w:pos="1032" w:val="left"/>
        </w:tabs>
        <w:bidi w:val="0"/>
        <w:spacing w:before="0" w:after="0" w:line="470" w:lineRule="exact"/>
        <w:ind w:left="0" w:right="0" w:firstLine="520"/>
        <w:jc w:val="both"/>
      </w:pPr>
      <w:bookmarkStart w:id="1281" w:name="bookmark1281"/>
      <w:r>
        <w:rPr>
          <w:color w:val="000000"/>
          <w:spacing w:val="0"/>
          <w:w w:val="100"/>
          <w:position w:val="0"/>
        </w:rPr>
        <w:t>（</w:t>
      </w:r>
      <w:bookmarkEnd w:id="1281"/>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日前支付剩余未支付股权收购对价款中的</w:t>
      </w:r>
      <w:r>
        <w:rPr>
          <w:rFonts w:ascii="Times New Roman" w:eastAsia="Times New Roman" w:hAnsi="Times New Roman" w:cs="Times New Roman"/>
          <w:color w:val="000000"/>
          <w:spacing w:val="0"/>
          <w:w w:val="100"/>
          <w:position w:val="0"/>
        </w:rPr>
        <w:t>35%</w:t>
      </w:r>
      <w:r>
        <w:rPr>
          <w:color w:val="000000"/>
          <w:spacing w:val="0"/>
          <w:w w:val="100"/>
          <w:position w:val="0"/>
        </w:rPr>
        <w:t>，合计</w:t>
      </w:r>
      <w:r>
        <w:rPr>
          <w:rFonts w:ascii="Times New Roman" w:eastAsia="Times New Roman" w:hAnsi="Times New Roman" w:cs="Times New Roman"/>
          <w:color w:val="000000"/>
          <w:spacing w:val="0"/>
          <w:w w:val="100"/>
          <w:position w:val="0"/>
        </w:rPr>
        <w:t>4,760.00</w:t>
      </w:r>
      <w:r>
        <w:rPr>
          <w:color w:val="000000"/>
          <w:spacing w:val="0"/>
          <w:w w:val="100"/>
          <w:position w:val="0"/>
        </w:rPr>
        <w:t>万元。</w:t>
      </w:r>
    </w:p>
    <w:p>
      <w:pPr>
        <w:pStyle w:val="Style44"/>
        <w:keepNext w:val="0"/>
        <w:keepLines w:val="0"/>
        <w:widowControl w:val="0"/>
        <w:shd w:val="clear" w:color="auto" w:fill="auto"/>
        <w:tabs>
          <w:tab w:pos="1032" w:val="left"/>
        </w:tabs>
        <w:bidi w:val="0"/>
        <w:spacing w:before="0" w:after="0" w:line="470" w:lineRule="exact"/>
        <w:ind w:left="0" w:right="0" w:firstLine="520"/>
        <w:jc w:val="both"/>
      </w:pPr>
      <w:bookmarkStart w:id="1282" w:name="bookmark1282"/>
      <w:r>
        <w:rPr>
          <w:color w:val="000000"/>
          <w:spacing w:val="0"/>
          <w:w w:val="100"/>
          <w:position w:val="0"/>
        </w:rPr>
        <w:t>（</w:t>
      </w:r>
      <w:bookmarkEnd w:id="1282"/>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日前支付剩余未支付股权收购对价款中的</w:t>
      </w:r>
      <w:r>
        <w:rPr>
          <w:rFonts w:ascii="Times New Roman" w:eastAsia="Times New Roman" w:hAnsi="Times New Roman" w:cs="Times New Roman"/>
          <w:color w:val="000000"/>
          <w:spacing w:val="0"/>
          <w:w w:val="100"/>
          <w:position w:val="0"/>
        </w:rPr>
        <w:t>30%</w:t>
      </w:r>
      <w:r>
        <w:rPr>
          <w:color w:val="000000"/>
          <w:spacing w:val="0"/>
          <w:w w:val="100"/>
          <w:position w:val="0"/>
        </w:rPr>
        <w:t>，合计</w:t>
      </w:r>
      <w:r>
        <w:rPr>
          <w:rFonts w:ascii="Times New Roman" w:eastAsia="Times New Roman" w:hAnsi="Times New Roman" w:cs="Times New Roman"/>
          <w:color w:val="000000"/>
          <w:spacing w:val="0"/>
          <w:w w:val="100"/>
          <w:position w:val="0"/>
        </w:rPr>
        <w:t>4,080.00</w:t>
      </w:r>
      <w:r>
        <w:rPr>
          <w:color w:val="000000"/>
          <w:spacing w:val="0"/>
          <w:w w:val="100"/>
          <w:position w:val="0"/>
        </w:rPr>
        <w:t>万元。</w:t>
      </w:r>
    </w:p>
    <w:p>
      <w:pPr>
        <w:pStyle w:val="Style44"/>
        <w:keepNext w:val="0"/>
        <w:keepLines w:val="0"/>
        <w:widowControl w:val="0"/>
        <w:shd w:val="clear" w:color="auto" w:fill="auto"/>
        <w:tabs>
          <w:tab w:pos="1032" w:val="left"/>
        </w:tabs>
        <w:bidi w:val="0"/>
        <w:spacing w:before="0" w:after="0" w:line="470" w:lineRule="exact"/>
        <w:ind w:left="0" w:right="0" w:firstLine="520"/>
        <w:jc w:val="both"/>
      </w:pPr>
      <w:bookmarkStart w:id="1283" w:name="bookmark1283"/>
      <w:r>
        <w:rPr>
          <w:color w:val="000000"/>
          <w:spacing w:val="0"/>
          <w:w w:val="100"/>
          <w:position w:val="0"/>
        </w:rPr>
        <w:t>（</w:t>
      </w:r>
      <w:bookmarkEnd w:id="1283"/>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日前支付剩余未支付股权收购对价款中的</w:t>
      </w:r>
      <w:r>
        <w:rPr>
          <w:rFonts w:ascii="Times New Roman" w:eastAsia="Times New Roman" w:hAnsi="Times New Roman" w:cs="Times New Roman"/>
          <w:color w:val="000000"/>
          <w:spacing w:val="0"/>
          <w:w w:val="100"/>
          <w:position w:val="0"/>
        </w:rPr>
        <w:t>35%</w:t>
      </w:r>
      <w:r>
        <w:rPr>
          <w:color w:val="000000"/>
          <w:spacing w:val="0"/>
          <w:w w:val="100"/>
          <w:position w:val="0"/>
        </w:rPr>
        <w:t>，合计</w:t>
      </w:r>
      <w:r>
        <w:rPr>
          <w:rFonts w:ascii="Times New Roman" w:eastAsia="Times New Roman" w:hAnsi="Times New Roman" w:cs="Times New Roman"/>
          <w:color w:val="000000"/>
          <w:spacing w:val="0"/>
          <w:w w:val="100"/>
          <w:position w:val="0"/>
        </w:rPr>
        <w:t>4,760.00</w:t>
      </w:r>
      <w:r>
        <w:rPr>
          <w:color w:val="000000"/>
          <w:spacing w:val="0"/>
          <w:w w:val="100"/>
          <w:position w:val="0"/>
        </w:rPr>
        <w:t>万元。</w:t>
      </w:r>
    </w:p>
    <w:p>
      <w:pPr>
        <w:pStyle w:val="Style44"/>
        <w:keepNext w:val="0"/>
        <w:keepLines w:val="0"/>
        <w:widowControl w:val="0"/>
        <w:shd w:val="clear" w:color="auto" w:fill="auto"/>
        <w:bidi w:val="0"/>
        <w:spacing w:before="0" w:after="200" w:line="475" w:lineRule="exact"/>
        <w:ind w:left="0" w:right="0" w:firstLine="5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日，国民科技、国民投资已向斯诺实业原法人股东支付剩余</w:t>
      </w:r>
      <w:r>
        <w:rPr>
          <w:rFonts w:ascii="Times New Roman" w:eastAsia="Times New Roman" w:hAnsi="Times New Roman" w:cs="Times New Roman"/>
          <w:color w:val="000000"/>
          <w:spacing w:val="0"/>
          <w:w w:val="100"/>
          <w:position w:val="0"/>
        </w:rPr>
        <w:t>40%</w:t>
      </w:r>
      <w:r>
        <w:rPr>
          <w:color w:val="000000"/>
          <w:spacing w:val="0"/>
          <w:w w:val="100"/>
          <w:position w:val="0"/>
        </w:rPr>
        <w:t>股权 收购对价款</w:t>
      </w:r>
      <w:r>
        <w:rPr>
          <w:rFonts w:ascii="Times New Roman" w:eastAsia="Times New Roman" w:hAnsi="Times New Roman" w:cs="Times New Roman"/>
          <w:color w:val="000000"/>
          <w:spacing w:val="0"/>
          <w:w w:val="100"/>
          <w:position w:val="0"/>
        </w:rPr>
        <w:t>13,600.00</w:t>
      </w:r>
      <w:r>
        <w:rPr>
          <w:color w:val="000000"/>
          <w:spacing w:val="0"/>
          <w:w w:val="100"/>
          <w:position w:val="0"/>
        </w:rPr>
        <w:t>万元中的</w:t>
      </w:r>
      <w:r>
        <w:rPr>
          <w:rFonts w:ascii="Times New Roman" w:eastAsia="Times New Roman" w:hAnsi="Times New Roman" w:cs="Times New Roman"/>
          <w:color w:val="000000"/>
          <w:spacing w:val="0"/>
          <w:w w:val="100"/>
          <w:position w:val="0"/>
        </w:rPr>
        <w:t>65%</w:t>
      </w:r>
      <w:r>
        <w:rPr>
          <w:color w:val="000000"/>
          <w:spacing w:val="0"/>
          <w:w w:val="100"/>
          <w:position w:val="0"/>
        </w:rPr>
        <w:t>，即</w:t>
      </w:r>
      <w:r>
        <w:rPr>
          <w:rFonts w:ascii="Times New Roman" w:eastAsia="Times New Roman" w:hAnsi="Times New Roman" w:cs="Times New Roman"/>
          <w:color w:val="000000"/>
          <w:spacing w:val="0"/>
          <w:w w:val="100"/>
          <w:position w:val="0"/>
        </w:rPr>
        <w:t>8,840.00</w:t>
      </w:r>
      <w:r>
        <w:rPr>
          <w:color w:val="000000"/>
          <w:spacing w:val="0"/>
          <w:w w:val="100"/>
          <w:position w:val="0"/>
        </w:rPr>
        <w:t>万元。截至财务报表批准报出日，剩余款项已 全部支付完毕。</w:t>
      </w:r>
    </w:p>
    <w:p>
      <w:pPr>
        <w:pStyle w:val="Style52"/>
        <w:keepNext/>
        <w:keepLines/>
        <w:widowControl w:val="0"/>
        <w:shd w:val="clear" w:color="auto" w:fill="auto"/>
        <w:bidi w:val="0"/>
        <w:spacing w:before="0" w:after="200" w:line="470" w:lineRule="exact"/>
        <w:ind w:left="0" w:right="0" w:firstLine="0"/>
        <w:jc w:val="both"/>
        <w:rPr>
          <w:sz w:val="24"/>
          <w:szCs w:val="24"/>
        </w:rPr>
      </w:pPr>
      <w:bookmarkStart w:id="1284" w:name="bookmark1284"/>
      <w:bookmarkStart w:id="1285" w:name="bookmark1285"/>
      <w:bookmarkStart w:id="1286" w:name="bookmark1286"/>
      <w:r>
        <w:rPr>
          <w:rFonts w:ascii="Times New Roman" w:eastAsia="Times New Roman" w:hAnsi="Times New Roman" w:cs="Times New Roman"/>
          <w:b w:val="0"/>
          <w:bCs w:val="0"/>
          <w:color w:val="000000"/>
          <w:spacing w:val="0"/>
          <w:w w:val="100"/>
          <w:position w:val="0"/>
          <w:sz w:val="24"/>
          <w:szCs w:val="24"/>
        </w:rPr>
        <w:t>2</w:t>
      </w:r>
      <w:r>
        <w:rPr>
          <w:b w:val="0"/>
          <w:bCs w:val="0"/>
          <w:color w:val="000000"/>
          <w:spacing w:val="0"/>
          <w:w w:val="100"/>
          <w:position w:val="0"/>
          <w:sz w:val="24"/>
          <w:szCs w:val="24"/>
        </w:rPr>
        <w:t>、签订的尚未履行或尚未完全履行的对外投资合同及其财务影响</w:t>
      </w:r>
      <w:bookmarkEnd w:id="1284"/>
      <w:bookmarkEnd w:id="1285"/>
      <w:bookmarkEnd w:id="1286"/>
    </w:p>
    <w:p>
      <w:pPr>
        <w:pStyle w:val="Style44"/>
        <w:keepNext w:val="0"/>
        <w:keepLines w:val="0"/>
        <w:widowControl w:val="0"/>
        <w:shd w:val="clear" w:color="auto" w:fill="auto"/>
        <w:tabs>
          <w:tab w:pos="1098" w:val="left"/>
        </w:tabs>
        <w:bidi w:val="0"/>
        <w:spacing w:before="0" w:after="0" w:line="470" w:lineRule="exact"/>
        <w:ind w:left="0" w:right="0" w:firstLine="520"/>
        <w:jc w:val="both"/>
      </w:pPr>
      <w:bookmarkStart w:id="1287" w:name="bookmark1287"/>
      <w:r>
        <w:rPr>
          <w:color w:val="000000"/>
          <w:spacing w:val="0"/>
          <w:w w:val="100"/>
          <w:position w:val="0"/>
        </w:rPr>
        <w:t>（</w:t>
      </w:r>
      <w:bookmarkEnd w:id="1287"/>
      <w:r>
        <w:rPr>
          <w:rFonts w:ascii="Times New Roman" w:eastAsia="Times New Roman" w:hAnsi="Times New Roman" w:cs="Times New Roman"/>
          <w:color w:val="000000"/>
          <w:spacing w:val="0"/>
          <w:w w:val="100"/>
          <w:position w:val="0"/>
        </w:rPr>
        <w:t>1</w:t>
      </w:r>
      <w:r>
        <w:rPr>
          <w:color w:val="000000"/>
          <w:spacing w:val="0"/>
          <w:w w:val="100"/>
          <w:position w:val="0"/>
        </w:rPr>
        <w:t>）</w:t>
        <w:tab/>
        <w:t>国民科技于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日成立全资子公司民昇智能（深圳）有限公司，认缴注册 资本人民币</w:t>
      </w:r>
      <w:r>
        <w:rPr>
          <w:rFonts w:ascii="Times New Roman" w:eastAsia="Times New Roman" w:hAnsi="Times New Roman" w:cs="Times New Roman"/>
          <w:color w:val="000000"/>
          <w:spacing w:val="0"/>
          <w:w w:val="100"/>
          <w:position w:val="0"/>
        </w:rPr>
        <w:t>500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日，投资款尚未支付，如支付将影响国民科技长期 股权投资和货币资金人民币各</w:t>
      </w:r>
      <w:r>
        <w:rPr>
          <w:rFonts w:ascii="Times New Roman" w:eastAsia="Times New Roman" w:hAnsi="Times New Roman" w:cs="Times New Roman"/>
          <w:color w:val="000000"/>
          <w:spacing w:val="0"/>
          <w:w w:val="100"/>
          <w:position w:val="0"/>
        </w:rPr>
        <w:t>500</w:t>
      </w:r>
      <w:r>
        <w:rPr>
          <w:color w:val="000000"/>
          <w:spacing w:val="0"/>
          <w:w w:val="100"/>
          <w:position w:val="0"/>
        </w:rPr>
        <w:t>万元。</w:t>
      </w:r>
    </w:p>
    <w:p>
      <w:pPr>
        <w:pStyle w:val="Style44"/>
        <w:keepNext w:val="0"/>
        <w:keepLines w:val="0"/>
        <w:widowControl w:val="0"/>
        <w:shd w:val="clear" w:color="auto" w:fill="auto"/>
        <w:tabs>
          <w:tab w:pos="1098" w:val="left"/>
        </w:tabs>
        <w:bidi w:val="0"/>
        <w:spacing w:before="0" w:after="0" w:line="473" w:lineRule="exact"/>
        <w:ind w:left="0" w:right="0" w:firstLine="520"/>
        <w:jc w:val="both"/>
      </w:pPr>
      <w:bookmarkStart w:id="1288" w:name="bookmark1288"/>
      <w:r>
        <w:rPr>
          <w:color w:val="000000"/>
          <w:spacing w:val="0"/>
          <w:w w:val="100"/>
          <w:position w:val="0"/>
        </w:rPr>
        <w:t>（</w:t>
      </w:r>
      <w:bookmarkEnd w:id="1288"/>
      <w:r>
        <w:rPr>
          <w:rFonts w:ascii="Times New Roman" w:eastAsia="Times New Roman" w:hAnsi="Times New Roman" w:cs="Times New Roman"/>
          <w:color w:val="000000"/>
          <w:spacing w:val="0"/>
          <w:w w:val="100"/>
          <w:position w:val="0"/>
        </w:rPr>
        <w:t>2</w:t>
      </w:r>
      <w:r>
        <w:rPr>
          <w:color w:val="000000"/>
          <w:spacing w:val="0"/>
          <w:w w:val="100"/>
          <w:position w:val="0"/>
        </w:rPr>
        <w:t>）</w:t>
        <w:tab/>
        <w:t>斯诺实业于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日成立全资子公司陕西斯诺新材料科技有限公司，认缴注 册资本人民币</w:t>
      </w:r>
      <w:r>
        <w:rPr>
          <w:rFonts w:ascii="Times New Roman" w:eastAsia="Times New Roman" w:hAnsi="Times New Roman" w:cs="Times New Roman"/>
          <w:color w:val="000000"/>
          <w:spacing w:val="0"/>
          <w:w w:val="100"/>
          <w:position w:val="0"/>
        </w:rPr>
        <w:t>1,000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日，投资款尚未支付，如支付将影响斯诺实业长 期股权投资和货币资金人民币各</w:t>
      </w:r>
      <w:r>
        <w:rPr>
          <w:rFonts w:ascii="Times New Roman" w:eastAsia="Times New Roman" w:hAnsi="Times New Roman" w:cs="Times New Roman"/>
          <w:color w:val="000000"/>
          <w:spacing w:val="0"/>
          <w:w w:val="100"/>
          <w:position w:val="0"/>
        </w:rPr>
        <w:t>1,000</w:t>
      </w:r>
      <w:r>
        <w:rPr>
          <w:color w:val="000000"/>
          <w:spacing w:val="0"/>
          <w:w w:val="100"/>
          <w:position w:val="0"/>
        </w:rPr>
        <w:t>万元。</w:t>
      </w:r>
    </w:p>
    <w:p>
      <w:pPr>
        <w:pStyle w:val="Style44"/>
        <w:keepNext w:val="0"/>
        <w:keepLines w:val="0"/>
        <w:widowControl w:val="0"/>
        <w:shd w:val="clear" w:color="auto" w:fill="auto"/>
        <w:tabs>
          <w:tab w:pos="1098" w:val="left"/>
        </w:tabs>
        <w:bidi w:val="0"/>
        <w:spacing w:before="0" w:after="0" w:line="473" w:lineRule="exact"/>
        <w:ind w:left="0" w:right="0" w:firstLine="520"/>
        <w:jc w:val="both"/>
      </w:pPr>
      <w:bookmarkStart w:id="1289" w:name="bookmark1289"/>
      <w:r>
        <w:rPr>
          <w:color w:val="000000"/>
          <w:spacing w:val="0"/>
          <w:w w:val="100"/>
          <w:position w:val="0"/>
        </w:rPr>
        <w:t>（</w:t>
      </w:r>
      <w:bookmarkEnd w:id="1289"/>
      <w:r>
        <w:rPr>
          <w:rFonts w:ascii="Times New Roman" w:eastAsia="Times New Roman" w:hAnsi="Times New Roman" w:cs="Times New Roman"/>
          <w:color w:val="000000"/>
          <w:spacing w:val="0"/>
          <w:w w:val="100"/>
          <w:position w:val="0"/>
        </w:rPr>
        <w:t>3</w:t>
      </w:r>
      <w:r>
        <w:rPr>
          <w:color w:val="000000"/>
          <w:spacing w:val="0"/>
          <w:w w:val="100"/>
          <w:position w:val="0"/>
        </w:rPr>
        <w:t>）</w:t>
        <w:tab/>
        <w:t>斯诺实业于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日成立全资子公司山西深斯诺新材料有限公司，注册资本 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日，投资款尚未支付，如支付将影响斯诺实业长期股 权投资和货币资金人民币各</w:t>
      </w:r>
      <w:r>
        <w:rPr>
          <w:rFonts w:ascii="Times New Roman" w:eastAsia="Times New Roman" w:hAnsi="Times New Roman" w:cs="Times New Roman"/>
          <w:color w:val="000000"/>
          <w:spacing w:val="0"/>
          <w:w w:val="100"/>
          <w:position w:val="0"/>
        </w:rPr>
        <w:t>1,000</w:t>
      </w:r>
      <w:r>
        <w:rPr>
          <w:color w:val="000000"/>
          <w:spacing w:val="0"/>
          <w:w w:val="100"/>
          <w:position w:val="0"/>
        </w:rPr>
        <w:t>万元。</w:t>
      </w:r>
    </w:p>
    <w:p>
      <w:pPr>
        <w:pStyle w:val="Style44"/>
        <w:keepNext w:val="0"/>
        <w:keepLines w:val="0"/>
        <w:widowControl w:val="0"/>
        <w:shd w:val="clear" w:color="auto" w:fill="auto"/>
        <w:tabs>
          <w:tab w:pos="1102" w:val="left"/>
        </w:tabs>
        <w:bidi w:val="0"/>
        <w:spacing w:before="0" w:after="0" w:line="469" w:lineRule="exact"/>
        <w:ind w:left="0" w:right="0" w:firstLine="520"/>
        <w:jc w:val="both"/>
      </w:pPr>
      <w:bookmarkStart w:id="1290" w:name="bookmark1290"/>
      <w:r>
        <w:rPr>
          <w:color w:val="000000"/>
          <w:spacing w:val="0"/>
          <w:w w:val="100"/>
          <w:position w:val="0"/>
        </w:rPr>
        <w:t>（</w:t>
      </w:r>
      <w:bookmarkEnd w:id="1290"/>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日，斯诺实业之子公司内蒙古斯诺新材料科技有限公司（以下简称''内 蒙古斯诺”）与内蒙古能源发电金山热电有限公司、呼和浩特金盛投资有限责任公司、内蒙古浩 普瑞新能源材料有限公司共同成立内蒙古金山森能能源管理服务有限公司，注册资本为人民币 </w:t>
      </w:r>
      <w:r>
        <w:rPr>
          <w:rFonts w:ascii="Times New Roman" w:eastAsia="Times New Roman" w:hAnsi="Times New Roman" w:cs="Times New Roman"/>
          <w:color w:val="000000"/>
          <w:spacing w:val="0"/>
          <w:w w:val="100"/>
          <w:position w:val="0"/>
        </w:rPr>
        <w:t>2,000</w:t>
      </w:r>
      <w:r>
        <w:rPr>
          <w:color w:val="000000"/>
          <w:spacing w:val="0"/>
          <w:w w:val="100"/>
          <w:position w:val="0"/>
        </w:rPr>
        <w:t>万元。其中，内蒙古斯诺认缴人民币</w:t>
      </w:r>
      <w:r>
        <w:rPr>
          <w:rFonts w:ascii="Times New Roman" w:eastAsia="Times New Roman" w:hAnsi="Times New Roman" w:cs="Times New Roman"/>
          <w:color w:val="000000"/>
          <w:spacing w:val="0"/>
          <w:w w:val="100"/>
          <w:position w:val="0"/>
        </w:rPr>
        <w:t>300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15%</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p>
    <w:p>
      <w:pPr>
        <w:pStyle w:val="Style44"/>
        <w:keepNext w:val="0"/>
        <w:keepLines w:val="0"/>
        <w:widowControl w:val="0"/>
        <w:shd w:val="clear" w:color="auto" w:fill="auto"/>
        <w:bidi w:val="0"/>
        <w:spacing w:before="0" w:after="0" w:line="469" w:lineRule="exact"/>
        <w:ind w:left="0" w:right="0" w:firstLine="0"/>
        <w:jc w:val="both"/>
      </w:pPr>
      <w:r>
        <w:rPr>
          <w:color w:val="000000"/>
          <w:spacing w:val="0"/>
          <w:w w:val="100"/>
          <w:position w:val="0"/>
        </w:rPr>
        <w:t>日，投资款尚未支付，如支付将影响其他权益工具投资和货币资金人民币各</w:t>
      </w:r>
      <w:r>
        <w:rPr>
          <w:rFonts w:ascii="Times New Roman" w:eastAsia="Times New Roman" w:hAnsi="Times New Roman" w:cs="Times New Roman"/>
          <w:color w:val="000000"/>
          <w:spacing w:val="0"/>
          <w:w w:val="100"/>
          <w:position w:val="0"/>
        </w:rPr>
        <w:t>300</w:t>
      </w:r>
      <w:r>
        <w:rPr>
          <w:color w:val="000000"/>
          <w:spacing w:val="0"/>
          <w:w w:val="100"/>
          <w:position w:val="0"/>
        </w:rPr>
        <w:t>万元。</w:t>
      </w:r>
    </w:p>
    <w:p>
      <w:pPr>
        <w:pStyle w:val="Style44"/>
        <w:keepNext w:val="0"/>
        <w:keepLines w:val="0"/>
        <w:widowControl w:val="0"/>
        <w:shd w:val="clear" w:color="auto" w:fill="auto"/>
        <w:tabs>
          <w:tab w:pos="1098" w:val="left"/>
        </w:tabs>
        <w:bidi w:val="0"/>
        <w:spacing w:before="0" w:after="0" w:line="470" w:lineRule="exact"/>
        <w:ind w:left="0" w:right="0" w:firstLine="520"/>
        <w:jc w:val="both"/>
      </w:pPr>
      <w:bookmarkStart w:id="1291" w:name="bookmark1291"/>
      <w:r>
        <w:rPr>
          <w:color w:val="000000"/>
          <w:spacing w:val="0"/>
          <w:w w:val="100"/>
          <w:position w:val="0"/>
        </w:rPr>
        <w:t>（</w:t>
      </w:r>
      <w:bookmarkEnd w:id="1291"/>
      <w:r>
        <w:rPr>
          <w:rFonts w:ascii="Times New Roman" w:eastAsia="Times New Roman" w:hAnsi="Times New Roman" w:cs="Times New Roman"/>
          <w:color w:val="000000"/>
          <w:spacing w:val="0"/>
          <w:w w:val="100"/>
          <w:position w:val="0"/>
        </w:rPr>
        <w:t>5</w:t>
      </w:r>
      <w:r>
        <w:rPr>
          <w:color w:val="000000"/>
          <w:spacing w:val="0"/>
          <w:w w:val="100"/>
          <w:position w:val="0"/>
        </w:rPr>
        <w:t>）</w:t>
        <w:tab/>
        <w:t>斯诺实业于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日成立全资子公司江西斯诺石墨新材料有限公司，认缴注 册资本为人民币</w:t>
      </w:r>
      <w:r>
        <w:rPr>
          <w:rFonts w:ascii="Times New Roman" w:eastAsia="Times New Roman" w:hAnsi="Times New Roman" w:cs="Times New Roman"/>
          <w:color w:val="000000"/>
          <w:spacing w:val="0"/>
          <w:w w:val="100"/>
          <w:position w:val="0"/>
        </w:rPr>
        <w:t>5,000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日，投资款尚未支付</w:t>
      </w:r>
      <w:r>
        <w:rPr>
          <w:color w:val="000000"/>
          <w:spacing w:val="0"/>
          <w:w w:val="100"/>
          <w:position w:val="0"/>
        </w:rPr>
        <w:t>，</w:t>
      </w:r>
      <w:r>
        <w:rPr>
          <w:color w:val="000000"/>
          <w:spacing w:val="0"/>
          <w:w w:val="100"/>
          <w:position w:val="0"/>
        </w:rPr>
        <w:t>如支付将影响斯诺实业 长期股权投资和货币资金人民币各</w:t>
      </w:r>
      <w:r>
        <w:rPr>
          <w:rFonts w:ascii="Times New Roman" w:eastAsia="Times New Roman" w:hAnsi="Times New Roman" w:cs="Times New Roman"/>
          <w:color w:val="000000"/>
          <w:spacing w:val="0"/>
          <w:w w:val="100"/>
          <w:position w:val="0"/>
        </w:rPr>
        <w:t>5,000</w:t>
      </w:r>
      <w:r>
        <w:rPr>
          <w:color w:val="000000"/>
          <w:spacing w:val="0"/>
          <w:w w:val="100"/>
          <w:position w:val="0"/>
        </w:rPr>
        <w:t>万元。</w:t>
      </w:r>
    </w:p>
    <w:p>
      <w:pPr>
        <w:pStyle w:val="Style44"/>
        <w:keepNext w:val="0"/>
        <w:keepLines w:val="0"/>
        <w:widowControl w:val="0"/>
        <w:shd w:val="clear" w:color="auto" w:fill="auto"/>
        <w:bidi w:val="0"/>
        <w:spacing w:before="0" w:after="220" w:line="470" w:lineRule="exact"/>
        <w:ind w:left="0" w:right="0" w:firstLine="520"/>
        <w:jc w:val="both"/>
      </w:pPr>
      <w:r>
        <w:rPr>
          <w:color w:val="000000"/>
          <w:spacing w:val="0"/>
          <w:w w:val="100"/>
          <w:position w:val="0"/>
        </w:rPr>
        <w:t>除存在上述事项外，截至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日，本公司无其他应披露而未披露的重要承诺事 </w:t>
      </w:r>
      <w:r>
        <w:rPr>
          <w:color w:val="000000"/>
          <w:spacing w:val="0"/>
          <w:w w:val="100"/>
          <w:position w:val="0"/>
        </w:rPr>
        <w:t>项。</w:t>
      </w:r>
    </w:p>
    <w:p>
      <w:pPr>
        <w:pStyle w:val="Style52"/>
        <w:keepNext/>
        <w:keepLines/>
        <w:widowControl w:val="0"/>
        <w:shd w:val="clear" w:color="auto" w:fill="auto"/>
        <w:bidi w:val="0"/>
        <w:spacing w:before="0" w:after="220" w:line="473" w:lineRule="exact"/>
        <w:ind w:left="0" w:right="0" w:firstLine="0"/>
        <w:jc w:val="left"/>
        <w:rPr>
          <w:sz w:val="24"/>
          <w:szCs w:val="24"/>
        </w:rPr>
      </w:pPr>
      <w:bookmarkStart w:id="1292" w:name="bookmark1292"/>
      <w:bookmarkStart w:id="1293" w:name="bookmark1293"/>
      <w:bookmarkStart w:id="1294" w:name="bookmark1294"/>
      <w:r>
        <w:rPr>
          <w:b w:val="0"/>
          <w:bCs w:val="0"/>
          <w:color w:val="000000"/>
          <w:spacing w:val="0"/>
          <w:w w:val="100"/>
          <w:position w:val="0"/>
          <w:sz w:val="24"/>
          <w:szCs w:val="24"/>
        </w:rPr>
        <w:t>（二）或有事项</w:t>
      </w:r>
      <w:bookmarkEnd w:id="1292"/>
      <w:bookmarkEnd w:id="1293"/>
      <w:bookmarkEnd w:id="1294"/>
    </w:p>
    <w:p>
      <w:pPr>
        <w:pStyle w:val="Style44"/>
        <w:keepNext w:val="0"/>
        <w:keepLines w:val="0"/>
        <w:widowControl w:val="0"/>
        <w:shd w:val="clear" w:color="auto" w:fill="auto"/>
        <w:bidi w:val="0"/>
        <w:spacing w:before="0" w:after="40" w:line="473" w:lineRule="exact"/>
        <w:ind w:left="0" w:right="0" w:firstLine="520"/>
        <w:jc w:val="left"/>
      </w:pPr>
      <w:r>
        <w:rPr>
          <w:color w:val="000000"/>
          <w:spacing w:val="0"/>
          <w:w w:val="100"/>
          <w:position w:val="0"/>
        </w:rPr>
        <w:t>未决诉讼仲裁形成的或有负债及其财务影响</w:t>
      </w:r>
    </w:p>
    <w:p>
      <w:pPr>
        <w:pStyle w:val="Style44"/>
        <w:keepNext w:val="0"/>
        <w:keepLines w:val="0"/>
        <w:widowControl w:val="0"/>
        <w:shd w:val="clear" w:color="auto" w:fill="auto"/>
        <w:bidi w:val="0"/>
        <w:spacing w:before="0" w:after="40" w:line="466" w:lineRule="exact"/>
        <w:ind w:left="0" w:right="0" w:firstLine="520"/>
        <w:jc w:val="both"/>
      </w:pPr>
      <w:r>
        <w:rPr>
          <w:color w:val="000000"/>
          <w:spacing w:val="0"/>
          <w:w w:val="100"/>
          <w:position w:val="0"/>
        </w:rPr>
        <w:t>本公司因有关债务纠纷事宜被他人起诉，诉讼金额合计约为人民币</w:t>
      </w:r>
      <w:r>
        <w:rPr>
          <w:rFonts w:ascii="Times New Roman" w:eastAsia="Times New Roman" w:hAnsi="Times New Roman" w:cs="Times New Roman"/>
          <w:color w:val="000000"/>
          <w:spacing w:val="0"/>
          <w:w w:val="100"/>
          <w:position w:val="0"/>
        </w:rPr>
        <w:t>1,017.50</w:t>
      </w:r>
      <w:r>
        <w:rPr>
          <w:color w:val="000000"/>
          <w:spacing w:val="0"/>
          <w:w w:val="100"/>
          <w:position w:val="0"/>
        </w:rPr>
        <w:t>万元，截至本财 务报表批准报出日止，相关案件正在审理过程中。</w:t>
      </w:r>
    </w:p>
    <w:p>
      <w:pPr>
        <w:pStyle w:val="Style44"/>
        <w:keepNext w:val="0"/>
        <w:keepLines w:val="0"/>
        <w:widowControl w:val="0"/>
        <w:shd w:val="clear" w:color="auto" w:fill="auto"/>
        <w:bidi w:val="0"/>
        <w:spacing w:before="0" w:after="220" w:line="485" w:lineRule="exact"/>
        <w:ind w:left="0" w:right="0" w:firstLine="520"/>
        <w:jc w:val="both"/>
      </w:pPr>
      <w:r>
        <w:rPr>
          <w:color w:val="000000"/>
          <w:spacing w:val="0"/>
          <w:w w:val="100"/>
          <w:position w:val="0"/>
        </w:rPr>
        <w:t>除存在上述或有事项外，截至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日，本公司无其他应披露而未披露的重要或 有事项。</w:t>
      </w:r>
    </w:p>
    <w:p>
      <w:pPr>
        <w:pStyle w:val="Style42"/>
        <w:keepNext/>
        <w:keepLines/>
        <w:widowControl w:val="0"/>
        <w:shd w:val="clear" w:color="auto" w:fill="auto"/>
        <w:bidi w:val="0"/>
        <w:spacing w:before="0" w:after="220" w:line="473" w:lineRule="exact"/>
        <w:ind w:left="0" w:right="0" w:firstLine="0"/>
        <w:jc w:val="left"/>
      </w:pPr>
      <w:bookmarkStart w:id="1295" w:name="bookmark1295"/>
      <w:bookmarkStart w:id="1296" w:name="bookmark1296"/>
      <w:bookmarkStart w:id="1297" w:name="bookmark1297"/>
      <w:r>
        <w:rPr>
          <w:color w:val="000000"/>
          <w:spacing w:val="0"/>
          <w:w w:val="100"/>
          <w:position w:val="0"/>
        </w:rPr>
        <w:t>十二、资产负债表日后事项</w:t>
      </w:r>
      <w:bookmarkEnd w:id="1295"/>
      <w:bookmarkEnd w:id="1296"/>
      <w:bookmarkEnd w:id="1297"/>
    </w:p>
    <w:p>
      <w:pPr>
        <w:pStyle w:val="Style44"/>
        <w:keepNext w:val="0"/>
        <w:keepLines w:val="0"/>
        <w:widowControl w:val="0"/>
        <w:shd w:val="clear" w:color="auto" w:fill="auto"/>
        <w:bidi w:val="0"/>
        <w:spacing w:before="0" w:after="40" w:line="473" w:lineRule="exact"/>
        <w:ind w:left="0" w:right="0" w:firstLine="520"/>
        <w:jc w:val="left"/>
      </w:pPr>
      <w:r>
        <w:rPr>
          <w:color w:val="000000"/>
          <w:spacing w:val="0"/>
          <w:w w:val="100"/>
          <w:position w:val="0"/>
        </w:rPr>
        <w:t>斯诺实业原股东鲍海友</w:t>
      </w:r>
      <w:r>
        <w:rPr>
          <w:rFonts w:ascii="Times New Roman" w:eastAsia="Times New Roman" w:hAnsi="Times New Roman" w:cs="Times New Roman"/>
          <w:color w:val="000000"/>
          <w:spacing w:val="0"/>
          <w:w w:val="100"/>
          <w:position w:val="0"/>
        </w:rPr>
        <w:t>25%</w:t>
      </w:r>
      <w:r>
        <w:rPr>
          <w:color w:val="000000"/>
          <w:spacing w:val="0"/>
          <w:w w:val="100"/>
          <w:position w:val="0"/>
        </w:rPr>
        <w:t>股权拍卖事项</w:t>
      </w:r>
    </w:p>
    <w:p>
      <w:pPr>
        <w:pStyle w:val="Style44"/>
        <w:keepNext w:val="0"/>
        <w:keepLines w:val="0"/>
        <w:widowControl w:val="0"/>
        <w:shd w:val="clear" w:color="auto" w:fill="auto"/>
        <w:bidi w:val="0"/>
        <w:spacing w:before="0" w:after="40" w:line="473" w:lineRule="exact"/>
        <w:ind w:left="0" w:right="0" w:firstLine="5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月，深圳市中级人民法院裁定强制拍卖、变卖被执行人鲍海友持有的斯诺实业</w:t>
      </w:r>
      <w:r>
        <w:rPr>
          <w:rFonts w:ascii="Times New Roman" w:eastAsia="Times New Roman" w:hAnsi="Times New Roman" w:cs="Times New Roman"/>
          <w:color w:val="000000"/>
          <w:spacing w:val="0"/>
          <w:w w:val="100"/>
          <w:position w:val="0"/>
        </w:rPr>
        <w:t xml:space="preserve">25% </w:t>
      </w:r>
      <w:r>
        <w:rPr>
          <w:color w:val="000000"/>
          <w:spacing w:val="0"/>
          <w:w w:val="100"/>
          <w:position w:val="0"/>
        </w:rPr>
        <w:t>股权以清偿债务，并定于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10</w:t>
      </w:r>
      <w:r>
        <w:rPr>
          <w:color w:val="000000"/>
          <w:spacing w:val="0"/>
          <w:w w:val="100"/>
          <w:position w:val="0"/>
        </w:rPr>
        <w:t>时至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r>
        <w:rPr>
          <w:rFonts w:ascii="Times New Roman" w:eastAsia="Times New Roman" w:hAnsi="Times New Roman" w:cs="Times New Roman"/>
          <w:color w:val="000000"/>
          <w:spacing w:val="0"/>
          <w:w w:val="100"/>
          <w:position w:val="0"/>
        </w:rPr>
        <w:t>10</w:t>
      </w:r>
      <w:r>
        <w:rPr>
          <w:color w:val="000000"/>
          <w:spacing w:val="0"/>
          <w:w w:val="100"/>
          <w:position w:val="0"/>
        </w:rPr>
        <w:t>时对上述股权进行第 一次网络公开拍卖。</w:t>
      </w:r>
    </w:p>
    <w:p>
      <w:pPr>
        <w:pStyle w:val="Style44"/>
        <w:keepNext w:val="0"/>
        <w:keepLines w:val="0"/>
        <w:widowControl w:val="0"/>
        <w:shd w:val="clear" w:color="auto" w:fill="auto"/>
        <w:bidi w:val="0"/>
        <w:spacing w:before="0" w:after="40" w:line="474" w:lineRule="exact"/>
        <w:ind w:left="0" w:right="0" w:firstLine="5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日，公司召开第四届董事会第二十四次会议，审议通过《关于公司拟参与竞 拍斯诺实业</w:t>
      </w:r>
      <w:r>
        <w:rPr>
          <w:rFonts w:ascii="Times New Roman" w:eastAsia="Times New Roman" w:hAnsi="Times New Roman" w:cs="Times New Roman"/>
          <w:color w:val="000000"/>
          <w:spacing w:val="0"/>
          <w:w w:val="100"/>
          <w:position w:val="0"/>
        </w:rPr>
        <w:t>25%</w:t>
      </w:r>
      <w:r>
        <w:rPr>
          <w:color w:val="000000"/>
          <w:spacing w:val="0"/>
          <w:w w:val="100"/>
          <w:position w:val="0"/>
        </w:rPr>
        <w:t>股权的议案》，同意国民科技、国民投资在董事会审批权限范围内参与竞拍斯诺 实业</w:t>
      </w:r>
      <w:r>
        <w:rPr>
          <w:rFonts w:ascii="Times New Roman" w:eastAsia="Times New Roman" w:hAnsi="Times New Roman" w:cs="Times New Roman"/>
          <w:color w:val="000000"/>
          <w:spacing w:val="0"/>
          <w:w w:val="100"/>
          <w:position w:val="0"/>
        </w:rPr>
        <w:t>25%</w:t>
      </w:r>
      <w:r>
        <w:rPr>
          <w:color w:val="000000"/>
          <w:spacing w:val="0"/>
          <w:w w:val="100"/>
          <w:position w:val="0"/>
        </w:rPr>
        <w:t>股权。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日，国民科技以人民币</w:t>
      </w:r>
      <w:r>
        <w:rPr>
          <w:rFonts w:ascii="Times New Roman" w:eastAsia="Times New Roman" w:hAnsi="Times New Roman" w:cs="Times New Roman"/>
          <w:color w:val="000000"/>
          <w:spacing w:val="0"/>
          <w:w w:val="100"/>
          <w:position w:val="0"/>
        </w:rPr>
        <w:t>2,500.25</w:t>
      </w:r>
      <w:r>
        <w:rPr>
          <w:color w:val="000000"/>
          <w:spacing w:val="0"/>
          <w:w w:val="100"/>
          <w:position w:val="0"/>
        </w:rPr>
        <w:t>万元的成交价格竞得斯诺实业</w:t>
      </w:r>
      <w:r>
        <w:rPr>
          <w:rFonts w:ascii="Times New Roman" w:eastAsia="Times New Roman" w:hAnsi="Times New Roman" w:cs="Times New Roman"/>
          <w:color w:val="000000"/>
          <w:spacing w:val="0"/>
          <w:w w:val="100"/>
          <w:position w:val="0"/>
        </w:rPr>
        <w:t xml:space="preserve">25% </w:t>
      </w:r>
      <w:r>
        <w:rPr>
          <w:color w:val="000000"/>
          <w:spacing w:val="0"/>
          <w:w w:val="100"/>
          <w:position w:val="0"/>
        </w:rPr>
        <w:t>股权。</w:t>
      </w:r>
    </w:p>
    <w:p>
      <w:pPr>
        <w:pStyle w:val="Style44"/>
        <w:keepNext w:val="0"/>
        <w:keepLines w:val="0"/>
        <w:widowControl w:val="0"/>
        <w:shd w:val="clear" w:color="auto" w:fill="auto"/>
        <w:bidi w:val="0"/>
        <w:spacing w:before="0" w:after="220" w:line="473" w:lineRule="exact"/>
        <w:ind w:left="0" w:right="0" w:firstLine="520"/>
        <w:jc w:val="left"/>
      </w:pPr>
      <w:r>
        <w:rPr>
          <w:color w:val="000000"/>
          <w:spacing w:val="0"/>
          <w:w w:val="100"/>
          <w:position w:val="0"/>
        </w:rPr>
        <w:t>除上述事项外，截至财务报表批准报出日，本公司无需要披露的资产负债表日后事项。</w:t>
      </w:r>
    </w:p>
    <w:p>
      <w:pPr>
        <w:pStyle w:val="Style42"/>
        <w:keepNext/>
        <w:keepLines/>
        <w:widowControl w:val="0"/>
        <w:shd w:val="clear" w:color="auto" w:fill="auto"/>
        <w:bidi w:val="0"/>
        <w:spacing w:before="0" w:after="120" w:line="473" w:lineRule="exact"/>
        <w:ind w:left="0" w:right="0" w:firstLine="0"/>
        <w:jc w:val="left"/>
      </w:pPr>
      <w:bookmarkStart w:id="1298" w:name="bookmark1298"/>
      <w:bookmarkStart w:id="1299" w:name="bookmark1299"/>
      <w:bookmarkStart w:id="1300" w:name="bookmark1300"/>
      <w:r>
        <w:rPr>
          <w:color w:val="000000"/>
          <w:spacing w:val="0"/>
          <w:w w:val="100"/>
          <w:position w:val="0"/>
        </w:rPr>
        <w:t>十三、其他重要事项</w:t>
      </w:r>
      <w:bookmarkEnd w:id="1298"/>
      <w:bookmarkEnd w:id="1299"/>
      <w:bookmarkEnd w:id="1300"/>
    </w:p>
    <w:p>
      <w:pPr>
        <w:pStyle w:val="Style52"/>
        <w:keepNext/>
        <w:keepLines/>
        <w:widowControl w:val="0"/>
        <w:shd w:val="clear" w:color="auto" w:fill="auto"/>
        <w:bidi w:val="0"/>
        <w:spacing w:before="0" w:after="220" w:line="473" w:lineRule="exact"/>
        <w:ind w:left="0" w:right="0" w:firstLine="0"/>
        <w:jc w:val="left"/>
      </w:pPr>
      <w:bookmarkStart w:id="1301" w:name="bookmark1301"/>
      <w:bookmarkStart w:id="1302" w:name="bookmark1302"/>
      <w:bookmarkStart w:id="1303" w:name="bookmark1303"/>
      <w:r>
        <w:rPr>
          <w:color w:val="000000"/>
          <w:spacing w:val="0"/>
          <w:w w:val="100"/>
          <w:position w:val="0"/>
        </w:rPr>
        <w:t>（一）华夏芯业绩补偿款及股权转让事项</w:t>
      </w:r>
      <w:bookmarkEnd w:id="1301"/>
      <w:bookmarkEnd w:id="1302"/>
      <w:bookmarkEnd w:id="1303"/>
    </w:p>
    <w:p>
      <w:pPr>
        <w:pStyle w:val="Style44"/>
        <w:keepNext w:val="0"/>
        <w:keepLines w:val="0"/>
        <w:widowControl w:val="0"/>
        <w:shd w:val="clear" w:color="auto" w:fill="auto"/>
        <w:bidi w:val="0"/>
        <w:spacing w:before="0" w:after="40" w:line="467" w:lineRule="exact"/>
        <w:ind w:left="0" w:right="0" w:firstLine="520"/>
        <w:jc w:val="both"/>
      </w:pPr>
      <w:r>
        <w:rPr>
          <w:color w:val="000000"/>
          <w:spacing w:val="0"/>
          <w:w w:val="100"/>
          <w:position w:val="0"/>
        </w:rPr>
        <w:t>国民投资于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日与华夏芯及其股东签订《关于华夏芯（北京）通用处理器技术 有限公司之增资协议》（以下简称"增资协议”），约定国民投资以</w:t>
      </w:r>
      <w:r>
        <w:rPr>
          <w:rFonts w:ascii="Times New Roman" w:eastAsia="Times New Roman" w:hAnsi="Times New Roman" w:cs="Times New Roman"/>
          <w:color w:val="000000"/>
          <w:spacing w:val="0"/>
          <w:w w:val="100"/>
          <w:position w:val="0"/>
        </w:rPr>
        <w:t>14,000</w:t>
      </w:r>
      <w:r>
        <w:rPr>
          <w:color w:val="000000"/>
          <w:spacing w:val="0"/>
          <w:w w:val="100"/>
          <w:position w:val="0"/>
        </w:rPr>
        <w:t>万元增资认购华夏芯</w:t>
      </w:r>
      <w:r>
        <w:rPr>
          <w:rFonts w:ascii="Times New Roman" w:eastAsia="Times New Roman" w:hAnsi="Times New Roman" w:cs="Times New Roman"/>
          <w:color w:val="000000"/>
          <w:spacing w:val="0"/>
          <w:w w:val="100"/>
          <w:position w:val="0"/>
        </w:rPr>
        <w:t xml:space="preserve">21.374% </w:t>
      </w:r>
      <w:r>
        <w:rPr>
          <w:color w:val="000000"/>
          <w:spacing w:val="0"/>
          <w:w w:val="100"/>
          <w:position w:val="0"/>
        </w:rPr>
        <w:t>的股权。《增资协议》约定，业绩承诺方李科奕承诺在</w:t>
      </w:r>
      <w:r>
        <w:rPr>
          <w:rFonts w:ascii="Times New Roman" w:eastAsia="Times New Roman" w:hAnsi="Times New Roman" w:cs="Times New Roman"/>
          <w:color w:val="000000"/>
          <w:spacing w:val="0"/>
          <w:w w:val="100"/>
          <w:position w:val="0"/>
        </w:rPr>
        <w:t>2018-2020</w:t>
      </w:r>
      <w:r>
        <w:rPr>
          <w:color w:val="000000"/>
          <w:spacing w:val="0"/>
          <w:w w:val="100"/>
          <w:position w:val="0"/>
        </w:rPr>
        <w:t>年度华夏芯完成相应的财务指标 及运营指标，否则应承担相应的业绩补偿责任。截至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日，业绩承诺方因华夏芯未 完成</w:t>
      </w:r>
      <w:r>
        <w:rPr>
          <w:rFonts w:ascii="Times New Roman" w:eastAsia="Times New Roman" w:hAnsi="Times New Roman" w:cs="Times New Roman"/>
          <w:color w:val="000000"/>
          <w:spacing w:val="0"/>
          <w:w w:val="100"/>
          <w:position w:val="0"/>
        </w:rPr>
        <w:t>2019</w:t>
      </w:r>
      <w:r>
        <w:rPr>
          <w:color w:val="000000"/>
          <w:spacing w:val="0"/>
          <w:w w:val="100"/>
          <w:position w:val="0"/>
        </w:rPr>
        <w:t>年度业绩承诺应向国民投资合计支付业绩补偿款</w:t>
      </w:r>
      <w:r>
        <w:rPr>
          <w:rFonts w:ascii="Times New Roman" w:eastAsia="Times New Roman" w:hAnsi="Times New Roman" w:cs="Times New Roman"/>
          <w:color w:val="000000"/>
          <w:spacing w:val="0"/>
          <w:w w:val="100"/>
          <w:position w:val="0"/>
        </w:rPr>
        <w:t>7,464.74</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 国民投资已收到上述业绩补偿款，本年增加营业外收入</w:t>
      </w:r>
      <w:r>
        <w:rPr>
          <w:rFonts w:ascii="Times New Roman" w:eastAsia="Times New Roman" w:hAnsi="Times New Roman" w:cs="Times New Roman"/>
          <w:color w:val="000000"/>
          <w:spacing w:val="0"/>
          <w:w w:val="100"/>
          <w:position w:val="0"/>
        </w:rPr>
        <w:t>7,464.74</w:t>
      </w:r>
      <w:r>
        <w:rPr>
          <w:color w:val="000000"/>
          <w:spacing w:val="0"/>
          <w:w w:val="100"/>
          <w:position w:val="0"/>
        </w:rPr>
        <w:t>万元。</w:t>
      </w:r>
    </w:p>
    <w:p>
      <w:pPr>
        <w:pStyle w:val="Style44"/>
        <w:keepNext w:val="0"/>
        <w:keepLines w:val="0"/>
        <w:widowControl w:val="0"/>
        <w:shd w:val="clear" w:color="auto" w:fill="auto"/>
        <w:bidi w:val="0"/>
        <w:spacing w:before="0" w:after="200" w:line="473" w:lineRule="exact"/>
        <w:ind w:left="0" w:right="0" w:firstLine="520"/>
        <w:jc w:val="both"/>
      </w:pPr>
      <w:r>
        <w:rPr>
          <w:color w:val="000000"/>
          <w:spacing w:val="0"/>
          <w:w w:val="100"/>
          <w:position w:val="0"/>
        </w:rPr>
        <w:t>国民投资于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日与业绩承诺方李科奕签署《补偿及股权转让协议》，约定以 </w:t>
      </w:r>
      <w:r>
        <w:rPr>
          <w:rFonts w:ascii="Times New Roman" w:eastAsia="Times New Roman" w:hAnsi="Times New Roman" w:cs="Times New Roman"/>
          <w:color w:val="000000"/>
          <w:spacing w:val="0"/>
          <w:w w:val="100"/>
          <w:position w:val="0"/>
        </w:rPr>
        <w:t>16,921.37</w:t>
      </w:r>
      <w:r>
        <w:rPr>
          <w:color w:val="000000"/>
          <w:spacing w:val="0"/>
          <w:w w:val="100"/>
          <w:position w:val="0"/>
        </w:rPr>
        <w:t>万元的对价将持有的华夏芯</w:t>
      </w:r>
      <w:r>
        <w:rPr>
          <w:rFonts w:ascii="Times New Roman" w:eastAsia="Times New Roman" w:hAnsi="Times New Roman" w:cs="Times New Roman"/>
          <w:color w:val="000000"/>
          <w:spacing w:val="0"/>
          <w:w w:val="100"/>
          <w:position w:val="0"/>
        </w:rPr>
        <w:t>21.374%</w:t>
      </w:r>
      <w:r>
        <w:rPr>
          <w:color w:val="000000"/>
          <w:spacing w:val="0"/>
          <w:w w:val="100"/>
          <w:position w:val="0"/>
        </w:rPr>
        <w:t>股权转让给业绩承诺方。截至财务报表批准报出日， 公司已收到全部股权转让款，预计在</w:t>
      </w:r>
      <w:r>
        <w:rPr>
          <w:rFonts w:ascii="Times New Roman" w:eastAsia="Times New Roman" w:hAnsi="Times New Roman" w:cs="Times New Roman"/>
          <w:color w:val="000000"/>
          <w:spacing w:val="0"/>
          <w:w w:val="100"/>
          <w:position w:val="0"/>
        </w:rPr>
        <w:t>2021</w:t>
      </w:r>
      <w:r>
        <w:rPr>
          <w:color w:val="000000"/>
          <w:spacing w:val="0"/>
          <w:w w:val="100"/>
          <w:position w:val="0"/>
        </w:rPr>
        <w:t>年完成股权交割手续，</w:t>
      </w:r>
      <w:r>
        <w:rPr>
          <w:rFonts w:ascii="Times New Roman" w:eastAsia="Times New Roman" w:hAnsi="Times New Roman" w:cs="Times New Roman"/>
          <w:color w:val="000000"/>
          <w:spacing w:val="0"/>
          <w:w w:val="100"/>
          <w:position w:val="0"/>
        </w:rPr>
        <w:t>2020</w:t>
      </w:r>
      <w:r>
        <w:rPr>
          <w:color w:val="000000"/>
          <w:spacing w:val="0"/>
          <w:w w:val="100"/>
          <w:position w:val="0"/>
        </w:rPr>
        <w:t>年公司将长期股权投资转 为持有待售资产。</w:t>
      </w:r>
    </w:p>
    <w:p>
      <w:pPr>
        <w:pStyle w:val="Style52"/>
        <w:keepNext/>
        <w:keepLines/>
        <w:widowControl w:val="0"/>
        <w:shd w:val="clear" w:color="auto" w:fill="auto"/>
        <w:tabs>
          <w:tab w:pos="656" w:val="left"/>
        </w:tabs>
        <w:bidi w:val="0"/>
        <w:spacing w:before="0" w:after="200" w:line="468" w:lineRule="exact"/>
        <w:ind w:left="0" w:right="0" w:firstLine="0"/>
        <w:jc w:val="left"/>
      </w:pPr>
      <w:bookmarkStart w:id="1304" w:name="bookmark1304"/>
      <w:bookmarkStart w:id="1305" w:name="bookmark1305"/>
      <w:bookmarkStart w:id="1306" w:name="bookmark1306"/>
      <w:bookmarkStart w:id="1307" w:name="bookmark1307"/>
      <w:r>
        <w:rPr>
          <w:color w:val="000000"/>
          <w:spacing w:val="0"/>
          <w:w w:val="100"/>
          <w:position w:val="0"/>
        </w:rPr>
        <w:t>（</w:t>
      </w:r>
      <w:bookmarkEnd w:id="1306"/>
      <w:r>
        <w:rPr>
          <w:color w:val="000000"/>
          <w:spacing w:val="0"/>
          <w:w w:val="100"/>
          <w:position w:val="0"/>
        </w:rPr>
        <w:t>二）</w:t>
        <w:tab/>
        <w:t>星民智联股权回购事项</w:t>
      </w:r>
      <w:bookmarkEnd w:id="1304"/>
      <w:bookmarkEnd w:id="1305"/>
      <w:bookmarkEnd w:id="1307"/>
    </w:p>
    <w:p>
      <w:pPr>
        <w:pStyle w:val="Style44"/>
        <w:keepNext w:val="0"/>
        <w:keepLines w:val="0"/>
        <w:widowControl w:val="0"/>
        <w:shd w:val="clear" w:color="auto" w:fill="auto"/>
        <w:bidi w:val="0"/>
        <w:spacing w:before="0" w:after="0" w:line="468" w:lineRule="exact"/>
        <w:ind w:left="0" w:right="0" w:firstLine="52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日，国民技术股份有限公司与福建省星云大数据应用服务有限公司、易联众 信息技术股份有限公司、弘安投资（深圳）合伙企业（有限合伙）共同投资设立福建省星民智联 科技有限公司。根据《股权投资协议》约定，如果</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日星民智联未达到新三板挂 牌条件，福建省星云大数据应用服务有限公司有权要求本公司与易联众信息技术股份有限公司按 照</w:t>
      </w:r>
      <w:r>
        <w:rPr>
          <w:rFonts w:ascii="Times New Roman" w:eastAsia="Times New Roman" w:hAnsi="Times New Roman" w:cs="Times New Roman"/>
          <w:color w:val="000000"/>
          <w:spacing w:val="0"/>
          <w:w w:val="100"/>
          <w:position w:val="0"/>
        </w:rPr>
        <w:t>70%</w:t>
      </w:r>
      <w:r>
        <w:rPr>
          <w:color w:val="000000"/>
          <w:spacing w:val="0"/>
          <w:w w:val="100"/>
          <w:position w:val="0"/>
        </w:rPr>
        <w:t>与</w:t>
      </w:r>
      <w:r>
        <w:rPr>
          <w:rFonts w:ascii="Times New Roman" w:eastAsia="Times New Roman" w:hAnsi="Times New Roman" w:cs="Times New Roman"/>
          <w:color w:val="000000"/>
          <w:spacing w:val="0"/>
          <w:w w:val="100"/>
          <w:position w:val="0"/>
        </w:rPr>
        <w:t>30%</w:t>
      </w:r>
      <w:r>
        <w:rPr>
          <w:color w:val="000000"/>
          <w:spacing w:val="0"/>
          <w:w w:val="100"/>
          <w:position w:val="0"/>
        </w:rPr>
        <w:t>比例回购其所有或部分股权，回购价格</w:t>
      </w:r>
      <w:r>
        <w:rPr>
          <w:rFonts w:ascii="Times New Roman" w:eastAsia="Times New Roman" w:hAnsi="Times New Roman" w:cs="Times New Roman"/>
          <w:color w:val="000000"/>
          <w:spacing w:val="0"/>
          <w:w w:val="100"/>
          <w:position w:val="0"/>
        </w:rPr>
        <w:t>=</w:t>
      </w:r>
      <w:r>
        <w:rPr>
          <w:color w:val="000000"/>
          <w:spacing w:val="0"/>
          <w:w w:val="100"/>
          <w:position w:val="0"/>
        </w:rPr>
        <w:t>出资额</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（1+12%* （</w:t>
      </w:r>
      <w:r>
        <w:rPr>
          <w:color w:val="000000"/>
          <w:spacing w:val="0"/>
          <w:w w:val="100"/>
          <w:position w:val="0"/>
        </w:rPr>
        <w:t>回购日</w:t>
      </w:r>
      <w:r>
        <w:rPr>
          <w:rFonts w:ascii="Times New Roman" w:eastAsia="Times New Roman" w:hAnsi="Times New Roman" w:cs="Times New Roman"/>
          <w:color w:val="000000"/>
          <w:spacing w:val="0"/>
          <w:w w:val="100"/>
          <w:position w:val="0"/>
        </w:rPr>
        <w:t>-</w:t>
      </w:r>
      <w:r>
        <w:rPr>
          <w:color w:val="000000"/>
          <w:spacing w:val="0"/>
          <w:w w:val="100"/>
          <w:position w:val="0"/>
        </w:rPr>
        <w:t>出资日）</w:t>
      </w:r>
      <w:r>
        <w:rPr>
          <w:rFonts w:ascii="Times New Roman" w:eastAsia="Times New Roman" w:hAnsi="Times New Roman" w:cs="Times New Roman"/>
          <w:color w:val="000000"/>
          <w:spacing w:val="0"/>
          <w:w w:val="100"/>
          <w:position w:val="0"/>
        </w:rPr>
        <w:t>/360</w:t>
      </w:r>
      <w:r>
        <w:rPr>
          <w:color w:val="000000"/>
          <w:spacing w:val="0"/>
          <w:w w:val="100"/>
          <w:position w:val="0"/>
        </w:rPr>
        <w:t>）。</w:t>
      </w:r>
    </w:p>
    <w:p>
      <w:pPr>
        <w:pStyle w:val="Style44"/>
        <w:keepNext w:val="0"/>
        <w:keepLines w:val="0"/>
        <w:widowControl w:val="0"/>
        <w:shd w:val="clear" w:color="auto" w:fill="auto"/>
        <w:bidi w:val="0"/>
        <w:spacing w:before="0" w:after="200" w:line="468" w:lineRule="exact"/>
        <w:ind w:left="0" w:right="0" w:firstLine="5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日，已触发该回购条件。本年度，公司确认</w:t>
      </w:r>
      <w:r>
        <w:rPr>
          <w:rFonts w:ascii="Times New Roman" w:eastAsia="Times New Roman" w:hAnsi="Times New Roman" w:cs="Times New Roman"/>
          <w:color w:val="000000"/>
          <w:spacing w:val="0"/>
          <w:w w:val="100"/>
          <w:position w:val="0"/>
        </w:rPr>
        <w:t>579.18</w:t>
      </w:r>
      <w:r>
        <w:rPr>
          <w:color w:val="000000"/>
          <w:spacing w:val="0"/>
          <w:w w:val="100"/>
          <w:position w:val="0"/>
        </w:rPr>
        <w:t>万元股权回购款。</w:t>
      </w:r>
    </w:p>
    <w:p>
      <w:pPr>
        <w:pStyle w:val="Style52"/>
        <w:keepNext/>
        <w:keepLines/>
        <w:widowControl w:val="0"/>
        <w:shd w:val="clear" w:color="auto" w:fill="auto"/>
        <w:tabs>
          <w:tab w:pos="656" w:val="left"/>
        </w:tabs>
        <w:bidi w:val="0"/>
        <w:spacing w:before="0" w:after="200" w:line="468" w:lineRule="exact"/>
        <w:ind w:left="0" w:right="0" w:firstLine="0"/>
        <w:jc w:val="left"/>
      </w:pPr>
      <w:bookmarkStart w:id="1308" w:name="bookmark1308"/>
      <w:bookmarkStart w:id="1309" w:name="bookmark1309"/>
      <w:bookmarkStart w:id="1310" w:name="bookmark1310"/>
      <w:bookmarkStart w:id="1311" w:name="bookmark1311"/>
      <w:r>
        <w:rPr>
          <w:color w:val="000000"/>
          <w:spacing w:val="0"/>
          <w:w w:val="100"/>
          <w:position w:val="0"/>
        </w:rPr>
        <w:t>（</w:t>
      </w:r>
      <w:bookmarkEnd w:id="1310"/>
      <w:r>
        <w:rPr>
          <w:color w:val="000000"/>
          <w:spacing w:val="0"/>
          <w:w w:val="100"/>
          <w:position w:val="0"/>
        </w:rPr>
        <w:t>三）</w:t>
        <w:tab/>
        <w:t>公司利润主要来源于非经常性损益事项</w:t>
      </w:r>
      <w:bookmarkEnd w:id="1308"/>
      <w:bookmarkEnd w:id="1309"/>
      <w:bookmarkEnd w:id="1311"/>
    </w:p>
    <w:p>
      <w:pPr>
        <w:pStyle w:val="Style44"/>
        <w:keepNext w:val="0"/>
        <w:keepLines w:val="0"/>
        <w:widowControl w:val="0"/>
        <w:shd w:val="clear" w:color="auto" w:fill="auto"/>
        <w:bidi w:val="0"/>
        <w:spacing w:before="0" w:after="0" w:line="467" w:lineRule="exact"/>
        <w:ind w:left="0" w:right="0" w:firstLine="52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年度利润主要来源于非经常性损益，</w:t>
      </w:r>
      <w:r>
        <w:rPr>
          <w:rFonts w:ascii="Times New Roman" w:eastAsia="Times New Roman" w:hAnsi="Times New Roman" w:cs="Times New Roman"/>
          <w:color w:val="000000"/>
          <w:spacing w:val="0"/>
          <w:w w:val="100"/>
          <w:position w:val="0"/>
        </w:rPr>
        <w:t>2020</w:t>
      </w:r>
      <w:r>
        <w:rPr>
          <w:color w:val="000000"/>
          <w:spacing w:val="0"/>
          <w:w w:val="100"/>
          <w:position w:val="0"/>
        </w:rPr>
        <w:t>年度归属于母公司股东净利 润为</w:t>
      </w:r>
      <w:r>
        <w:rPr>
          <w:rFonts w:ascii="Times New Roman" w:eastAsia="Times New Roman" w:hAnsi="Times New Roman" w:cs="Times New Roman"/>
          <w:color w:val="000000"/>
          <w:spacing w:val="0"/>
          <w:w w:val="100"/>
          <w:position w:val="0"/>
        </w:rPr>
        <w:t>1,123.48</w:t>
      </w:r>
      <w:r>
        <w:rPr>
          <w:color w:val="000000"/>
          <w:spacing w:val="0"/>
          <w:w w:val="100"/>
          <w:position w:val="0"/>
        </w:rPr>
        <w:t>万元，扣除非经常性损益后归属于母公司股东的净利润为</w:t>
      </w:r>
      <w:r>
        <w:rPr>
          <w:rFonts w:ascii="Times New Roman" w:eastAsia="Times New Roman" w:hAnsi="Times New Roman" w:cs="Times New Roman"/>
          <w:color w:val="000000"/>
          <w:spacing w:val="0"/>
          <w:w w:val="100"/>
          <w:position w:val="0"/>
        </w:rPr>
        <w:t>-14,674.61</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 度归属于母公司股东净利润为</w:t>
      </w:r>
      <w:r>
        <w:rPr>
          <w:rFonts w:ascii="Times New Roman" w:eastAsia="Times New Roman" w:hAnsi="Times New Roman" w:cs="Times New Roman"/>
          <w:color w:val="000000"/>
          <w:spacing w:val="0"/>
          <w:w w:val="100"/>
          <w:position w:val="0"/>
        </w:rPr>
        <w:t>10,392.06</w:t>
      </w:r>
      <w:r>
        <w:rPr>
          <w:color w:val="000000"/>
          <w:spacing w:val="0"/>
          <w:w w:val="100"/>
          <w:position w:val="0"/>
        </w:rPr>
        <w:t>万元，扣除非经常性损益后归属于母公司股东的净利润 为</w:t>
      </w:r>
      <w:r>
        <w:rPr>
          <w:rFonts w:ascii="Times New Roman" w:eastAsia="Times New Roman" w:hAnsi="Times New Roman" w:cs="Times New Roman"/>
          <w:color w:val="000000"/>
          <w:spacing w:val="0"/>
          <w:w w:val="100"/>
          <w:position w:val="0"/>
        </w:rPr>
        <w:t xml:space="preserve">-58,938.11 </w:t>
      </w:r>
      <w:r>
        <w:rPr>
          <w:color w:val="000000"/>
          <w:spacing w:val="0"/>
          <w:w w:val="100"/>
          <w:position w:val="0"/>
        </w:rPr>
        <w:t>万元。</w:t>
      </w:r>
    </w:p>
    <w:p>
      <w:pPr>
        <w:pStyle w:val="Style44"/>
        <w:keepNext w:val="0"/>
        <w:keepLines w:val="0"/>
        <w:widowControl w:val="0"/>
        <w:shd w:val="clear" w:color="auto" w:fill="auto"/>
        <w:bidi w:val="0"/>
        <w:spacing w:before="0" w:after="200" w:line="468" w:lineRule="exact"/>
        <w:ind w:left="0" w:right="0" w:firstLine="520"/>
        <w:jc w:val="both"/>
      </w:pPr>
      <w:r>
        <w:rPr>
          <w:color w:val="000000"/>
          <w:spacing w:val="0"/>
          <w:w w:val="100"/>
          <w:position w:val="0"/>
        </w:rPr>
        <w:t>除上述事项外，截至财务报表批准报出日，本公司无其他应披露而未披露的其他重要事项。</w:t>
      </w:r>
    </w:p>
    <w:p>
      <w:pPr>
        <w:pStyle w:val="Style42"/>
        <w:keepNext/>
        <w:keepLines/>
        <w:widowControl w:val="0"/>
        <w:shd w:val="clear" w:color="auto" w:fill="auto"/>
        <w:bidi w:val="0"/>
        <w:spacing w:before="0" w:after="200" w:line="468" w:lineRule="exact"/>
        <w:ind w:left="0" w:right="0" w:firstLine="0"/>
        <w:jc w:val="left"/>
      </w:pPr>
      <w:bookmarkStart w:id="1312" w:name="bookmark1312"/>
      <w:bookmarkStart w:id="1313" w:name="bookmark1313"/>
      <w:bookmarkStart w:id="1314" w:name="bookmark1314"/>
      <w:r>
        <w:rPr>
          <w:color w:val="000000"/>
          <w:spacing w:val="0"/>
          <w:w w:val="100"/>
          <w:position w:val="0"/>
        </w:rPr>
        <w:t>十四、母公司财务报表主要项目注释</w:t>
      </w:r>
      <w:bookmarkEnd w:id="1312"/>
      <w:bookmarkEnd w:id="1313"/>
      <w:bookmarkEnd w:id="1314"/>
    </w:p>
    <w:p>
      <w:pPr>
        <w:pStyle w:val="Style52"/>
        <w:keepNext/>
        <w:keepLines/>
        <w:widowControl w:val="0"/>
        <w:shd w:val="clear" w:color="auto" w:fill="auto"/>
        <w:bidi w:val="0"/>
        <w:spacing w:before="0" w:after="200" w:line="468" w:lineRule="exact"/>
        <w:ind w:left="0" w:right="0" w:firstLine="0"/>
        <w:jc w:val="left"/>
        <w:rPr>
          <w:sz w:val="24"/>
          <w:szCs w:val="24"/>
        </w:rPr>
      </w:pPr>
      <w:bookmarkStart w:id="1315" w:name="bookmark1315"/>
      <w:bookmarkStart w:id="1316" w:name="bookmark1316"/>
      <w:bookmarkStart w:id="1317" w:name="bookmark1317"/>
      <w:r>
        <w:rPr>
          <w:rFonts w:ascii="Times New Roman" w:eastAsia="Times New Roman" w:hAnsi="Times New Roman" w:cs="Times New Roman"/>
          <w:b w:val="0"/>
          <w:bCs w:val="0"/>
          <w:color w:val="000000"/>
          <w:spacing w:val="0"/>
          <w:w w:val="100"/>
          <w:position w:val="0"/>
          <w:sz w:val="24"/>
          <w:szCs w:val="24"/>
        </w:rPr>
        <w:t>1</w:t>
      </w:r>
      <w:r>
        <w:rPr>
          <w:b w:val="0"/>
          <w:bCs w:val="0"/>
          <w:color w:val="000000"/>
          <w:spacing w:val="0"/>
          <w:w w:val="100"/>
          <w:position w:val="0"/>
          <w:sz w:val="24"/>
          <w:szCs w:val="24"/>
        </w:rPr>
        <w:t>、应收账款</w:t>
      </w:r>
      <w:bookmarkEnd w:id="1315"/>
      <w:bookmarkEnd w:id="1316"/>
      <w:bookmarkEnd w:id="1317"/>
    </w:p>
    <w:p>
      <w:pPr>
        <w:pStyle w:val="Style44"/>
        <w:keepNext w:val="0"/>
        <w:keepLines w:val="0"/>
        <w:widowControl w:val="0"/>
        <w:pBdr>
          <w:bottom w:val="single" w:sz="4" w:space="0" w:color="auto"/>
        </w:pBdr>
        <w:shd w:val="clear" w:color="auto" w:fill="auto"/>
        <w:bidi w:val="0"/>
        <w:spacing w:before="0" w:after="200" w:line="468" w:lineRule="exact"/>
        <w:ind w:left="0" w:right="0" w:firstLine="5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）以摊余成本计量的应收账款</w:t>
      </w:r>
    </w:p>
    <w:p>
      <w:pPr>
        <w:pStyle w:val="Style38"/>
        <w:keepNext w:val="0"/>
        <w:keepLines w:val="0"/>
        <w:widowControl w:val="0"/>
        <w:shd w:val="clear" w:color="auto" w:fill="auto"/>
        <w:bidi w:val="0"/>
        <w:spacing w:before="0" w:after="0" w:line="240" w:lineRule="auto"/>
        <w:ind w:left="3883" w:right="0" w:firstLine="0"/>
        <w:jc w:val="left"/>
      </w:pPr>
      <w:r>
        <w:rPr>
          <w:rFonts w:ascii="Times New Roman" w:eastAsia="Times New Roman" w:hAnsi="Times New Roman" w:cs="Times New Roman"/>
          <w:b/>
          <w:bCs/>
          <w:color w:val="000000"/>
          <w:spacing w:val="0"/>
          <w:w w:val="100"/>
          <w:position w:val="0"/>
        </w:rPr>
        <w:t>2020.12.31</w:t>
      </w:r>
    </w:p>
    <w:tbl>
      <w:tblPr>
        <w:tblOverlap w:val="never"/>
        <w:jc w:val="center"/>
        <w:tblLayout w:type="fixed"/>
      </w:tblPr>
      <w:tblGrid>
        <w:gridCol w:w="2126"/>
        <w:gridCol w:w="2597"/>
        <w:gridCol w:w="2064"/>
        <w:gridCol w:w="2434"/>
      </w:tblGrid>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账面价值</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131,107,313.79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32,521,567.15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98,585,746.64</w:t>
            </w:r>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b/>
                <w:bCs/>
                <w:color w:val="000000"/>
                <w:spacing w:val="0"/>
                <w:w w:val="100"/>
                <w:position w:val="0"/>
              </w:rPr>
              <w:t>131,107,313.79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b/>
                <w:bCs/>
                <w:color w:val="000000"/>
                <w:spacing w:val="0"/>
                <w:w w:val="100"/>
                <w:position w:val="0"/>
              </w:rPr>
              <w:t>32,521,567.15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b/>
                <w:bCs/>
                <w:color w:val="000000"/>
                <w:spacing w:val="0"/>
                <w:w w:val="100"/>
                <w:position w:val="0"/>
              </w:rPr>
              <w:t>98,585,746.64</w:t>
            </w:r>
          </w:p>
        </w:tc>
      </w:tr>
    </w:tbl>
    <w:p>
      <w:pPr>
        <w:pStyle w:val="Style38"/>
        <w:keepNext w:val="0"/>
        <w:keepLines w:val="0"/>
        <w:widowControl w:val="0"/>
        <w:shd w:val="clear" w:color="auto" w:fill="auto"/>
        <w:bidi w:val="0"/>
        <w:spacing w:before="0" w:after="0" w:line="240" w:lineRule="auto"/>
        <w:ind w:left="672" w:right="0" w:firstLine="0"/>
        <w:jc w:val="left"/>
      </w:pPr>
      <w:r>
        <w:rPr>
          <w:color w:val="000000"/>
          <w:spacing w:val="0"/>
          <w:w w:val="100"/>
          <w:position w:val="0"/>
        </w:rPr>
        <w:t>续）</w:t>
      </w:r>
    </w:p>
    <w:p>
      <w:pPr>
        <w:pStyle w:val="Style38"/>
        <w:keepNext w:val="0"/>
        <w:keepLines w:val="0"/>
        <w:widowControl w:val="0"/>
        <w:shd w:val="clear" w:color="auto" w:fill="auto"/>
        <w:bidi w:val="0"/>
        <w:spacing w:before="0" w:after="180" w:line="240" w:lineRule="auto"/>
        <w:ind w:left="3005" w:right="0" w:firstLine="0"/>
        <w:jc w:val="left"/>
      </w:pPr>
      <w:r>
        <w:rPr>
          <w:rFonts w:ascii="Times New Roman" w:eastAsia="Times New Roman" w:hAnsi="Times New Roman" w:cs="Times New Roman"/>
          <w:b/>
          <w:bCs/>
          <w:color w:val="000000"/>
          <w:spacing w:val="0"/>
          <w:w w:val="100"/>
          <w:position w:val="0"/>
        </w:rPr>
        <w:t>2019.12.31</w:t>
      </w:r>
    </w:p>
    <w:p>
      <w:pPr>
        <w:pStyle w:val="Style38"/>
        <w:keepNext w:val="0"/>
        <w:keepLines w:val="0"/>
        <w:widowControl w:val="0"/>
        <w:shd w:val="clear" w:color="auto" w:fill="auto"/>
        <w:tabs>
          <w:tab w:pos="5323" w:val="left"/>
          <w:tab w:pos="7478" w:val="left"/>
        </w:tabs>
        <w:bidi w:val="0"/>
        <w:spacing w:before="0" w:after="0" w:line="240" w:lineRule="auto"/>
        <w:ind w:left="3005" w:right="0" w:firstLine="0"/>
        <w:jc w:val="left"/>
        <w:rPr>
          <w:sz w:val="20"/>
          <w:szCs w:val="20"/>
        </w:rPr>
      </w:pPr>
      <w:r>
        <w:rPr>
          <w:b/>
          <w:bCs/>
          <w:color w:val="000000"/>
          <w:spacing w:val="0"/>
          <w:w w:val="100"/>
          <w:position w:val="0"/>
          <w:sz w:val="20"/>
          <w:szCs w:val="20"/>
        </w:rPr>
        <w:t>账面余额</w:t>
        <w:tab/>
        <w:t>坏账准备</w:t>
        <w:tab/>
        <w:t>账面价值</w:t>
      </w:r>
      <w:r>
        <w:br w:type="page"/>
      </w:r>
    </w:p>
    <w:tbl>
      <w:tblPr>
        <w:tblOverlap w:val="never"/>
        <w:jc w:val="center"/>
        <w:tblLayout w:type="fixed"/>
      </w:tblPr>
      <w:tblGrid>
        <w:gridCol w:w="2126"/>
        <w:gridCol w:w="2602"/>
        <w:gridCol w:w="2059"/>
        <w:gridCol w:w="2434"/>
      </w:tblGrid>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160,827,604.88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32,772,749.97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128,054,854.91</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b/>
                <w:bCs/>
                <w:color w:val="000000"/>
                <w:spacing w:val="0"/>
                <w:w w:val="100"/>
                <w:position w:val="0"/>
              </w:rPr>
              <w:t>160,827,604.88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b/>
                <w:bCs/>
                <w:color w:val="000000"/>
                <w:spacing w:val="0"/>
                <w:w w:val="100"/>
                <w:position w:val="0"/>
              </w:rPr>
              <w:t>32,772,749.97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b/>
                <w:bCs/>
                <w:color w:val="000000"/>
                <w:spacing w:val="0"/>
                <w:w w:val="100"/>
                <w:position w:val="0"/>
              </w:rPr>
              <w:t>128,054,854.91</w:t>
            </w:r>
          </w:p>
        </w:tc>
      </w:tr>
    </w:tbl>
    <w:p>
      <w:pPr>
        <w:widowControl w:val="0"/>
        <w:spacing w:after="119" w:line="1" w:lineRule="exact"/>
      </w:pPr>
    </w:p>
    <w:p>
      <w:pPr>
        <w:pStyle w:val="Style4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w:t>
      </w:r>
      <w:r>
        <w:rPr>
          <w:color w:val="000000"/>
          <w:spacing w:val="0"/>
          <w:w w:val="100"/>
          <w:position w:val="0"/>
        </w:rPr>
        <w:t>）坏账准备</w:t>
      </w:r>
    </w:p>
    <w:p>
      <w:pPr>
        <w:pStyle w:val="Style44"/>
        <w:keepNext w:val="0"/>
        <w:keepLines w:val="0"/>
        <w:widowControl w:val="0"/>
        <w:shd w:val="clear" w:color="auto" w:fill="auto"/>
        <w:bidi w:val="0"/>
        <w:spacing w:before="0" w:after="120" w:line="475" w:lineRule="exact"/>
        <w:ind w:left="0" w:right="0" w:firstLine="600"/>
        <w:jc w:val="left"/>
      </w:pPr>
      <w:r>
        <w:rPr>
          <w:color w:val="000000"/>
          <w:spacing w:val="0"/>
          <w:w w:val="100"/>
          <w:position w:val="0"/>
        </w:rPr>
        <w:t>本公司对应收账款，无论是否存在重大融资成分，均按照整个存续期的预期信用损失计量损 失准备。</w:t>
      </w:r>
    </w:p>
    <w:tbl>
      <w:tblPr>
        <w:tblOverlap w:val="never"/>
        <w:jc w:val="center"/>
        <w:tblLayout w:type="fixed"/>
      </w:tblPr>
      <w:tblGrid>
        <w:gridCol w:w="1550"/>
        <w:gridCol w:w="1589"/>
        <w:gridCol w:w="1512"/>
        <w:gridCol w:w="1584"/>
        <w:gridCol w:w="1512"/>
        <w:gridCol w:w="1618"/>
      </w:tblGrid>
      <w:tr>
        <w:trPr>
          <w:trHeight w:val="317"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类别</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2020.12.31</w:t>
            </w:r>
          </w:p>
        </w:tc>
      </w:tr>
      <w:tr>
        <w:trPr>
          <w:trHeight w:val="336"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账面价值</w:t>
            </w:r>
          </w:p>
        </w:tc>
      </w:tr>
      <w:tr>
        <w:trPr>
          <w:trHeight w:val="336"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比例（</w:t>
            </w:r>
            <w:r>
              <w:rPr>
                <w:rFonts w:ascii="Times New Roman" w:eastAsia="Times New Roman" w:hAnsi="Times New Roman" w:cs="Times New Roman"/>
                <w:b/>
                <w:bCs/>
                <w:color w:val="000000"/>
                <w:spacing w:val="0"/>
                <w:w w:val="100"/>
                <w:position w:val="0"/>
                <w:sz w:val="22"/>
                <w:szCs w:val="22"/>
              </w:rPr>
              <w:t>%</w:t>
            </w:r>
            <w:r>
              <w:rPr>
                <w:b/>
                <w:bCs/>
                <w:color w:val="000000"/>
                <w:spacing w:val="0"/>
                <w:w w:val="100"/>
                <w:position w:val="0"/>
                <w:sz w:val="20"/>
                <w:szCs w:val="2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比例（</w:t>
            </w:r>
            <w:r>
              <w:rPr>
                <w:rFonts w:ascii="Times New Roman" w:eastAsia="Times New Roman" w:hAnsi="Times New Roman" w:cs="Times New Roman"/>
                <w:b/>
                <w:bCs/>
                <w:color w:val="000000"/>
                <w:spacing w:val="0"/>
                <w:w w:val="100"/>
                <w:position w:val="0"/>
                <w:sz w:val="22"/>
                <w:szCs w:val="22"/>
              </w:rPr>
              <w:t>%</w:t>
            </w:r>
            <w:r>
              <w:rPr>
                <w:b/>
                <w:bCs/>
                <w:color w:val="000000"/>
                <w:spacing w:val="0"/>
                <w:w w:val="100"/>
                <w:position w:val="0"/>
                <w:sz w:val="20"/>
                <w:szCs w:val="20"/>
              </w:rPr>
              <w:t>）</w:t>
            </w:r>
          </w:p>
        </w:tc>
        <w:tc>
          <w:tcPr>
            <w:vMerge/>
            <w:tcBorders>
              <w:left w:val="single" w:sz="4"/>
            </w:tcBorders>
            <w:shd w:val="clear" w:color="auto" w:fill="FFFFFF"/>
            <w:vAlign w:val="center"/>
          </w:tcPr>
          <w:p>
            <w:pPr/>
          </w:p>
        </w:tc>
      </w:tr>
      <w:tr>
        <w:trPr>
          <w:trHeight w:val="90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88" w:lineRule="exact"/>
              <w:ind w:left="140" w:right="0" w:firstLine="0"/>
              <w:jc w:val="left"/>
              <w:rPr>
                <w:sz w:val="20"/>
                <w:szCs w:val="20"/>
              </w:rPr>
            </w:pPr>
            <w:r>
              <w:rPr>
                <w:color w:val="000000"/>
                <w:spacing w:val="0"/>
                <w:w w:val="100"/>
                <w:position w:val="0"/>
                <w:sz w:val="20"/>
                <w:szCs w:val="20"/>
              </w:rPr>
              <w:t>按单项计提 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31,640,716.74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31,640,716.74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r>
      <w:tr>
        <w:trPr>
          <w:trHeight w:val="9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88" w:lineRule="exact"/>
              <w:ind w:left="140" w:right="0" w:firstLine="0"/>
              <w:jc w:val="left"/>
              <w:rPr>
                <w:sz w:val="20"/>
                <w:szCs w:val="20"/>
              </w:rPr>
            </w:pPr>
            <w:r>
              <w:rPr>
                <w:color w:val="000000"/>
                <w:spacing w:val="0"/>
                <w:w w:val="100"/>
                <w:position w:val="0"/>
                <w:sz w:val="20"/>
                <w:szCs w:val="20"/>
              </w:rPr>
              <w:t>按组合计提 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99,466,597.05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880,850.41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98,585,746.64</w:t>
            </w:r>
          </w:p>
        </w:tc>
      </w:tr>
      <w:tr>
        <w:trPr>
          <w:trHeight w:val="45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131,107,313.79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32,521,567.15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24.81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98,585,746.64</w:t>
            </w:r>
          </w:p>
        </w:tc>
      </w:tr>
    </w:tbl>
    <w:p>
      <w:pPr>
        <w:widowControl w:val="0"/>
        <w:spacing w:after="119" w:line="1" w:lineRule="exact"/>
      </w:pPr>
    </w:p>
    <w:p>
      <w:pPr>
        <w:pStyle w:val="Style44"/>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（续）</w:t>
      </w:r>
    </w:p>
    <w:tbl>
      <w:tblPr>
        <w:tblOverlap w:val="never"/>
        <w:jc w:val="center"/>
        <w:tblLayout w:type="fixed"/>
      </w:tblPr>
      <w:tblGrid>
        <w:gridCol w:w="1550"/>
        <w:gridCol w:w="1589"/>
        <w:gridCol w:w="1512"/>
        <w:gridCol w:w="1584"/>
        <w:gridCol w:w="1512"/>
        <w:gridCol w:w="1622"/>
      </w:tblGrid>
      <w:tr>
        <w:trPr>
          <w:trHeight w:val="317"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类别</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2019.12.31</w:t>
            </w:r>
          </w:p>
        </w:tc>
      </w:tr>
      <w:tr>
        <w:trPr>
          <w:trHeight w:val="336"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账面价值</w:t>
            </w:r>
          </w:p>
        </w:tc>
      </w:tr>
      <w:tr>
        <w:trPr>
          <w:trHeight w:val="336"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比例（</w:t>
            </w:r>
            <w:r>
              <w:rPr>
                <w:rFonts w:ascii="Times New Roman" w:eastAsia="Times New Roman" w:hAnsi="Times New Roman" w:cs="Times New Roman"/>
                <w:b/>
                <w:bCs/>
                <w:color w:val="000000"/>
                <w:spacing w:val="0"/>
                <w:w w:val="100"/>
                <w:position w:val="0"/>
                <w:sz w:val="22"/>
                <w:szCs w:val="22"/>
              </w:rPr>
              <w:t>%</w:t>
            </w:r>
            <w:r>
              <w:rPr>
                <w:b/>
                <w:bCs/>
                <w:color w:val="000000"/>
                <w:spacing w:val="0"/>
                <w:w w:val="100"/>
                <w:position w:val="0"/>
                <w:sz w:val="20"/>
                <w:szCs w:val="2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比例（</w:t>
            </w:r>
            <w:r>
              <w:rPr>
                <w:rFonts w:ascii="Times New Roman" w:eastAsia="Times New Roman" w:hAnsi="Times New Roman" w:cs="Times New Roman"/>
                <w:b/>
                <w:bCs/>
                <w:color w:val="000000"/>
                <w:spacing w:val="0"/>
                <w:w w:val="100"/>
                <w:position w:val="0"/>
                <w:sz w:val="22"/>
                <w:szCs w:val="22"/>
              </w:rPr>
              <w:t>%</w:t>
            </w:r>
            <w:r>
              <w:rPr>
                <w:b/>
                <w:bCs/>
                <w:color w:val="000000"/>
                <w:spacing w:val="0"/>
                <w:w w:val="100"/>
                <w:position w:val="0"/>
                <w:sz w:val="20"/>
                <w:szCs w:val="20"/>
              </w:rPr>
              <w:t>）</w:t>
            </w:r>
          </w:p>
        </w:tc>
        <w:tc>
          <w:tcPr>
            <w:vMerge/>
            <w:tcBorders>
              <w:left w:val="single" w:sz="4"/>
            </w:tcBorders>
            <w:shd w:val="clear" w:color="auto" w:fill="FFFFFF"/>
            <w:vAlign w:val="center"/>
          </w:tcPr>
          <w:p>
            <w:pPr/>
          </w:p>
        </w:tc>
      </w:tr>
      <w:tr>
        <w:trPr>
          <w:trHeight w:val="90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88" w:lineRule="exact"/>
              <w:ind w:left="140" w:right="0" w:firstLine="0"/>
              <w:jc w:val="left"/>
              <w:rPr>
                <w:sz w:val="20"/>
                <w:szCs w:val="20"/>
              </w:rPr>
            </w:pPr>
            <w:r>
              <w:rPr>
                <w:color w:val="000000"/>
                <w:spacing w:val="0"/>
                <w:w w:val="100"/>
                <w:position w:val="0"/>
                <w:sz w:val="20"/>
                <w:szCs w:val="20"/>
              </w:rPr>
              <w:t>按单项计提 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31,710,249.22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31,710,249.22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r>
      <w:tr>
        <w:trPr>
          <w:trHeight w:val="9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88" w:lineRule="exact"/>
              <w:ind w:left="140" w:right="0" w:firstLine="0"/>
              <w:jc w:val="left"/>
              <w:rPr>
                <w:sz w:val="20"/>
                <w:szCs w:val="20"/>
              </w:rPr>
            </w:pPr>
            <w:r>
              <w:rPr>
                <w:color w:val="000000"/>
                <w:spacing w:val="0"/>
                <w:w w:val="100"/>
                <w:position w:val="0"/>
                <w:sz w:val="20"/>
                <w:szCs w:val="20"/>
              </w:rPr>
              <w:t>按组合计提 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129,117,355.66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1,062,500.75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128,054,854.91</w:t>
            </w:r>
          </w:p>
        </w:tc>
      </w:tr>
      <w:tr>
        <w:trPr>
          <w:trHeight w:val="45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160,827,604.88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32,772,749.97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b/>
                <w:bCs/>
                <w:color w:val="000000"/>
                <w:spacing w:val="0"/>
                <w:w w:val="100"/>
                <w:position w:val="0"/>
              </w:rPr>
              <w:t>20.38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128,054,854.91</w:t>
            </w:r>
          </w:p>
        </w:tc>
      </w:tr>
    </w:tbl>
    <w:p>
      <w:pPr>
        <w:widowControl w:val="0"/>
        <w:spacing w:after="119" w:line="1" w:lineRule="exact"/>
      </w:pPr>
    </w:p>
    <w:p>
      <w:pPr>
        <w:pStyle w:val="Style44"/>
        <w:keepNext w:val="0"/>
        <w:keepLines w:val="0"/>
        <w:widowControl w:val="0"/>
        <w:shd w:val="clear" w:color="auto" w:fill="auto"/>
        <w:bidi w:val="0"/>
        <w:spacing w:before="0" w:after="120" w:line="240" w:lineRule="auto"/>
        <w:ind w:left="0" w:right="0" w:firstLine="600"/>
        <w:jc w:val="left"/>
      </w:pPr>
      <w:r>
        <w:rPr>
          <w:color w:val="000000"/>
          <w:spacing w:val="0"/>
          <w:w w:val="100"/>
          <w:position w:val="0"/>
        </w:rPr>
        <w:t>①</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日，单项计提坏账准备:</w:t>
      </w:r>
    </w:p>
    <w:tbl>
      <w:tblPr>
        <w:tblOverlap w:val="never"/>
        <w:jc w:val="center"/>
        <w:tblLayout w:type="fixed"/>
      </w:tblPr>
      <w:tblGrid>
        <w:gridCol w:w="2314"/>
        <w:gridCol w:w="1843"/>
        <w:gridCol w:w="1843"/>
        <w:gridCol w:w="1560"/>
        <w:gridCol w:w="1790"/>
      </w:tblGrid>
      <w:tr>
        <w:trPr>
          <w:trHeight w:val="62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center"/>
            </w:pPr>
            <w:r>
              <w:rPr>
                <w:b/>
                <w:bCs/>
                <w:color w:val="000000"/>
                <w:spacing w:val="0"/>
                <w:w w:val="100"/>
                <w:position w:val="0"/>
                <w:sz w:val="20"/>
                <w:szCs w:val="20"/>
              </w:rPr>
              <w:t>整个存续期预期 信用损失率</w:t>
            </w:r>
            <w:r>
              <w:rPr>
                <w:b/>
                <w:b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理由</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22,678,028.87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22,678,028.87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预计无法收回</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5,899,208.85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5,899,208.85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预计无法收回</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1,984,789.99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1,984,789.99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预计无法收回</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1,078,689.03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1,078,689.03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预计无法收回</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bCs/>
                <w:color w:val="000000"/>
                <w:spacing w:val="0"/>
                <w:w w:val="100"/>
                <w:position w:val="0"/>
              </w:rPr>
              <w:t>31,640,716.74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31,640,716.74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r>
    </w:tbl>
    <w:p>
      <w:pPr>
        <w:widowControl w:val="0"/>
        <w:spacing w:after="119" w:line="1" w:lineRule="exact"/>
      </w:pPr>
    </w:p>
    <w:p>
      <w:pPr>
        <w:pStyle w:val="Style44"/>
        <w:keepNext w:val="0"/>
        <w:keepLines w:val="0"/>
        <w:widowControl w:val="0"/>
        <w:shd w:val="clear" w:color="auto" w:fill="auto"/>
        <w:bidi w:val="0"/>
        <w:spacing w:before="0" w:after="240" w:line="240" w:lineRule="auto"/>
        <w:ind w:left="0" w:right="0" w:firstLine="600"/>
        <w:jc w:val="left"/>
      </w:pPr>
      <w:r>
        <w:rPr>
          <w:color w:val="000000"/>
          <w:spacing w:val="0"/>
          <w:w w:val="100"/>
          <w:position w:val="0"/>
        </w:rPr>
        <w:t>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日，组合计提坏账准备:</w:t>
      </w:r>
    </w:p>
    <w:p>
      <w:pPr>
        <w:pStyle w:val="Style44"/>
        <w:keepNext w:val="0"/>
        <w:keepLines w:val="0"/>
        <w:widowControl w:val="0"/>
        <w:shd w:val="clear" w:color="auto" w:fill="auto"/>
        <w:bidi w:val="0"/>
        <w:spacing w:before="0" w:after="120" w:line="240" w:lineRule="auto"/>
        <w:ind w:left="0" w:right="0" w:firstLine="600"/>
        <w:jc w:val="left"/>
      </w:pPr>
      <w:r>
        <w:rPr>
          <w:color w:val="000000"/>
          <w:spacing w:val="0"/>
          <w:w w:val="100"/>
          <w:position w:val="0"/>
        </w:rPr>
        <w:t>组合——组合</w:t>
      </w:r>
      <w:r>
        <w:rPr>
          <w:rFonts w:ascii="Times New Roman" w:eastAsia="Times New Roman" w:hAnsi="Times New Roman" w:cs="Times New Roman"/>
          <w:color w:val="000000"/>
          <w:spacing w:val="0"/>
          <w:w w:val="100"/>
          <w:position w:val="0"/>
        </w:rPr>
        <w:t>1</w:t>
      </w:r>
      <w:r>
        <w:br w:type="page"/>
      </w:r>
    </w:p>
    <w:tbl>
      <w:tblPr>
        <w:tblOverlap w:val="never"/>
        <w:jc w:val="center"/>
        <w:tblLayout w:type="fixed"/>
      </w:tblPr>
      <w:tblGrid>
        <w:gridCol w:w="2174"/>
        <w:gridCol w:w="2410"/>
        <w:gridCol w:w="3154"/>
        <w:gridCol w:w="1416"/>
      </w:tblGrid>
      <w:tr>
        <w:trPr>
          <w:trHeight w:val="62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0"/>
                <w:szCs w:val="20"/>
              </w:rPr>
              <w:t>整个存续期预期信用损失率</w:t>
            </w:r>
            <w:r>
              <w:rPr>
                <w:b/>
                <w:b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r>
      <w:tr>
        <w:trPr>
          <w:trHeight w:val="61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合并内关联方款项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36,505,424.79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44"/>
        <w:keepNext w:val="0"/>
        <w:keepLines w:val="0"/>
        <w:widowControl w:val="0"/>
        <w:shd w:val="clear" w:color="auto" w:fill="auto"/>
        <w:bidi w:val="0"/>
        <w:spacing w:before="0" w:after="140" w:line="240" w:lineRule="auto"/>
        <w:ind w:left="0" w:right="0" w:firstLine="640"/>
        <w:jc w:val="left"/>
      </w:pPr>
      <w:r>
        <w:rPr>
          <w:color w:val="000000"/>
          <w:spacing w:val="0"/>
          <w:w w:val="100"/>
          <w:position w:val="0"/>
        </w:rPr>
        <w:t>组合——组合</w:t>
      </w:r>
      <w:r>
        <w:rPr>
          <w:rFonts w:ascii="Times New Roman" w:eastAsia="Times New Roman" w:hAnsi="Times New Roman" w:cs="Times New Roman"/>
          <w:color w:val="000000"/>
          <w:spacing w:val="0"/>
          <w:w w:val="100"/>
          <w:position w:val="0"/>
        </w:rPr>
        <w:t>2</w:t>
      </w:r>
    </w:p>
    <w:tbl>
      <w:tblPr>
        <w:tblOverlap w:val="never"/>
        <w:jc w:val="center"/>
        <w:tblLayout w:type="fixed"/>
      </w:tblPr>
      <w:tblGrid>
        <w:gridCol w:w="1781"/>
        <w:gridCol w:w="1987"/>
        <w:gridCol w:w="3115"/>
        <w:gridCol w:w="2270"/>
      </w:tblGrid>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0"/>
                <w:szCs w:val="20"/>
              </w:rPr>
              <w:t>整个存续期预期信用损失率</w:t>
            </w:r>
            <w:r>
              <w:rPr>
                <w:b/>
                <w:b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60,826,158.95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608,261.59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1,471,660.72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73,583.04</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663,352.59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199,005.78</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b/>
                <w:bCs/>
                <w:color w:val="000000"/>
                <w:spacing w:val="0"/>
                <w:w w:val="100"/>
                <w:position w:val="0"/>
              </w:rPr>
              <w:t>62,961,172.26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b/>
                <w:bCs/>
                <w:color w:val="000000"/>
                <w:spacing w:val="0"/>
                <w:w w:val="100"/>
                <w:position w:val="0"/>
              </w:rPr>
              <w:t>880,850.41</w:t>
            </w:r>
          </w:p>
        </w:tc>
      </w:tr>
    </w:tbl>
    <w:p>
      <w:pPr>
        <w:widowControl w:val="0"/>
        <w:spacing w:after="139" w:line="1" w:lineRule="exact"/>
      </w:pPr>
    </w:p>
    <w:p>
      <w:pPr>
        <w:pStyle w:val="Style44"/>
        <w:keepNext w:val="0"/>
        <w:keepLines w:val="0"/>
        <w:widowControl w:val="0"/>
        <w:shd w:val="clear" w:color="auto" w:fill="auto"/>
        <w:bidi w:val="0"/>
        <w:spacing w:before="0" w:after="140" w:line="240" w:lineRule="auto"/>
        <w:ind w:left="0" w:right="0" w:firstLine="640"/>
        <w:jc w:val="left"/>
      </w:pPr>
      <w:r>
        <w:rPr>
          <w:color w:val="000000"/>
          <w:spacing w:val="0"/>
          <w:w w:val="100"/>
          <w:position w:val="0"/>
        </w:rPr>
        <w:t>③坏账准备的变动</w:t>
      </w:r>
    </w:p>
    <w:tbl>
      <w:tblPr>
        <w:tblOverlap w:val="never"/>
        <w:jc w:val="center"/>
        <w:tblLayout w:type="fixed"/>
      </w:tblPr>
      <w:tblGrid>
        <w:gridCol w:w="1560"/>
        <w:gridCol w:w="1944"/>
        <w:gridCol w:w="1728"/>
        <w:gridCol w:w="1531"/>
        <w:gridCol w:w="1474"/>
        <w:gridCol w:w="1762"/>
      </w:tblGrid>
      <w:tr>
        <w:trPr>
          <w:trHeight w:val="52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2020.01.01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本期增加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本期减少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bCs/>
                <w:color w:val="000000"/>
                <w:spacing w:val="0"/>
                <w:w w:val="100"/>
                <w:position w:val="0"/>
              </w:rPr>
              <w:t>2020.12.31</w:t>
            </w:r>
          </w:p>
        </w:tc>
      </w:tr>
      <w:tr>
        <w:trPr>
          <w:trHeight w:val="427"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转销或核销</w:t>
            </w:r>
          </w:p>
        </w:tc>
        <w:tc>
          <w:tcPr>
            <w:vMerge/>
            <w:tcBorders>
              <w:left w:val="single" w:sz="4"/>
            </w:tcBorders>
            <w:shd w:val="clear" w:color="auto" w:fill="FFFFFF"/>
            <w:vAlign w:val="center"/>
          </w:tcPr>
          <w:p>
            <w:pPr/>
          </w:p>
        </w:tc>
      </w:tr>
      <w:tr>
        <w:trPr>
          <w:trHeight w:val="73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应收账款 坏账准备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32,772,749.97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79,976.94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171,205.88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32,521,567.15</w:t>
            </w:r>
          </w:p>
        </w:tc>
      </w:tr>
    </w:tbl>
    <w:p>
      <w:pPr>
        <w:widowControl w:val="0"/>
        <w:spacing w:after="139" w:line="1" w:lineRule="exact"/>
      </w:pPr>
    </w:p>
    <w:p>
      <w:pPr>
        <w:pStyle w:val="Style44"/>
        <w:keepNext w:val="0"/>
        <w:keepLines w:val="0"/>
        <w:widowControl w:val="0"/>
        <w:shd w:val="clear" w:color="auto" w:fill="auto"/>
        <w:bidi w:val="0"/>
        <w:spacing w:before="0" w:after="140" w:line="240" w:lineRule="auto"/>
        <w:ind w:left="0" w:right="0" w:firstLine="780"/>
        <w:jc w:val="left"/>
      </w:pPr>
      <w:bookmarkStart w:id="1318" w:name="bookmark1318"/>
      <w:r>
        <w:rPr>
          <w:color w:val="000000"/>
          <w:spacing w:val="0"/>
          <w:w w:val="100"/>
          <w:position w:val="0"/>
        </w:rPr>
        <w:t>（</w:t>
      </w:r>
      <w:bookmarkEnd w:id="1318"/>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p>
    <w:tbl>
      <w:tblPr>
        <w:tblOverlap w:val="never"/>
        <w:jc w:val="center"/>
        <w:tblLayout w:type="fixed"/>
      </w:tblPr>
      <w:tblGrid>
        <w:gridCol w:w="2318"/>
        <w:gridCol w:w="1843"/>
        <w:gridCol w:w="1416"/>
        <w:gridCol w:w="1843"/>
        <w:gridCol w:w="2050"/>
      </w:tblGrid>
      <w:tr>
        <w:trPr>
          <w:trHeight w:val="69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b/>
                <w:bCs/>
                <w:color w:val="000000"/>
                <w:spacing w:val="0"/>
                <w:w w:val="100"/>
                <w:position w:val="0"/>
                <w:sz w:val="20"/>
                <w:szCs w:val="20"/>
              </w:rPr>
              <w:t>占应收账款总额 的比例（</w:t>
            </w:r>
            <w:r>
              <w:rPr>
                <w:rFonts w:ascii="Times New Roman" w:eastAsia="Times New Roman" w:hAnsi="Times New Roman" w:cs="Times New Roman"/>
                <w:b/>
                <w:bCs/>
                <w:color w:val="000000"/>
                <w:spacing w:val="0"/>
                <w:w w:val="100"/>
                <w:position w:val="0"/>
                <w:sz w:val="22"/>
                <w:szCs w:val="22"/>
              </w:rPr>
              <w:t>%</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坏账准备期末余额</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35,934,496.04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27.19</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22,678,028.87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年</w:t>
            </w:r>
          </w:p>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22,678,028.87</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13,448,413.00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134,484.13</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9,355,700.00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93,557.00</w:t>
            </w: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9,176,167.31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91,761.67</w:t>
            </w:r>
          </w:p>
        </w:tc>
      </w:tr>
      <w:tr>
        <w:trPr>
          <w:trHeight w:val="41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bCs/>
                <w:color w:val="000000"/>
                <w:spacing w:val="0"/>
                <w:w w:val="100"/>
                <w:position w:val="0"/>
              </w:rPr>
              <w:t>90,592,805.22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b/>
                <w:bCs/>
                <w:color w:val="000000"/>
                <w:spacing w:val="0"/>
                <w:w w:val="100"/>
                <w:position w:val="0"/>
              </w:rPr>
              <w:t>68.54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b/>
                <w:bCs/>
                <w:color w:val="000000"/>
                <w:spacing w:val="0"/>
                <w:w w:val="100"/>
                <w:position w:val="0"/>
              </w:rPr>
              <w:t>22,997,831.67</w:t>
            </w:r>
          </w:p>
        </w:tc>
      </w:tr>
    </w:tbl>
    <w:p>
      <w:pPr>
        <w:widowControl w:val="0"/>
        <w:spacing w:after="299" w:line="1" w:lineRule="exact"/>
      </w:pPr>
    </w:p>
    <w:p>
      <w:pPr>
        <w:pStyle w:val="Style52"/>
        <w:keepNext/>
        <w:keepLines/>
        <w:widowControl w:val="0"/>
        <w:shd w:val="clear" w:color="auto" w:fill="auto"/>
        <w:bidi w:val="0"/>
        <w:spacing w:before="0" w:line="240" w:lineRule="auto"/>
        <w:ind w:left="0" w:right="0" w:firstLine="0"/>
        <w:jc w:val="left"/>
        <w:rPr>
          <w:sz w:val="24"/>
          <w:szCs w:val="24"/>
        </w:rPr>
      </w:pPr>
      <w:bookmarkStart w:id="1319" w:name="bookmark1319"/>
      <w:bookmarkStart w:id="1320" w:name="bookmark1320"/>
      <w:bookmarkStart w:id="1321" w:name="bookmark1321"/>
      <w:r>
        <w:rPr>
          <w:rFonts w:ascii="Times New Roman" w:eastAsia="Times New Roman" w:hAnsi="Times New Roman" w:cs="Times New Roman"/>
          <w:b w:val="0"/>
          <w:bCs w:val="0"/>
          <w:color w:val="000000"/>
          <w:spacing w:val="0"/>
          <w:w w:val="100"/>
          <w:position w:val="0"/>
          <w:sz w:val="24"/>
          <w:szCs w:val="24"/>
        </w:rPr>
        <w:t>2</w:t>
      </w:r>
      <w:r>
        <w:rPr>
          <w:b w:val="0"/>
          <w:bCs w:val="0"/>
          <w:color w:val="000000"/>
          <w:spacing w:val="0"/>
          <w:w w:val="100"/>
          <w:position w:val="0"/>
          <w:sz w:val="24"/>
          <w:szCs w:val="24"/>
        </w:rPr>
        <w:t>、其他应收款</w:t>
      </w:r>
      <w:bookmarkEnd w:id="1319"/>
      <w:bookmarkEnd w:id="1320"/>
      <w:bookmarkEnd w:id="1321"/>
    </w:p>
    <w:tbl>
      <w:tblPr>
        <w:tblOverlap w:val="never"/>
        <w:jc w:val="center"/>
        <w:tblLayout w:type="fixed"/>
      </w:tblPr>
      <w:tblGrid>
        <w:gridCol w:w="4166"/>
        <w:gridCol w:w="2688"/>
        <w:gridCol w:w="2453"/>
      </w:tblGrid>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2020.12.31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2019.12.31</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774,332,763.30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855,427,062.11</w:t>
            </w:r>
          </w:p>
        </w:tc>
      </w:tr>
      <w:tr>
        <w:trPr>
          <w:trHeight w:val="475"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b/>
                <w:bCs/>
                <w:color w:val="000000"/>
                <w:spacing w:val="0"/>
                <w:w w:val="100"/>
                <w:position w:val="0"/>
              </w:rPr>
              <w:t>774,332,763.30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b/>
                <w:bCs/>
                <w:color w:val="000000"/>
                <w:spacing w:val="0"/>
                <w:w w:val="100"/>
                <w:position w:val="0"/>
              </w:rPr>
              <w:t>855,427,062.11</w:t>
            </w:r>
          </w:p>
        </w:tc>
      </w:tr>
    </w:tbl>
    <w:p>
      <w:pPr>
        <w:spacing w:lineRule="exact" w:line="1"/>
        <w:rPr>
          <w:sz w:val="2"/>
          <w:szCs w:val="2"/>
        </w:rPr>
      </w:pPr>
      <w:r>
        <w:br w:type="page"/>
      </w:r>
    </w:p>
    <w:p>
      <w:pPr>
        <w:pStyle w:val="Style44"/>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其他应收款情况</w:t>
      </w:r>
    </w:p>
    <w:tbl>
      <w:tblPr>
        <w:tblOverlap w:val="never"/>
        <w:jc w:val="center"/>
        <w:tblLayout w:type="fixed"/>
      </w:tblPr>
      <w:tblGrid>
        <w:gridCol w:w="2362"/>
        <w:gridCol w:w="2366"/>
        <w:gridCol w:w="2194"/>
        <w:gridCol w:w="2381"/>
      </w:tblGrid>
      <w:tr>
        <w:trPr>
          <w:trHeight w:val="466"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40" w:right="0" w:firstLine="0"/>
              <w:jc w:val="left"/>
            </w:pPr>
            <w:r>
              <w:rPr>
                <w:rFonts w:ascii="Times New Roman" w:eastAsia="Times New Roman" w:hAnsi="Times New Roman" w:cs="Times New Roman"/>
                <w:b/>
                <w:bCs/>
                <w:color w:val="000000"/>
                <w:spacing w:val="0"/>
                <w:w w:val="100"/>
                <w:position w:val="0"/>
              </w:rPr>
              <w:t>2020.12.31</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账面价值</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1,274,372,624.43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500,039,861.13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774,332,763.30</w:t>
            </w: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b/>
                <w:bCs/>
                <w:color w:val="000000"/>
                <w:spacing w:val="0"/>
                <w:w w:val="100"/>
                <w:position w:val="0"/>
              </w:rPr>
              <w:t>1,274,372,624.43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b/>
                <w:bCs/>
                <w:color w:val="000000"/>
                <w:spacing w:val="0"/>
                <w:w w:val="100"/>
                <w:position w:val="0"/>
              </w:rPr>
              <w:t>500,039,861.13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b/>
                <w:bCs/>
                <w:color w:val="000000"/>
                <w:spacing w:val="0"/>
                <w:w w:val="100"/>
                <w:position w:val="0"/>
              </w:rPr>
              <w:t>774,332,763.30</w:t>
            </w:r>
          </w:p>
        </w:tc>
      </w:tr>
    </w:tbl>
    <w:p>
      <w:pPr>
        <w:widowControl w:val="0"/>
        <w:spacing w:after="139" w:line="1" w:lineRule="exact"/>
      </w:pPr>
    </w:p>
    <w:p>
      <w:pPr>
        <w:pStyle w:val="Style44"/>
        <w:keepNext w:val="0"/>
        <w:keepLines w:val="0"/>
        <w:widowControl w:val="0"/>
        <w:shd w:val="clear" w:color="auto" w:fill="auto"/>
        <w:bidi w:val="0"/>
        <w:spacing w:before="0" w:after="140" w:line="240" w:lineRule="auto"/>
        <w:ind w:left="0" w:right="0" w:firstLine="640"/>
        <w:jc w:val="left"/>
      </w:pPr>
      <w:r>
        <w:rPr>
          <w:color w:val="000000"/>
          <w:spacing w:val="0"/>
          <w:w w:val="100"/>
          <w:position w:val="0"/>
        </w:rPr>
        <w:t>（续）</w:t>
      </w:r>
    </w:p>
    <w:tbl>
      <w:tblPr>
        <w:tblOverlap w:val="never"/>
        <w:jc w:val="center"/>
        <w:tblLayout w:type="fixed"/>
      </w:tblPr>
      <w:tblGrid>
        <w:gridCol w:w="2362"/>
        <w:gridCol w:w="2366"/>
        <w:gridCol w:w="2194"/>
        <w:gridCol w:w="2381"/>
      </w:tblGrid>
      <w:tr>
        <w:trPr>
          <w:trHeight w:val="470"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40" w:right="0" w:firstLine="0"/>
              <w:jc w:val="left"/>
            </w:pPr>
            <w:r>
              <w:rPr>
                <w:rFonts w:ascii="Times New Roman" w:eastAsia="Times New Roman" w:hAnsi="Times New Roman" w:cs="Times New Roman"/>
                <w:b/>
                <w:bCs/>
                <w:color w:val="000000"/>
                <w:spacing w:val="0"/>
                <w:w w:val="100"/>
                <w:position w:val="0"/>
              </w:rPr>
              <w:t>2019.12.31</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账面价值</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1,355,592,863.83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500,165,801.72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855,427,062.11</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b/>
                <w:bCs/>
                <w:color w:val="000000"/>
                <w:spacing w:val="0"/>
                <w:w w:val="100"/>
                <w:position w:val="0"/>
              </w:rPr>
              <w:t>1,355,592,863.83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b/>
                <w:bCs/>
                <w:color w:val="000000"/>
                <w:spacing w:val="0"/>
                <w:w w:val="100"/>
                <w:position w:val="0"/>
              </w:rPr>
              <w:t>500,165,801.72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b/>
                <w:bCs/>
                <w:color w:val="000000"/>
                <w:spacing w:val="0"/>
                <w:w w:val="100"/>
                <w:position w:val="0"/>
              </w:rPr>
              <w:t>855,427,062.11</w:t>
            </w:r>
          </w:p>
        </w:tc>
      </w:tr>
    </w:tbl>
    <w:p>
      <w:pPr>
        <w:widowControl w:val="0"/>
        <w:spacing w:after="139" w:line="1" w:lineRule="exact"/>
      </w:pPr>
    </w:p>
    <w:p>
      <w:pPr>
        <w:pStyle w:val="Style44"/>
        <w:keepNext w:val="0"/>
        <w:keepLines w:val="0"/>
        <w:widowControl w:val="0"/>
        <w:shd w:val="clear" w:color="auto" w:fill="auto"/>
        <w:bidi w:val="0"/>
        <w:spacing w:before="0" w:after="240" w:line="240" w:lineRule="auto"/>
        <w:ind w:left="0" w:right="0" w:firstLine="520"/>
        <w:jc w:val="left"/>
      </w:pPr>
      <w:r>
        <w:rPr>
          <w:color w:val="000000"/>
          <w:spacing w:val="0"/>
          <w:w w:val="100"/>
          <w:position w:val="0"/>
        </w:rPr>
        <w:t>①坏账准备</w:t>
      </w:r>
    </w:p>
    <w:p>
      <w:pPr>
        <w:pStyle w:val="Style44"/>
        <w:keepNext w:val="0"/>
        <w:keepLines w:val="0"/>
        <w:widowControl w:val="0"/>
        <w:shd w:val="clear" w:color="auto" w:fill="auto"/>
        <w:bidi w:val="0"/>
        <w:spacing w:before="0" w:after="140" w:line="240" w:lineRule="auto"/>
        <w:ind w:left="0" w:right="0" w:firstLine="520"/>
        <w:jc w:val="left"/>
      </w:pPr>
      <w:r>
        <w:rPr>
          <w:rFonts w:ascii="Times New Roman" w:eastAsia="Times New Roman" w:hAnsi="Times New Roman" w:cs="Times New Roman"/>
          <w:color w:val="000000"/>
          <w:spacing w:val="0"/>
          <w:w w:val="100"/>
          <w:position w:val="0"/>
        </w:rPr>
        <w:t xml:space="preserve">A.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日，处于第一阶段的其他应收款坏账准备如下:</w:t>
      </w:r>
    </w:p>
    <w:tbl>
      <w:tblPr>
        <w:tblOverlap w:val="never"/>
        <w:jc w:val="left"/>
        <w:tblLayout w:type="fixed"/>
      </w:tblPr>
      <w:tblGrid>
        <w:gridCol w:w="2030"/>
        <w:gridCol w:w="1843"/>
        <w:gridCol w:w="2693"/>
        <w:gridCol w:w="1277"/>
        <w:gridCol w:w="1022"/>
      </w:tblGrid>
      <w:tr>
        <w:trPr>
          <w:trHeight w:val="5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sz w:val="20"/>
                <w:szCs w:val="20"/>
              </w:rPr>
              <w:t>未来</w:t>
            </w:r>
            <w:r>
              <w:rPr>
                <w:rFonts w:ascii="Times New Roman" w:eastAsia="Times New Roman" w:hAnsi="Times New Roman" w:cs="Times New Roman"/>
                <w:b/>
                <w:bCs/>
                <w:color w:val="000000"/>
                <w:spacing w:val="0"/>
                <w:w w:val="100"/>
                <w:position w:val="0"/>
              </w:rPr>
              <w:t>12</w:t>
            </w:r>
            <w:r>
              <w:rPr>
                <w:b/>
                <w:bCs/>
                <w:color w:val="000000"/>
                <w:spacing w:val="0"/>
                <w:w w:val="100"/>
                <w:position w:val="0"/>
                <w:sz w:val="20"/>
                <w:szCs w:val="20"/>
              </w:rPr>
              <w:t>月内预期信用 损失率</w:t>
            </w:r>
            <w:r>
              <w:rPr>
                <w:b/>
                <w:b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理由</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770,799,201.42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w:t>
            </w:r>
          </w:p>
        </w:tc>
      </w:tr>
      <w:tr>
        <w:trPr>
          <w:trHeight w:val="46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2,295,318.54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27,080.08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w:t>
            </w:r>
          </w:p>
        </w:tc>
      </w:tr>
      <w:tr>
        <w:trPr>
          <w:trHeight w:val="46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1,278,104.47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12,781.05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w:t>
            </w:r>
          </w:p>
        </w:tc>
      </w:tr>
      <w:tr>
        <w:trPr>
          <w:trHeight w:val="47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rPr>
              <w:t>774,372,624.43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0.01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39,861.13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w:t>
            </w:r>
          </w:p>
        </w:tc>
      </w:tr>
    </w:tbl>
    <w:p>
      <w:pPr>
        <w:widowControl w:val="0"/>
        <w:spacing w:after="139" w:line="1" w:lineRule="exact"/>
      </w:pPr>
    </w:p>
    <w:p>
      <w:pPr>
        <w:pStyle w:val="Style44"/>
        <w:keepNext w:val="0"/>
        <w:keepLines w:val="0"/>
        <w:widowControl w:val="0"/>
        <w:shd w:val="clear" w:color="auto" w:fill="auto"/>
        <w:tabs>
          <w:tab w:pos="941" w:val="left"/>
        </w:tabs>
        <w:bidi w:val="0"/>
        <w:spacing w:before="0" w:after="140" w:line="240" w:lineRule="auto"/>
        <w:ind w:left="0" w:right="0" w:firstLine="520"/>
        <w:jc w:val="left"/>
      </w:pPr>
      <w:r>
        <w:rPr>
          <w:rFonts w:ascii="Times New Roman" w:eastAsia="Times New Roman" w:hAnsi="Times New Roman" w:cs="Times New Roman"/>
          <w:color w:val="000000"/>
          <w:spacing w:val="0"/>
          <w:w w:val="100"/>
          <w:position w:val="0"/>
        </w:rPr>
        <w:t>B</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日，处于第三阶段的其他应收款坏账准备如下:</w:t>
      </w:r>
    </w:p>
    <w:tbl>
      <w:tblPr>
        <w:tblOverlap w:val="never"/>
        <w:jc w:val="center"/>
        <w:tblLayout w:type="fixed"/>
      </w:tblPr>
      <w:tblGrid>
        <w:gridCol w:w="2016"/>
        <w:gridCol w:w="1699"/>
        <w:gridCol w:w="2270"/>
        <w:gridCol w:w="1699"/>
        <w:gridCol w:w="1594"/>
      </w:tblGrid>
      <w:tr>
        <w:trPr>
          <w:trHeight w:val="5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center"/>
            </w:pPr>
            <w:r>
              <w:rPr>
                <w:b/>
                <w:bCs/>
                <w:color w:val="000000"/>
                <w:spacing w:val="0"/>
                <w:w w:val="100"/>
                <w:position w:val="0"/>
                <w:sz w:val="20"/>
                <w:szCs w:val="20"/>
              </w:rPr>
              <w:t>整个存续期预期信用 损失率</w:t>
            </w:r>
            <w:r>
              <w:rPr>
                <w:b/>
                <w:b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理由</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单项计提：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2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深圳前海国民投 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预计无法收回</w:t>
            </w:r>
          </w:p>
        </w:tc>
      </w:tr>
      <w:tr>
        <w:trPr>
          <w:trHeight w:val="475"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500,000,000.00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500,000,000.00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r>
    </w:tbl>
    <w:p>
      <w:pPr>
        <w:widowControl w:val="0"/>
        <w:spacing w:after="139" w:line="1" w:lineRule="exact"/>
      </w:pPr>
    </w:p>
    <w:p>
      <w:pPr>
        <w:pStyle w:val="Style44"/>
        <w:keepNext w:val="0"/>
        <w:keepLines w:val="0"/>
        <w:widowControl w:val="0"/>
        <w:numPr>
          <w:ilvl w:val="0"/>
          <w:numId w:val="69"/>
        </w:numPr>
        <w:shd w:val="clear" w:color="auto" w:fill="auto"/>
        <w:bidi w:val="0"/>
        <w:spacing w:before="0" w:after="140" w:line="240" w:lineRule="auto"/>
        <w:ind w:left="0" w:right="0" w:firstLine="520"/>
        <w:jc w:val="left"/>
      </w:pPr>
      <w:bookmarkStart w:id="1322" w:name="bookmark1322"/>
      <w:bookmarkEnd w:id="1322"/>
      <w:r>
        <w:rPr>
          <w:color w:val="000000"/>
          <w:spacing w:val="0"/>
          <w:w w:val="100"/>
          <w:position w:val="0"/>
        </w:rPr>
        <w:t>坏账准备的变动</w:t>
      </w:r>
    </w:p>
    <w:tbl>
      <w:tblPr>
        <w:tblOverlap w:val="never"/>
        <w:jc w:val="center"/>
        <w:tblLayout w:type="fixed"/>
      </w:tblPr>
      <w:tblGrid>
        <w:gridCol w:w="2203"/>
        <w:gridCol w:w="1502"/>
        <w:gridCol w:w="1762"/>
        <w:gridCol w:w="2203"/>
        <w:gridCol w:w="1680"/>
      </w:tblGrid>
      <w:tr>
        <w:trPr>
          <w:trHeight w:val="47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b/>
                <w:bCs/>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第一阶段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第三阶段</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r>
      <w:tr>
        <w:trPr>
          <w:trHeight w:val="816"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center"/>
              <w:rPr>
                <w:sz w:val="20"/>
                <w:szCs w:val="20"/>
              </w:rPr>
            </w:pPr>
            <w:r>
              <w:rPr>
                <w:b/>
                <w:bCs/>
                <w:color w:val="000000"/>
                <w:spacing w:val="0"/>
                <w:w w:val="100"/>
                <w:position w:val="0"/>
                <w:sz w:val="20"/>
                <w:szCs w:val="20"/>
              </w:rPr>
              <w:t>未来</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个月 内预期信用</w:t>
            </w:r>
          </w:p>
          <w:p>
            <w:pPr>
              <w:pStyle w:val="Style2"/>
              <w:keepNext w:val="0"/>
              <w:keepLines w:val="0"/>
              <w:widowControl w:val="0"/>
              <w:shd w:val="clear" w:color="auto" w:fill="auto"/>
              <w:bidi w:val="0"/>
              <w:spacing w:before="0" w:after="0" w:line="283" w:lineRule="exact"/>
              <w:ind w:left="0" w:right="0" w:firstLine="600"/>
              <w:jc w:val="left"/>
              <w:rPr>
                <w:sz w:val="20"/>
                <w:szCs w:val="20"/>
              </w:rPr>
            </w:pPr>
            <w:r>
              <w:rPr>
                <w:b/>
                <w:bCs/>
                <w:color w:val="000000"/>
                <w:spacing w:val="0"/>
                <w:w w:val="100"/>
                <w:position w:val="0"/>
                <w:sz w:val="20"/>
                <w:szCs w:val="20"/>
              </w:rPr>
              <w:t>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7" w:lineRule="exact"/>
              <w:ind w:left="260" w:right="0" w:firstLine="20"/>
              <w:jc w:val="left"/>
              <w:rPr>
                <w:sz w:val="20"/>
                <w:szCs w:val="20"/>
              </w:rPr>
            </w:pPr>
            <w:r>
              <w:rPr>
                <w:b/>
                <w:bCs/>
                <w:color w:val="000000"/>
                <w:spacing w:val="0"/>
                <w:w w:val="100"/>
                <w:position w:val="0"/>
                <w:sz w:val="20"/>
                <w:szCs w:val="20"/>
              </w:rPr>
              <w:t>整个存续期预 期信用损失</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未 发生信用减值</w:t>
            </w:r>
            <w:r>
              <w:rPr>
                <w:b/>
                <w:bCs/>
                <w:color w:val="000000"/>
                <w:spacing w:val="0"/>
                <w:w w:val="100"/>
                <w:position w:val="0"/>
                <w:sz w:val="20"/>
                <w:szCs w:val="2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2" w:lineRule="exact"/>
              <w:ind w:left="0" w:right="0" w:firstLine="0"/>
              <w:jc w:val="center"/>
              <w:rPr>
                <w:sz w:val="20"/>
                <w:szCs w:val="20"/>
              </w:rPr>
            </w:pPr>
            <w:r>
              <w:rPr>
                <w:b/>
                <w:bCs/>
                <w:color w:val="000000"/>
                <w:spacing w:val="0"/>
                <w:w w:val="100"/>
                <w:position w:val="0"/>
                <w:sz w:val="20"/>
                <w:szCs w:val="20"/>
              </w:rPr>
              <w:t>整个存续期预期信 用损失</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已发生信用 减值</w:t>
            </w:r>
            <w:r>
              <w:rPr>
                <w:b/>
                <w:bCs/>
                <w:color w:val="000000"/>
                <w:spacing w:val="0"/>
                <w:w w:val="100"/>
                <w:position w:val="0"/>
                <w:sz w:val="20"/>
                <w:szCs w:val="20"/>
              </w:rPr>
              <w:t>）</w:t>
            </w:r>
          </w:p>
        </w:tc>
        <w:tc>
          <w:tcPr>
            <w:vMerge/>
            <w:tcBorders>
              <w:left w:val="single" w:sz="4"/>
            </w:tcBorders>
            <w:shd w:val="clear" w:color="auto" w:fill="FFFFFF"/>
            <w:vAlign w:val="center"/>
          </w:tcPr>
          <w:p>
            <w:pP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165,801.72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500,000,000.00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500,165,801.72</w:t>
            </w:r>
          </w:p>
        </w:tc>
      </w:tr>
    </w:tbl>
    <w:p>
      <w:pPr>
        <w:sectPr>
          <w:headerReference w:type="default" r:id="rId177"/>
          <w:footerReference w:type="default" r:id="rId178"/>
          <w:headerReference w:type="even" r:id="rId179"/>
          <w:footerReference w:type="even" r:id="rId180"/>
          <w:footnotePr>
            <w:pos w:val="pageBottom"/>
            <w:numFmt w:val="decimal"/>
            <w:numRestart w:val="continuous"/>
          </w:footnotePr>
          <w:type w:val="continuous"/>
          <w:pgSz w:w="11900" w:h="16840"/>
          <w:pgMar w:top="1374" w:right="986" w:bottom="1330" w:left="916" w:header="0" w:footer="3" w:gutter="0"/>
          <w:cols w:space="720"/>
          <w:noEndnote/>
          <w:rtlGutter w:val="0"/>
          <w:docGrid w:linePitch="360"/>
        </w:sectPr>
      </w:pPr>
    </w:p>
    <w:tbl>
      <w:tblPr>
        <w:tblOverlap w:val="never"/>
        <w:jc w:val="center"/>
        <w:tblLayout w:type="fixed"/>
      </w:tblPr>
      <w:tblGrid>
        <w:gridCol w:w="2203"/>
        <w:gridCol w:w="1502"/>
        <w:gridCol w:w="1762"/>
        <w:gridCol w:w="2203"/>
        <w:gridCol w:w="1680"/>
      </w:tblGrid>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期初余额在本期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一</w:t>
            </w:r>
            <w:r>
              <w:rPr>
                <w:color w:val="000000"/>
                <w:spacing w:val="0"/>
                <w:w w:val="100"/>
                <w:position w:val="0"/>
                <w:sz w:val="20"/>
                <w:szCs w:val="20"/>
              </w:rPr>
              <w:t>转入第一阶段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一</w:t>
            </w:r>
            <w:r>
              <w:rPr>
                <w:color w:val="000000"/>
                <w:spacing w:val="0"/>
                <w:w w:val="100"/>
                <w:position w:val="0"/>
                <w:sz w:val="20"/>
                <w:szCs w:val="2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一</w:t>
            </w:r>
            <w:r>
              <w:rPr>
                <w:color w:val="000000"/>
                <w:spacing w:val="0"/>
                <w:w w:val="100"/>
                <w:position w:val="0"/>
                <w:sz w:val="20"/>
                <w:szCs w:val="2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125,940.59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125,940.59</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39,861.13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500,000,000.00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500,039,861.13</w:t>
            </w:r>
          </w:p>
        </w:tc>
      </w:tr>
    </w:tbl>
    <w:p>
      <w:pPr>
        <w:widowControl w:val="0"/>
        <w:spacing w:after="139" w:line="1" w:lineRule="exact"/>
      </w:pPr>
    </w:p>
    <w:p>
      <w:pPr>
        <w:pStyle w:val="Style44"/>
        <w:keepNext w:val="0"/>
        <w:keepLines w:val="0"/>
        <w:widowControl w:val="0"/>
        <w:numPr>
          <w:ilvl w:val="0"/>
          <w:numId w:val="69"/>
        </w:numPr>
        <w:shd w:val="clear" w:color="auto" w:fill="auto"/>
        <w:bidi w:val="0"/>
        <w:spacing w:before="0" w:after="140" w:line="240" w:lineRule="auto"/>
        <w:ind w:left="0" w:right="0" w:firstLine="520"/>
        <w:jc w:val="left"/>
      </w:pPr>
      <w:bookmarkStart w:id="1323" w:name="bookmark1323"/>
      <w:bookmarkEnd w:id="1323"/>
      <w:r>
        <w:rPr>
          <w:color w:val="000000"/>
          <w:spacing w:val="0"/>
          <w:w w:val="100"/>
          <w:position w:val="0"/>
        </w:rPr>
        <w:t>其他应收款按款项性质分类情况</w:t>
      </w:r>
    </w:p>
    <w:tbl>
      <w:tblPr>
        <w:tblOverlap w:val="never"/>
        <w:jc w:val="center"/>
        <w:tblLayout w:type="fixed"/>
      </w:tblPr>
      <w:tblGrid>
        <w:gridCol w:w="4474"/>
        <w:gridCol w:w="2534"/>
        <w:gridCol w:w="2174"/>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2020.12.31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b/>
                <w:bCs/>
                <w:color w:val="000000"/>
                <w:spacing w:val="0"/>
                <w:w w:val="100"/>
                <w:position w:val="0"/>
              </w:rPr>
              <w:t>2019.12.31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1,270,799,201.42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1,350,139,875.30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1,372,899.47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2,941,991.84</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代垫款项及其他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1,693,325.75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2,359,857.45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应收补助款及出口退税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507,197.79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151,139.24</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b/>
                <w:bCs/>
                <w:color w:val="000000"/>
                <w:spacing w:val="0"/>
                <w:w w:val="100"/>
                <w:position w:val="0"/>
              </w:rPr>
              <w:t>1,274,372,624.43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bCs/>
                <w:color w:val="000000"/>
                <w:spacing w:val="0"/>
                <w:w w:val="100"/>
                <w:position w:val="0"/>
              </w:rPr>
              <w:t>1,355,592,863.83</w:t>
            </w:r>
          </w:p>
        </w:tc>
      </w:tr>
    </w:tbl>
    <w:p>
      <w:pPr>
        <w:widowControl w:val="0"/>
        <w:spacing w:after="139" w:line="1" w:lineRule="exact"/>
      </w:pPr>
    </w:p>
    <w:p>
      <w:pPr>
        <w:pStyle w:val="Style44"/>
        <w:keepNext w:val="0"/>
        <w:keepLines w:val="0"/>
        <w:widowControl w:val="0"/>
        <w:numPr>
          <w:ilvl w:val="0"/>
          <w:numId w:val="69"/>
        </w:numPr>
        <w:shd w:val="clear" w:color="auto" w:fill="auto"/>
        <w:bidi w:val="0"/>
        <w:spacing w:before="0" w:after="140" w:line="240" w:lineRule="auto"/>
        <w:ind w:left="0" w:right="0" w:firstLine="520"/>
        <w:jc w:val="left"/>
      </w:pPr>
      <w:bookmarkStart w:id="1324" w:name="bookmark1324"/>
      <w:bookmarkEnd w:id="1324"/>
      <w:r>
        <w:rPr>
          <w:color w:val="000000"/>
          <w:spacing w:val="0"/>
          <w:w w:val="100"/>
          <w:position w:val="0"/>
        </w:rPr>
        <w:t>其他应收款期末余额前五名单位情况:</w:t>
      </w:r>
    </w:p>
    <w:tbl>
      <w:tblPr>
        <w:tblOverlap w:val="never"/>
        <w:jc w:val="center"/>
        <w:tblLayout w:type="fixed"/>
      </w:tblPr>
      <w:tblGrid>
        <w:gridCol w:w="1186"/>
        <w:gridCol w:w="850"/>
        <w:gridCol w:w="1277"/>
        <w:gridCol w:w="1982"/>
        <w:gridCol w:w="994"/>
        <w:gridCol w:w="1589"/>
        <w:gridCol w:w="1704"/>
      </w:tblGrid>
      <w:tr>
        <w:trPr>
          <w:trHeight w:val="10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是否为 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rPr>
                <w:sz w:val="20"/>
                <w:szCs w:val="20"/>
              </w:rPr>
            </w:pPr>
            <w:r>
              <w:rPr>
                <w:b/>
                <w:bCs/>
                <w:color w:val="000000"/>
                <w:spacing w:val="0"/>
                <w:w w:val="100"/>
                <w:position w:val="0"/>
                <w:sz w:val="20"/>
                <w:szCs w:val="20"/>
              </w:rPr>
              <w:t>占其他应收款期 末余额合计数的 比例（</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20"/>
                <w:szCs w:val="20"/>
              </w:rPr>
            </w:pPr>
            <w:r>
              <w:rPr>
                <w:b/>
                <w:bCs/>
                <w:color w:val="000000"/>
                <w:spacing w:val="0"/>
                <w:w w:val="100"/>
                <w:position w:val="0"/>
                <w:sz w:val="20"/>
                <w:szCs w:val="20"/>
              </w:rPr>
              <w:t>坏账准备期末余 额</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588,510,412.15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46.18</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560,482,641.12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43.98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500,000,000.00</w:t>
            </w:r>
          </w:p>
        </w:tc>
      </w:tr>
      <w:tr>
        <w:trPr>
          <w:trHeight w:val="71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95,396,292.03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7.49</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26,054,723.55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2.04</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第五名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331,902.68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0.08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10,288.98</w:t>
            </w: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696,995.64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_</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b/>
                <w:bCs/>
                <w:color w:val="000000"/>
                <w:spacing w:val="0"/>
                <w:w w:val="100"/>
                <w:position w:val="0"/>
                <w:sz w:val="20"/>
                <w:szCs w:val="20"/>
              </w:rPr>
              <w:t>1,271,472,967.17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80" w:firstLine="0"/>
              <w:jc w:val="right"/>
              <w:rPr>
                <w:sz w:val="20"/>
                <w:szCs w:val="20"/>
              </w:rPr>
            </w:pPr>
            <w:r>
              <w:rPr>
                <w:rFonts w:ascii="Times New Roman" w:eastAsia="Times New Roman" w:hAnsi="Times New Roman" w:cs="Times New Roman"/>
                <w:b/>
                <w:bCs/>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b/>
                <w:bCs/>
                <w:color w:val="000000"/>
                <w:spacing w:val="0"/>
                <w:w w:val="100"/>
                <w:position w:val="0"/>
                <w:sz w:val="20"/>
                <w:szCs w:val="20"/>
              </w:rPr>
              <w:t>99.77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rPr>
              <w:t>500,010,288.98</w:t>
            </w:r>
          </w:p>
        </w:tc>
      </w:tr>
    </w:tbl>
    <w:p>
      <w:pPr>
        <w:spacing w:lineRule="exact" w:line="1"/>
        <w:rPr>
          <w:sz w:val="2"/>
          <w:szCs w:val="2"/>
        </w:rPr>
      </w:pPr>
      <w:r>
        <w:br w:type="page"/>
      </w:r>
    </w:p>
    <w:p>
      <w:pPr>
        <w:pStyle w:val="Style52"/>
        <w:keepNext/>
        <w:keepLines/>
        <w:widowControl w:val="0"/>
        <w:shd w:val="clear" w:color="auto" w:fill="auto"/>
        <w:bidi w:val="0"/>
        <w:spacing w:before="0" w:after="420" w:line="240" w:lineRule="auto"/>
        <w:ind w:left="0" w:right="0" w:firstLine="0"/>
        <w:jc w:val="left"/>
        <w:rPr>
          <w:sz w:val="24"/>
          <w:szCs w:val="24"/>
        </w:rPr>
      </w:pPr>
      <w:bookmarkStart w:id="1325" w:name="bookmark1325"/>
      <w:bookmarkStart w:id="1326" w:name="bookmark1326"/>
      <w:bookmarkStart w:id="1327" w:name="bookmark1327"/>
      <w:bookmarkStart w:id="1328" w:name="bookmark1328"/>
      <w:r>
        <w:rPr>
          <w:rFonts w:ascii="Times New Roman" w:eastAsia="Times New Roman" w:hAnsi="Times New Roman" w:cs="Times New Roman"/>
          <w:b w:val="0"/>
          <w:bCs w:val="0"/>
          <w:color w:val="000000"/>
          <w:spacing w:val="0"/>
          <w:w w:val="100"/>
          <w:position w:val="0"/>
          <w:sz w:val="22"/>
          <w:szCs w:val="22"/>
        </w:rPr>
        <w:t>3</w:t>
      </w:r>
      <w:bookmarkEnd w:id="1327"/>
      <w:r>
        <w:rPr>
          <w:b w:val="0"/>
          <w:bCs w:val="0"/>
          <w:color w:val="000000"/>
          <w:spacing w:val="0"/>
          <w:w w:val="100"/>
          <w:position w:val="0"/>
          <w:sz w:val="24"/>
          <w:szCs w:val="24"/>
        </w:rPr>
        <w:t>、长期股权投资</w:t>
      </w:r>
      <w:bookmarkEnd w:id="1325"/>
      <w:bookmarkEnd w:id="1326"/>
      <w:bookmarkEnd w:id="1328"/>
    </w:p>
    <w:p>
      <w:pPr>
        <w:pStyle w:val="Style52"/>
        <w:keepNext/>
        <w:keepLines/>
        <w:widowControl w:val="0"/>
        <w:shd w:val="clear" w:color="auto" w:fill="auto"/>
        <w:bidi w:val="0"/>
        <w:spacing w:before="0" w:after="120" w:line="240" w:lineRule="auto"/>
        <w:ind w:left="0" w:right="0" w:firstLine="740"/>
        <w:jc w:val="left"/>
      </w:pPr>
      <w:bookmarkStart w:id="1325" w:name="bookmark1325"/>
      <w:bookmarkStart w:id="1326" w:name="bookmark1326"/>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）长期股权投资分类</w:t>
      </w:r>
      <w:bookmarkEnd w:id="1325"/>
      <w:bookmarkEnd w:id="1326"/>
    </w:p>
    <w:tbl>
      <w:tblPr>
        <w:tblOverlap w:val="never"/>
        <w:jc w:val="center"/>
        <w:tblLayout w:type="fixed"/>
      </w:tblPr>
      <w:tblGrid>
        <w:gridCol w:w="3619"/>
        <w:gridCol w:w="1987"/>
        <w:gridCol w:w="1882"/>
        <w:gridCol w:w="1685"/>
      </w:tblGrid>
      <w:tr>
        <w:trPr>
          <w:trHeight w:val="480" w:hRule="exact"/>
        </w:trPr>
        <w:tc>
          <w:tcPr>
            <w:vMerge w:val="restart"/>
            <w:tcBorders>
              <w:top w:val="single" w:sz="4"/>
            </w:tcBorders>
            <w:shd w:val="clear" w:color="auto" w:fill="FFFFFF"/>
            <w:vAlign w:val="center"/>
          </w:tcPr>
          <w:p>
            <w:pPr>
              <w:pStyle w:val="Style2"/>
              <w:keepNext w:val="0"/>
              <w:keepLines w:val="0"/>
              <w:widowControl w:val="0"/>
              <w:shd w:val="clear" w:color="auto" w:fill="auto"/>
              <w:tabs>
                <w:tab w:pos="1086" w:val="left"/>
              </w:tabs>
              <w:bidi w:val="0"/>
              <w:spacing w:before="0" w:after="0" w:line="240" w:lineRule="auto"/>
              <w:ind w:left="0" w:right="0" w:firstLine="500"/>
              <w:jc w:val="left"/>
              <w:rPr>
                <w:sz w:val="20"/>
                <w:szCs w:val="20"/>
              </w:rPr>
            </w:pPr>
            <w:r>
              <w:rPr>
                <w:b/>
                <w:bCs/>
                <w:color w:val="000000"/>
                <w:spacing w:val="0"/>
                <w:w w:val="100"/>
                <w:position w:val="0"/>
                <w:sz w:val="20"/>
                <w:szCs w:val="20"/>
              </w:rPr>
              <w:t>项</w:t>
              <w:tab/>
              <w:t>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2020.12.31</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 w:right="0" w:firstLine="0"/>
              <w:jc w:val="center"/>
              <w:rPr>
                <w:sz w:val="20"/>
                <w:szCs w:val="20"/>
              </w:rPr>
            </w:pPr>
            <w:r>
              <w:rPr>
                <w:b/>
                <w:bCs/>
                <w:color w:val="000000"/>
                <w:spacing w:val="0"/>
                <w:w w:val="100"/>
                <w:position w:val="0"/>
                <w:sz w:val="20"/>
                <w:szCs w:val="20"/>
              </w:rPr>
              <w:t>减值准备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账面价值</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881,719,360.69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813,508,782.69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68,210,578.00</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bCs/>
                <w:color w:val="000000"/>
                <w:spacing w:val="0"/>
                <w:w w:val="100"/>
                <w:position w:val="0"/>
              </w:rPr>
              <w:t>881,719,360.69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813,508,782.69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68,210,578.00</w:t>
            </w:r>
          </w:p>
        </w:tc>
      </w:tr>
    </w:tbl>
    <w:p>
      <w:pPr>
        <w:widowControl w:val="0"/>
        <w:spacing w:after="119" w:line="1" w:lineRule="exact"/>
      </w:pPr>
    </w:p>
    <w:p>
      <w:pPr>
        <w:pStyle w:val="Style44"/>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（续）</w:t>
      </w:r>
    </w:p>
    <w:tbl>
      <w:tblPr>
        <w:tblOverlap w:val="never"/>
        <w:jc w:val="center"/>
        <w:tblLayout w:type="fixed"/>
      </w:tblPr>
      <w:tblGrid>
        <w:gridCol w:w="3619"/>
        <w:gridCol w:w="1987"/>
        <w:gridCol w:w="1882"/>
        <w:gridCol w:w="1685"/>
      </w:tblGrid>
      <w:tr>
        <w:trPr>
          <w:trHeight w:val="480" w:hRule="exact"/>
        </w:trPr>
        <w:tc>
          <w:tcPr>
            <w:vMerge w:val="restart"/>
            <w:tcBorders>
              <w:top w:val="single" w:sz="4"/>
            </w:tcBorders>
            <w:shd w:val="clear" w:color="auto" w:fill="FFFFFF"/>
            <w:vAlign w:val="center"/>
          </w:tcPr>
          <w:p>
            <w:pPr>
              <w:pStyle w:val="Style2"/>
              <w:keepNext w:val="0"/>
              <w:keepLines w:val="0"/>
              <w:widowControl w:val="0"/>
              <w:shd w:val="clear" w:color="auto" w:fill="auto"/>
              <w:tabs>
                <w:tab w:pos="1086" w:val="left"/>
              </w:tabs>
              <w:bidi w:val="0"/>
              <w:spacing w:before="0" w:after="0" w:line="240" w:lineRule="auto"/>
              <w:ind w:left="0" w:right="0" w:firstLine="500"/>
              <w:jc w:val="left"/>
              <w:rPr>
                <w:sz w:val="20"/>
                <w:szCs w:val="20"/>
              </w:rPr>
            </w:pPr>
            <w:r>
              <w:rPr>
                <w:b/>
                <w:bCs/>
                <w:color w:val="000000"/>
                <w:spacing w:val="0"/>
                <w:w w:val="100"/>
                <w:position w:val="0"/>
                <w:sz w:val="20"/>
                <w:szCs w:val="20"/>
              </w:rPr>
              <w:t>项</w:t>
              <w:tab/>
              <w:t>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2019.12.31</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账面余额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 w:right="0" w:firstLine="0"/>
              <w:jc w:val="center"/>
              <w:rPr>
                <w:sz w:val="20"/>
                <w:szCs w:val="20"/>
              </w:rPr>
            </w:pPr>
            <w:r>
              <w:rPr>
                <w:b/>
                <w:bCs/>
                <w:color w:val="000000"/>
                <w:spacing w:val="0"/>
                <w:w w:val="100"/>
                <w:position w:val="0"/>
                <w:sz w:val="20"/>
                <w:szCs w:val="20"/>
              </w:rPr>
              <w:t>减值准备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账面价值</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875,340,790.69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800,187,550.69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75,153,240.00</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bCs/>
                <w:color w:val="000000"/>
                <w:spacing w:val="0"/>
                <w:w w:val="100"/>
                <w:position w:val="0"/>
              </w:rPr>
              <w:t>875,340,790.69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800,187,550.69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75,153,240.00</w:t>
            </w:r>
          </w:p>
        </w:tc>
      </w:tr>
    </w:tbl>
    <w:p>
      <w:pPr>
        <w:widowControl w:val="0"/>
        <w:spacing w:after="119" w:line="1" w:lineRule="exact"/>
      </w:pPr>
    </w:p>
    <w:p>
      <w:pPr>
        <w:pStyle w:val="Style44"/>
        <w:keepNext w:val="0"/>
        <w:keepLines w:val="0"/>
        <w:widowControl w:val="0"/>
        <w:shd w:val="clear" w:color="auto" w:fill="auto"/>
        <w:bidi w:val="0"/>
        <w:spacing w:before="0" w:after="120" w:line="240" w:lineRule="auto"/>
        <w:ind w:left="0" w:right="0" w:firstLine="740"/>
        <w:jc w:val="left"/>
      </w:pPr>
      <w:r>
        <w:rPr>
          <w:rFonts w:ascii="Times New Roman" w:eastAsia="Times New Roman" w:hAnsi="Times New Roman" w:cs="Times New Roman"/>
          <w:color w:val="000000"/>
          <w:spacing w:val="0"/>
          <w:w w:val="100"/>
          <w:position w:val="0"/>
        </w:rPr>
        <w:t>（2</w:t>
      </w:r>
      <w:r>
        <w:rPr>
          <w:color w:val="000000"/>
          <w:spacing w:val="0"/>
          <w:w w:val="100"/>
          <w:position w:val="0"/>
        </w:rPr>
        <w:t>）对子公司投资</w:t>
      </w:r>
    </w:p>
    <w:tbl>
      <w:tblPr>
        <w:tblOverlap w:val="never"/>
        <w:jc w:val="center"/>
        <w:tblLayout w:type="fixed"/>
      </w:tblPr>
      <w:tblGrid>
        <w:gridCol w:w="3307"/>
        <w:gridCol w:w="1704"/>
        <w:gridCol w:w="1555"/>
        <w:gridCol w:w="1138"/>
        <w:gridCol w:w="1656"/>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被投资单位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期末余额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国民技术（香港）有限公司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44,259,720.00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44,259,720.00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国民科技（深圳）有限公司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365,000,000.00</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88" w:lineRule="exact"/>
              <w:ind w:left="500" w:right="0" w:firstLine="0"/>
              <w:jc w:val="left"/>
              <w:rPr>
                <w:sz w:val="20"/>
                <w:szCs w:val="20"/>
              </w:rPr>
            </w:pPr>
            <w:r>
              <w:rPr>
                <w:color w:val="000000"/>
                <w:spacing w:val="0"/>
                <w:w w:val="100"/>
                <w:position w:val="0"/>
                <w:sz w:val="20"/>
                <w:szCs w:val="20"/>
              </w:rPr>
              <w:t>深圳前海国民投资管理有限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276,826,400.00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276,826,400.00</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98" w:lineRule="exact"/>
              <w:ind w:left="500" w:right="0" w:firstLine="0"/>
              <w:jc w:val="left"/>
              <w:rPr>
                <w:sz w:val="20"/>
                <w:szCs w:val="20"/>
              </w:rPr>
            </w:pPr>
            <w:r>
              <w:rPr>
                <w:color w:val="000000"/>
                <w:spacing w:val="0"/>
                <w:w w:val="100"/>
                <w:position w:val="0"/>
                <w:sz w:val="20"/>
                <w:szCs w:val="20"/>
              </w:rPr>
              <w:t>福建省星民智联科技有限公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13,800,000.00</w:t>
            </w:r>
          </w:p>
        </w:tc>
      </w:tr>
      <w:tr>
        <w:trPr>
          <w:trHeight w:val="643" w:hRule="exact"/>
        </w:trPr>
        <w:tc>
          <w:tcPr>
            <w:tcBorders>
              <w:top w:val="single" w:sz="4"/>
            </w:tcBorders>
            <w:shd w:val="clear" w:color="auto" w:fill="FFFFFF"/>
            <w:vAlign w:val="center"/>
          </w:tcPr>
          <w:p>
            <w:pPr>
              <w:pStyle w:val="Style2"/>
              <w:keepNext w:val="0"/>
              <w:keepLines w:val="0"/>
              <w:widowControl w:val="0"/>
              <w:shd w:val="clear" w:color="auto" w:fill="auto"/>
              <w:tabs>
                <w:tab w:pos="2238" w:val="left"/>
              </w:tabs>
              <w:bidi w:val="0"/>
              <w:spacing w:before="0" w:after="0" w:line="240" w:lineRule="auto"/>
              <w:ind w:left="500" w:right="0" w:firstLine="0"/>
              <w:jc w:val="left"/>
            </w:pPr>
            <w:r>
              <w:rPr>
                <w:rFonts w:ascii="Times New Roman" w:eastAsia="Times New Roman" w:hAnsi="Times New Roman" w:cs="Times New Roman"/>
                <w:color w:val="000000"/>
                <w:spacing w:val="0"/>
                <w:w w:val="100"/>
                <w:position w:val="0"/>
              </w:rPr>
              <w:t>Nations</w:t>
              <w:tab/>
              <w:t>Innovation</w:t>
            </w:r>
          </w:p>
          <w:p>
            <w:pPr>
              <w:pStyle w:val="Style2"/>
              <w:keepNext w:val="0"/>
              <w:keepLines w:val="0"/>
              <w:widowControl w:val="0"/>
              <w:shd w:val="clear" w:color="auto" w:fill="auto"/>
              <w:bidi w:val="0"/>
              <w:spacing w:before="0" w:after="0" w:line="240" w:lineRule="auto"/>
              <w:ind w:left="500" w:right="0" w:firstLine="0"/>
              <w:jc w:val="left"/>
            </w:pPr>
            <w:r>
              <w:rPr>
                <w:rFonts w:ascii="Times New Roman" w:eastAsia="Times New Roman" w:hAnsi="Times New Roman" w:cs="Times New Roman"/>
                <w:color w:val="000000"/>
                <w:spacing w:val="0"/>
                <w:w w:val="100"/>
                <w:position w:val="0"/>
              </w:rPr>
              <w:t>Technologies PteLtd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17,093,520.00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6,378,570.00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23,472,090.00</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02" w:lineRule="exact"/>
              <w:ind w:left="500" w:right="0" w:firstLine="0"/>
              <w:jc w:val="left"/>
              <w:rPr>
                <w:sz w:val="20"/>
                <w:szCs w:val="20"/>
              </w:rPr>
            </w:pPr>
            <w:r>
              <w:rPr>
                <w:color w:val="000000"/>
                <w:spacing w:val="0"/>
                <w:w w:val="100"/>
                <w:position w:val="0"/>
                <w:sz w:val="20"/>
                <w:szCs w:val="20"/>
              </w:rPr>
              <w:t>深圳市斯诺实业发展有限公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158,361,150.69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158,361,150.69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875,340,790.69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b/>
                <w:bCs/>
                <w:color w:val="000000"/>
                <w:spacing w:val="0"/>
                <w:w w:val="100"/>
                <w:position w:val="0"/>
              </w:rPr>
              <w:t>6,378,570.00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881,719,360.69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减：长期股权投资减值准备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800,187,550.69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13,321,232.00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813,508,782.69</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75,153,240.00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bCs/>
                <w:color w:val="000000"/>
                <w:spacing w:val="0"/>
                <w:w w:val="100"/>
                <w:position w:val="0"/>
              </w:rPr>
              <w:t>68,210,578.00</w:t>
            </w:r>
          </w:p>
        </w:tc>
      </w:tr>
    </w:tbl>
    <w:p>
      <w:pPr>
        <w:widowControl w:val="0"/>
        <w:spacing w:after="119" w:line="1" w:lineRule="exact"/>
      </w:pPr>
    </w:p>
    <w:p>
      <w:pPr>
        <w:pStyle w:val="Style44"/>
        <w:keepNext w:val="0"/>
        <w:keepLines w:val="0"/>
        <w:widowControl w:val="0"/>
        <w:shd w:val="clear" w:color="auto" w:fill="auto"/>
        <w:bidi w:val="0"/>
        <w:spacing w:before="0" w:after="120" w:line="240" w:lineRule="auto"/>
        <w:ind w:left="0" w:right="0" w:firstLine="740"/>
        <w:jc w:val="left"/>
      </w:pPr>
      <w:bookmarkStart w:id="1329" w:name="bookmark1329"/>
      <w:r>
        <w:rPr>
          <w:rFonts w:ascii="Times New Roman" w:eastAsia="Times New Roman" w:hAnsi="Times New Roman" w:cs="Times New Roman"/>
          <w:color w:val="000000"/>
          <w:spacing w:val="0"/>
          <w:w w:val="100"/>
          <w:position w:val="0"/>
        </w:rPr>
        <w:t>（</w:t>
      </w:r>
      <w:bookmarkEnd w:id="1329"/>
      <w:r>
        <w:rPr>
          <w:rFonts w:ascii="Times New Roman" w:eastAsia="Times New Roman" w:hAnsi="Times New Roman" w:cs="Times New Roman"/>
          <w:color w:val="000000"/>
          <w:spacing w:val="0"/>
          <w:w w:val="100"/>
          <w:position w:val="0"/>
        </w:rPr>
        <w:t>3</w:t>
      </w:r>
      <w:r>
        <w:rPr>
          <w:color w:val="000000"/>
          <w:spacing w:val="0"/>
          <w:w w:val="100"/>
          <w:position w:val="0"/>
        </w:rPr>
        <w:t>）长期股权投资减值准备</w:t>
      </w:r>
    </w:p>
    <w:tbl>
      <w:tblPr>
        <w:tblOverlap w:val="never"/>
        <w:jc w:val="center"/>
        <w:tblLayout w:type="fixed"/>
      </w:tblPr>
      <w:tblGrid>
        <w:gridCol w:w="3278"/>
        <w:gridCol w:w="1704"/>
        <w:gridCol w:w="1555"/>
        <w:gridCol w:w="1070"/>
        <w:gridCol w:w="1584"/>
      </w:tblGrid>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被投资单位名称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2020.01.01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rPr>
              <w:t>2020.12.31</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国民科技（深圳）有限公司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365,000,000.00</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365,000,000.00</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深圳前海国民投资管理有限公司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276,826,400.00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276,826,400.00</w:t>
            </w:r>
          </w:p>
        </w:tc>
      </w:tr>
    </w:tbl>
    <w:p>
      <w:pPr>
        <w:spacing w:lineRule="exact" w:line="1"/>
        <w:rPr>
          <w:sz w:val="2"/>
          <w:szCs w:val="2"/>
        </w:rPr>
      </w:pPr>
      <w:r>
        <w:br w:type="page"/>
      </w:r>
    </w:p>
    <w:tbl>
      <w:tblPr>
        <w:tblOverlap w:val="never"/>
        <w:jc w:val="center"/>
        <w:tblLayout w:type="fixed"/>
      </w:tblPr>
      <w:tblGrid>
        <w:gridCol w:w="3283"/>
        <w:gridCol w:w="1699"/>
        <w:gridCol w:w="1560"/>
        <w:gridCol w:w="1066"/>
        <w:gridCol w:w="1584"/>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深圳市斯诺实业发展有限公司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158,361,150.69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158,361,150.69</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福建省星民智联科技有限公司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13,321,232.00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13,321,232.00</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800,187,550.69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b/>
                <w:bCs/>
                <w:color w:val="000000"/>
                <w:spacing w:val="0"/>
                <w:w w:val="100"/>
                <w:position w:val="0"/>
              </w:rPr>
              <w:t>13,321,232.00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813,508,782.69</w:t>
            </w:r>
          </w:p>
        </w:tc>
      </w:tr>
    </w:tbl>
    <w:p>
      <w:pPr>
        <w:pStyle w:val="Style44"/>
        <w:keepNext w:val="0"/>
        <w:keepLines w:val="0"/>
        <w:widowControl w:val="0"/>
        <w:shd w:val="clear" w:color="auto" w:fill="auto"/>
        <w:bidi w:val="0"/>
        <w:spacing w:before="0" w:after="400" w:line="480" w:lineRule="exact"/>
        <w:ind w:left="0" w:right="0" w:firstLine="500"/>
        <w:jc w:val="left"/>
      </w:pPr>
      <w:r>
        <w:rPr>
          <w:color w:val="000000"/>
          <w:spacing w:val="0"/>
          <w:w w:val="100"/>
          <w:position w:val="0"/>
        </w:rPr>
        <w:t>注：公司根据享有的星民智联</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日经评估的净资产份额与长期股权投资账面 价值孰低，计算长期股权投资减值准备。</w:t>
      </w:r>
    </w:p>
    <w:p>
      <w:pPr>
        <w:pStyle w:val="Style52"/>
        <w:keepNext/>
        <w:keepLines/>
        <w:widowControl w:val="0"/>
        <w:shd w:val="clear" w:color="auto" w:fill="auto"/>
        <w:bidi w:val="0"/>
        <w:spacing w:before="0" w:after="400" w:line="240" w:lineRule="auto"/>
        <w:ind w:left="0" w:right="0" w:firstLine="0"/>
        <w:jc w:val="left"/>
        <w:rPr>
          <w:sz w:val="24"/>
          <w:szCs w:val="24"/>
        </w:rPr>
      </w:pPr>
      <w:bookmarkStart w:id="1330" w:name="bookmark1330"/>
      <w:bookmarkStart w:id="1331" w:name="bookmark1331"/>
      <w:bookmarkStart w:id="1332" w:name="bookmark1332"/>
      <w:bookmarkStart w:id="1333" w:name="bookmark1333"/>
      <w:r>
        <w:rPr>
          <w:rFonts w:ascii="Times New Roman" w:eastAsia="Times New Roman" w:hAnsi="Times New Roman" w:cs="Times New Roman"/>
          <w:b w:val="0"/>
          <w:bCs w:val="0"/>
          <w:color w:val="000000"/>
          <w:spacing w:val="0"/>
          <w:w w:val="100"/>
          <w:position w:val="0"/>
          <w:sz w:val="24"/>
          <w:szCs w:val="24"/>
        </w:rPr>
        <w:t>4</w:t>
      </w:r>
      <w:bookmarkEnd w:id="1332"/>
      <w:r>
        <w:rPr>
          <w:b w:val="0"/>
          <w:bCs w:val="0"/>
          <w:color w:val="000000"/>
          <w:spacing w:val="0"/>
          <w:w w:val="100"/>
          <w:position w:val="0"/>
          <w:sz w:val="24"/>
          <w:szCs w:val="24"/>
        </w:rPr>
        <w:t>、营业收入和营业成本</w:t>
      </w:r>
      <w:bookmarkEnd w:id="1330"/>
      <w:bookmarkEnd w:id="1331"/>
      <w:bookmarkEnd w:id="1333"/>
    </w:p>
    <w:p>
      <w:pPr>
        <w:pStyle w:val="Style52"/>
        <w:keepNext/>
        <w:keepLines/>
        <w:widowControl w:val="0"/>
        <w:shd w:val="clear" w:color="auto" w:fill="auto"/>
        <w:bidi w:val="0"/>
        <w:spacing w:before="0" w:after="120" w:line="240" w:lineRule="auto"/>
        <w:ind w:left="0" w:right="0" w:firstLine="640"/>
        <w:jc w:val="left"/>
      </w:pPr>
      <w:bookmarkStart w:id="1330" w:name="bookmark1330"/>
      <w:bookmarkStart w:id="1331" w:name="bookmark1331"/>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)营业收入及成本列示如下:</w:t>
      </w:r>
      <w:bookmarkEnd w:id="1330"/>
      <w:bookmarkEnd w:id="1331"/>
    </w:p>
    <w:tbl>
      <w:tblPr>
        <w:tblOverlap w:val="never"/>
        <w:jc w:val="center"/>
        <w:tblLayout w:type="fixed"/>
      </w:tblPr>
      <w:tblGrid>
        <w:gridCol w:w="1867"/>
        <w:gridCol w:w="1838"/>
        <w:gridCol w:w="1838"/>
        <w:gridCol w:w="1838"/>
        <w:gridCol w:w="1872"/>
      </w:tblGrid>
      <w:tr>
        <w:trP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年度</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年度</w:t>
            </w:r>
          </w:p>
        </w:tc>
      </w:tr>
      <w:tr>
        <w:trPr>
          <w:trHeight w:val="4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成本</w:t>
            </w:r>
          </w:p>
        </w:tc>
      </w:tr>
      <w:tr>
        <w:trPr>
          <w:trHeight w:val="5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199,639,503.25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90,086,369.93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192,951,362.56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131,953,695.88</w:t>
            </w:r>
          </w:p>
        </w:tc>
      </w:tr>
      <w:tr>
        <w:trPr>
          <w:trHeight w:val="55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16,941,978.21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2,400,180.29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19,015,384.75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2,281,822.30</w:t>
            </w:r>
          </w:p>
        </w:tc>
      </w:tr>
      <w:tr>
        <w:trPr>
          <w:trHeight w:val="63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216,581,481.46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bCs/>
                <w:color w:val="000000"/>
                <w:spacing w:val="0"/>
                <w:w w:val="100"/>
                <w:position w:val="0"/>
              </w:rPr>
              <w:t>92,486,550.22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211,966,747.31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134,235,518.18</w:t>
            </w:r>
          </w:p>
        </w:tc>
      </w:tr>
    </w:tbl>
    <w:p>
      <w:pPr>
        <w:widowControl w:val="0"/>
        <w:spacing w:after="119" w:line="1" w:lineRule="exact"/>
      </w:pPr>
    </w:p>
    <w:p>
      <w:pPr>
        <w:pStyle w:val="Style44"/>
        <w:keepNext w:val="0"/>
        <w:keepLines w:val="0"/>
        <w:widowControl w:val="0"/>
        <w:shd w:val="clear" w:color="auto" w:fill="auto"/>
        <w:bidi w:val="0"/>
        <w:spacing w:before="0" w:after="120" w:line="240" w:lineRule="auto"/>
        <w:ind w:left="0" w:right="0" w:firstLine="640"/>
        <w:jc w:val="left"/>
      </w:pPr>
      <w:r>
        <w:rPr>
          <w:rFonts w:ascii="Times New Roman" w:eastAsia="Times New Roman" w:hAnsi="Times New Roman" w:cs="Times New Roman"/>
          <w:color w:val="000000"/>
          <w:spacing w:val="0"/>
          <w:w w:val="100"/>
          <w:position w:val="0"/>
        </w:rPr>
        <w:t>(2</w:t>
      </w:r>
      <w:r>
        <w:rPr>
          <w:color w:val="000000"/>
          <w:spacing w:val="0"/>
          <w:w w:val="100"/>
          <w:position w:val="0"/>
        </w:rPr>
        <w:t>)主营业务收入及成本(分行业)列示如下:</w:t>
      </w:r>
    </w:p>
    <w:tbl>
      <w:tblPr>
        <w:tblOverlap w:val="never"/>
        <w:jc w:val="center"/>
        <w:tblLayout w:type="fixed"/>
      </w:tblPr>
      <w:tblGrid>
        <w:gridCol w:w="1891"/>
        <w:gridCol w:w="1843"/>
        <w:gridCol w:w="1781"/>
        <w:gridCol w:w="1838"/>
        <w:gridCol w:w="1862"/>
      </w:tblGrid>
      <w:tr>
        <w:trP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行业名称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年度</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年度</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成本</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88" w:lineRule="exact"/>
              <w:ind w:left="180" w:right="0" w:firstLine="0"/>
              <w:jc w:val="left"/>
              <w:rPr>
                <w:sz w:val="20"/>
                <w:szCs w:val="20"/>
              </w:rPr>
            </w:pPr>
            <w:r>
              <w:rPr>
                <w:color w:val="000000"/>
                <w:spacing w:val="0"/>
                <w:w w:val="100"/>
                <w:position w:val="0"/>
                <w:sz w:val="20"/>
                <w:szCs w:val="20"/>
              </w:rPr>
              <w:t>集成电路和关键 元器件等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199,639,503.25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90,086,369.93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192,951,362.56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131,953,695.88</w:t>
            </w: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199,639,503.25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rPr>
              <w:t>90,086,369.93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192,951,362.56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131,953,695.88</w:t>
            </w:r>
          </w:p>
        </w:tc>
      </w:tr>
    </w:tbl>
    <w:p>
      <w:pPr>
        <w:widowControl w:val="0"/>
        <w:spacing w:after="119" w:line="1" w:lineRule="exact"/>
      </w:pPr>
    </w:p>
    <w:p>
      <w:pPr>
        <w:pStyle w:val="Style44"/>
        <w:keepNext w:val="0"/>
        <w:keepLines w:val="0"/>
        <w:widowControl w:val="0"/>
        <w:numPr>
          <w:ilvl w:val="0"/>
          <w:numId w:val="71"/>
        </w:numPr>
        <w:shd w:val="clear" w:color="auto" w:fill="auto"/>
        <w:bidi w:val="0"/>
        <w:spacing w:before="0" w:after="120" w:line="240" w:lineRule="auto"/>
        <w:ind w:left="0" w:right="0" w:firstLine="640"/>
        <w:jc w:val="left"/>
      </w:pPr>
      <w:bookmarkStart w:id="1334" w:name="bookmark1334"/>
      <w:bookmarkEnd w:id="1334"/>
      <w:r>
        <w:rPr>
          <w:color w:val="000000"/>
          <w:spacing w:val="0"/>
          <w:w w:val="100"/>
          <w:position w:val="0"/>
        </w:rPr>
        <w:t>主营业务收入及成本(分产品)列示如下:</w:t>
      </w:r>
    </w:p>
    <w:tbl>
      <w:tblPr>
        <w:tblOverlap w:val="never"/>
        <w:jc w:val="center"/>
        <w:tblLayout w:type="fixed"/>
      </w:tblPr>
      <w:tblGrid>
        <w:gridCol w:w="1642"/>
        <w:gridCol w:w="1843"/>
        <w:gridCol w:w="1829"/>
        <w:gridCol w:w="1858"/>
        <w:gridCol w:w="2016"/>
      </w:tblGrid>
      <w:tr>
        <w:trP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产品名称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年度</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年度</w:t>
            </w:r>
          </w:p>
        </w:tc>
      </w:tr>
      <w:tr>
        <w:trPr>
          <w:trHeight w:val="4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成本</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芯片类产品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154,807,311.61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86,022,555.68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176,556,535.79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118,884,746.87</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技术服务业务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42,933,035.55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2,272,159.11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13,412,458.46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10,307,855.96</w:t>
            </w: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1,899,156.09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1,791,655.14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2,982,368.31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2,761,093.05</w:t>
            </w:r>
          </w:p>
        </w:tc>
      </w:tr>
      <w:tr>
        <w:trPr>
          <w:trHeight w:val="50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199,639,503.25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bCs/>
                <w:color w:val="000000"/>
                <w:spacing w:val="0"/>
                <w:w w:val="100"/>
                <w:position w:val="0"/>
              </w:rPr>
              <w:t>90,086,369.93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192,951,362.56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b/>
                <w:bCs/>
                <w:color w:val="000000"/>
                <w:spacing w:val="0"/>
                <w:w w:val="100"/>
                <w:position w:val="0"/>
              </w:rPr>
              <w:t>131,953,695.88</w:t>
            </w:r>
          </w:p>
        </w:tc>
      </w:tr>
    </w:tbl>
    <w:p>
      <w:pPr>
        <w:widowControl w:val="0"/>
        <w:spacing w:after="119" w:line="1" w:lineRule="exact"/>
      </w:pPr>
    </w:p>
    <w:p>
      <w:pPr>
        <w:pStyle w:val="Style44"/>
        <w:keepNext w:val="0"/>
        <w:keepLines w:val="0"/>
        <w:widowControl w:val="0"/>
        <w:numPr>
          <w:ilvl w:val="0"/>
          <w:numId w:val="71"/>
        </w:numPr>
        <w:shd w:val="clear" w:color="auto" w:fill="auto"/>
        <w:bidi w:val="0"/>
        <w:spacing w:before="0" w:after="120" w:line="240" w:lineRule="auto"/>
        <w:ind w:left="0" w:right="0" w:firstLine="640"/>
        <w:jc w:val="left"/>
      </w:pPr>
      <w:bookmarkStart w:id="1335" w:name="bookmark1335"/>
      <w:bookmarkEnd w:id="1335"/>
      <w:r>
        <w:rPr>
          <w:color w:val="000000"/>
          <w:spacing w:val="0"/>
          <w:w w:val="100"/>
          <w:position w:val="0"/>
        </w:rPr>
        <w:t>主营业务收入及成本(分地区)列示如下:</w:t>
      </w:r>
    </w:p>
    <w:tbl>
      <w:tblPr>
        <w:tblOverlap w:val="never"/>
        <w:jc w:val="center"/>
        <w:tblLayout w:type="fixed"/>
      </w:tblPr>
      <w:tblGrid>
        <w:gridCol w:w="1838"/>
        <w:gridCol w:w="7363"/>
      </w:tblGrid>
      <w:tr>
        <w:trPr>
          <w:trHeight w:val="95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地区名称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3662" w:val="left"/>
              </w:tabs>
              <w:bidi w:val="0"/>
              <w:spacing w:before="0" w:after="22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年度</w:t>
              <w:tab/>
            </w: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年度</w:t>
            </w:r>
          </w:p>
          <w:p>
            <w:pPr>
              <w:pStyle w:val="Style2"/>
              <w:keepNext w:val="0"/>
              <w:keepLines w:val="0"/>
              <w:widowControl w:val="0"/>
              <w:shd w:val="clear" w:color="auto" w:fill="auto"/>
              <w:tabs>
                <w:tab w:pos="1829" w:val="left"/>
                <w:tab w:pos="3677" w:val="left"/>
                <w:tab w:pos="5515" w:val="left"/>
              </w:tabs>
              <w:bidi w:val="0"/>
              <w:spacing w:before="0" w:after="0" w:line="240" w:lineRule="auto"/>
              <w:ind w:left="0" w:right="0" w:firstLine="0"/>
              <w:jc w:val="center"/>
              <w:rPr>
                <w:sz w:val="20"/>
                <w:szCs w:val="20"/>
              </w:rPr>
            </w:pPr>
            <w:r>
              <w:rPr>
                <w:b/>
                <w:bCs/>
                <w:color w:val="000000"/>
                <w:spacing w:val="0"/>
                <w:w w:val="100"/>
                <w:position w:val="0"/>
                <w:sz w:val="20"/>
                <w:szCs w:val="20"/>
              </w:rPr>
              <w:t>收入</w:t>
              <w:tab/>
              <w:t>成本</w:t>
              <w:tab/>
              <w:t>收入</w:t>
              <w:tab/>
              <w:t>成本</w:t>
            </w:r>
          </w:p>
        </w:tc>
      </w:tr>
    </w:tbl>
    <w:p>
      <w:pPr>
        <w:spacing w:lineRule="exact" w:line="1"/>
        <w:rPr>
          <w:sz w:val="2"/>
          <w:szCs w:val="2"/>
        </w:rPr>
      </w:pPr>
      <w:r>
        <w:br w:type="page"/>
      </w:r>
    </w:p>
    <w:tbl>
      <w:tblPr>
        <w:tblOverlap w:val="never"/>
        <w:jc w:val="center"/>
        <w:tblLayout w:type="fixed"/>
      </w:tblPr>
      <w:tblGrid>
        <w:gridCol w:w="1853"/>
        <w:gridCol w:w="1834"/>
        <w:gridCol w:w="1829"/>
        <w:gridCol w:w="1834"/>
        <w:gridCol w:w="1867"/>
      </w:tblGrid>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176,961,149.40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85,405,855.55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166,394,360.89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117,460,660.75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东北地区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22,043.76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34,624.58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74,115,144.98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53,586,532.75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77,628,525.43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59,501,054.21</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13,235,838.09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4,363,047.34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32,730,199.08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23,244,535.78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59,308,874.80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26,999,754.85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51,107,436.78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30,963,841.37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107,152.19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39,964.79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27,769.30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8,641.63</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30,194,139.34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416,555.82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4,878,386.54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3,707,963.18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二、境外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22,678,353.85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4,680,514.38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26,557,001.67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14,493,035.13</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199,639,503.25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bCs/>
                <w:color w:val="000000"/>
                <w:spacing w:val="0"/>
                <w:w w:val="100"/>
                <w:position w:val="0"/>
              </w:rPr>
              <w:t>90,086,369.93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b/>
                <w:bCs/>
                <w:color w:val="000000"/>
                <w:spacing w:val="0"/>
                <w:w w:val="100"/>
                <w:position w:val="0"/>
              </w:rPr>
              <w:t>192,951,362.56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b/>
                <w:bCs/>
                <w:color w:val="000000"/>
                <w:spacing w:val="0"/>
                <w:w w:val="100"/>
                <w:position w:val="0"/>
              </w:rPr>
              <w:t>131,953,695.88</w:t>
            </w:r>
          </w:p>
        </w:tc>
      </w:tr>
    </w:tbl>
    <w:p>
      <w:pPr>
        <w:widowControl w:val="0"/>
        <w:spacing w:after="119" w:line="1" w:lineRule="exact"/>
      </w:pPr>
    </w:p>
    <w:p>
      <w:pPr>
        <w:pStyle w:val="Style44"/>
        <w:keepNext w:val="0"/>
        <w:keepLines w:val="0"/>
        <w:widowControl w:val="0"/>
        <w:numPr>
          <w:ilvl w:val="0"/>
          <w:numId w:val="71"/>
        </w:numPr>
        <w:shd w:val="clear" w:color="auto" w:fill="auto"/>
        <w:tabs>
          <w:tab w:pos="1252" w:val="left"/>
        </w:tabs>
        <w:bidi w:val="0"/>
        <w:spacing w:before="0" w:after="120" w:line="240" w:lineRule="auto"/>
        <w:ind w:left="0" w:right="0" w:firstLine="740"/>
        <w:jc w:val="left"/>
      </w:pPr>
      <w:bookmarkStart w:id="1336" w:name="bookmark1336"/>
      <w:bookmarkEnd w:id="1336"/>
      <w:r>
        <w:rPr>
          <w:rFonts w:ascii="Times New Roman" w:eastAsia="Times New Roman" w:hAnsi="Times New Roman" w:cs="Times New Roman"/>
          <w:color w:val="000000"/>
          <w:spacing w:val="0"/>
          <w:w w:val="100"/>
          <w:position w:val="0"/>
        </w:rPr>
        <w:t>2020</w:t>
      </w:r>
      <w:r>
        <w:rPr>
          <w:color w:val="000000"/>
          <w:spacing w:val="0"/>
          <w:w w:val="100"/>
          <w:position w:val="0"/>
        </w:rPr>
        <w:t>年度营业收入按收入确认时间列示如下:</w:t>
      </w:r>
    </w:p>
    <w:tbl>
      <w:tblPr>
        <w:tblOverlap w:val="never"/>
        <w:jc w:val="center"/>
        <w:tblLayout w:type="fixed"/>
      </w:tblPr>
      <w:tblGrid>
        <w:gridCol w:w="1997"/>
        <w:gridCol w:w="1646"/>
        <w:gridCol w:w="1699"/>
        <w:gridCol w:w="1560"/>
        <w:gridCol w:w="994"/>
        <w:gridCol w:w="1786"/>
      </w:tblGrid>
      <w:tr>
        <w:trPr>
          <w:trHeight w:val="81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9" w:lineRule="exact"/>
              <w:ind w:left="0" w:right="0" w:firstLine="0"/>
              <w:jc w:val="center"/>
              <w:rPr>
                <w:sz w:val="20"/>
                <w:szCs w:val="20"/>
              </w:rPr>
            </w:pPr>
            <w:r>
              <w:rPr>
                <w:b/>
                <w:bCs/>
                <w:color w:val="000000"/>
                <w:spacing w:val="0"/>
                <w:w w:val="100"/>
                <w:position w:val="0"/>
                <w:sz w:val="20"/>
                <w:szCs w:val="20"/>
              </w:rPr>
              <w:t>产品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租赁</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提供</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其它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420"/>
              <w:jc w:val="left"/>
              <w:rPr>
                <w:sz w:val="20"/>
                <w:szCs w:val="20"/>
              </w:rPr>
            </w:pPr>
            <w:r>
              <w:rPr>
                <w:color w:val="000000"/>
                <w:spacing w:val="0"/>
                <w:w w:val="100"/>
                <w:position w:val="0"/>
                <w:sz w:val="20"/>
                <w:szCs w:val="20"/>
              </w:rPr>
              <w:t>在某一时点确</w:t>
            </w:r>
          </w:p>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认收入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156,706,467.70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42,933,035.55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199,639,503.25</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420"/>
              <w:jc w:val="left"/>
              <w:rPr>
                <w:sz w:val="20"/>
                <w:szCs w:val="20"/>
              </w:rPr>
            </w:pPr>
            <w:r>
              <w:rPr>
                <w:color w:val="000000"/>
                <w:spacing w:val="0"/>
                <w:w w:val="100"/>
                <w:position w:val="0"/>
                <w:sz w:val="20"/>
                <w:szCs w:val="20"/>
              </w:rPr>
              <w:t>在某一时段确</w:t>
            </w:r>
          </w:p>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认收入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16,941,978.21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16,941,978.21</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156,706,467.70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rPr>
              <w:t>16,941,978.21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42,933,035.55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bCs/>
                <w:color w:val="000000"/>
                <w:spacing w:val="0"/>
                <w:w w:val="100"/>
                <w:position w:val="0"/>
              </w:rPr>
              <w:t>216,581,481.46</w:t>
            </w:r>
          </w:p>
        </w:tc>
      </w:tr>
    </w:tbl>
    <w:p>
      <w:pPr>
        <w:widowControl w:val="0"/>
        <w:spacing w:after="119" w:line="1" w:lineRule="exact"/>
      </w:pPr>
    </w:p>
    <w:p>
      <w:pPr>
        <w:pStyle w:val="Style44"/>
        <w:keepNext w:val="0"/>
        <w:keepLines w:val="0"/>
        <w:widowControl w:val="0"/>
        <w:numPr>
          <w:ilvl w:val="0"/>
          <w:numId w:val="71"/>
        </w:numPr>
        <w:shd w:val="clear" w:color="auto" w:fill="auto"/>
        <w:bidi w:val="0"/>
        <w:spacing w:before="0" w:after="220" w:line="240" w:lineRule="auto"/>
        <w:ind w:left="0" w:right="0" w:firstLine="600"/>
        <w:jc w:val="left"/>
      </w:pPr>
      <w:bookmarkStart w:id="1337" w:name="bookmark1337"/>
      <w:bookmarkEnd w:id="1337"/>
      <w:r>
        <w:rPr>
          <w:color w:val="000000"/>
          <w:spacing w:val="0"/>
          <w:w w:val="100"/>
          <w:position w:val="0"/>
        </w:rPr>
        <w:t>履约义务相关的信息</w:t>
      </w:r>
    </w:p>
    <w:p>
      <w:pPr>
        <w:pStyle w:val="Style44"/>
        <w:keepNext w:val="0"/>
        <w:keepLines w:val="0"/>
        <w:widowControl w:val="0"/>
        <w:shd w:val="clear" w:color="auto" w:fill="auto"/>
        <w:bidi w:val="0"/>
        <w:spacing w:before="0" w:after="220" w:line="240" w:lineRule="auto"/>
        <w:ind w:left="0" w:right="0" w:firstLine="600"/>
        <w:jc w:val="left"/>
      </w:pPr>
      <w:r>
        <w:rPr>
          <w:color w:val="000000"/>
          <w:spacing w:val="0"/>
          <w:w w:val="100"/>
          <w:position w:val="0"/>
        </w:rPr>
        <w:t>本公司收入确认政策详见附注三、</w:t>
      </w:r>
      <w:r>
        <w:rPr>
          <w:rFonts w:ascii="Times New Roman" w:eastAsia="Times New Roman" w:hAnsi="Times New Roman" w:cs="Times New Roman"/>
          <w:color w:val="000000"/>
          <w:spacing w:val="0"/>
          <w:w w:val="100"/>
          <w:position w:val="0"/>
        </w:rPr>
        <w:t>23</w:t>
      </w:r>
      <w:r>
        <w:rPr>
          <w:color w:val="000000"/>
          <w:spacing w:val="0"/>
          <w:w w:val="100"/>
          <w:position w:val="0"/>
        </w:rPr>
        <w:t>。</w:t>
      </w:r>
    </w:p>
    <w:p>
      <w:pPr>
        <w:pStyle w:val="Style4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公司芯片类产品、负极材料形成的产品收入均属于销售商品收入，对于不包含安装的销售商</w:t>
      </w:r>
    </w:p>
    <w:p>
      <w:pPr>
        <w:pStyle w:val="Style44"/>
        <w:keepNext w:val="0"/>
        <w:keepLines w:val="0"/>
        <w:widowControl w:val="0"/>
        <w:shd w:val="clear" w:color="auto" w:fill="auto"/>
        <w:bidi w:val="0"/>
        <w:spacing w:before="0" w:after="0" w:line="490" w:lineRule="exact"/>
        <w:ind w:left="0" w:right="0" w:firstLine="140"/>
        <w:jc w:val="left"/>
      </w:pPr>
      <w:r>
        <w:rPr>
          <w:color w:val="000000"/>
          <w:spacing w:val="0"/>
          <w:w w:val="100"/>
          <w:position w:val="0"/>
        </w:rPr>
        <w:t>品收入，本公司收入确认时点，以公司将商品控制权转移给购买方(即客户签收时点)确认商品 销售收入实现。</w:t>
      </w:r>
    </w:p>
    <w:p>
      <w:pPr>
        <w:pStyle w:val="Style44"/>
        <w:keepNext w:val="0"/>
        <w:keepLines w:val="0"/>
        <w:widowControl w:val="0"/>
        <w:shd w:val="clear" w:color="auto" w:fill="auto"/>
        <w:bidi w:val="0"/>
        <w:spacing w:before="0" w:after="220" w:line="490" w:lineRule="exact"/>
        <w:ind w:left="0" w:right="0" w:firstLine="600"/>
        <w:jc w:val="left"/>
      </w:pPr>
      <w:r>
        <w:rPr>
          <w:color w:val="000000"/>
          <w:spacing w:val="0"/>
          <w:w w:val="100"/>
          <w:position w:val="0"/>
        </w:rPr>
        <w:t xml:space="preserve">对于包含安装的销售商品收入，销售商品部分和提供劳务部分不能够区分，或虽能区分但不 </w:t>
      </w:r>
      <w:r>
        <w:rPr>
          <w:color w:val="000000"/>
          <w:spacing w:val="0"/>
          <w:w w:val="100"/>
          <w:position w:val="0"/>
        </w:rPr>
        <w:t>能够单独计量的，将销售商品部分和提供劳务部分全部作为销售商品处理。将购买方验收时点作</w:t>
      </w:r>
    </w:p>
    <w:tbl>
      <w:tblPr>
        <w:tblOverlap w:val="never"/>
        <w:jc w:val="center"/>
        <w:tblLayout w:type="fixed"/>
      </w:tblPr>
      <w:tblGrid>
        <w:gridCol w:w="5899"/>
        <w:gridCol w:w="4042"/>
      </w:tblGrid>
      <w:tr>
        <w:trPr>
          <w:trHeight w:val="922" w:hRule="exact"/>
        </w:trPr>
        <w:tc>
          <w:tcPr>
            <w:gridSpan w:val="2"/>
            <w:tcBorders/>
            <w:shd w:val="clear" w:color="auto" w:fill="FFFFFF"/>
            <w:vAlign w:val="top"/>
          </w:tcPr>
          <w:p>
            <w:pPr>
              <w:pStyle w:val="Style2"/>
              <w:keepNext w:val="0"/>
              <w:keepLines w:val="0"/>
              <w:widowControl w:val="0"/>
              <w:shd w:val="clear" w:color="auto" w:fill="auto"/>
              <w:bidi w:val="0"/>
              <w:spacing w:before="0" w:after="240" w:line="240" w:lineRule="auto"/>
              <w:ind w:left="0" w:right="0" w:firstLine="140"/>
              <w:jc w:val="left"/>
            </w:pPr>
            <w:r>
              <w:rPr>
                <w:color w:val="000000"/>
                <w:spacing w:val="0"/>
                <w:w w:val="100"/>
                <w:position w:val="0"/>
              </w:rPr>
              <w:t>为控制权转移时点，确认收入。</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)分摊至剩余履约义务交易价格相关信息</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31</w:t>
            </w:r>
            <w:r>
              <w:rPr>
                <w:b/>
                <w:bCs/>
                <w:color w:val="000000"/>
                <w:spacing w:val="0"/>
                <w:w w:val="100"/>
                <w:position w:val="0"/>
                <w:sz w:val="20"/>
                <w:szCs w:val="20"/>
              </w:rPr>
              <w:t>日</w:t>
            </w:r>
          </w:p>
        </w:tc>
      </w:tr>
      <w:tr>
        <w:trPr>
          <w:trHeight w:val="7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78" w:lineRule="exact"/>
              <w:ind w:left="500" w:right="0" w:firstLine="0"/>
              <w:jc w:val="left"/>
              <w:rPr>
                <w:sz w:val="20"/>
                <w:szCs w:val="20"/>
              </w:rPr>
            </w:pPr>
            <w:r>
              <w:rPr>
                <w:color w:val="000000"/>
                <w:spacing w:val="0"/>
                <w:w w:val="100"/>
                <w:position w:val="0"/>
                <w:sz w:val="20"/>
                <w:szCs w:val="20"/>
              </w:rPr>
              <w:t>期末已签订合同、但尚未履行或尚未履行完毕的履约义 务所对应的收入金额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rPr>
              <w:t>178,021,642.17</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其中：预计将于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年度确认收入的金额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rPr>
              <w:t>56,418,530.97</w:t>
            </w:r>
          </w:p>
        </w:tc>
      </w:tr>
    </w:tbl>
    <w:p>
      <w:pPr>
        <w:sectPr>
          <w:headerReference w:type="default" r:id="rId181"/>
          <w:footerReference w:type="default" r:id="rId182"/>
          <w:headerReference w:type="even" r:id="rId183"/>
          <w:footerReference w:type="even" r:id="rId184"/>
          <w:footnotePr>
            <w:pos w:val="pageBottom"/>
            <w:numFmt w:val="decimal"/>
            <w:numRestart w:val="continuous"/>
          </w:footnotePr>
          <w:pgSz w:w="11900" w:h="16840"/>
          <w:pgMar w:top="1374" w:right="986" w:bottom="1330" w:left="916" w:header="0" w:footer="3" w:gutter="0"/>
          <w:cols w:space="720"/>
          <w:noEndnote/>
          <w:rtlGutter w:val="0"/>
          <w:docGrid w:linePitch="360"/>
        </w:sectPr>
      </w:pPr>
    </w:p>
    <w:tbl>
      <w:tblPr>
        <w:tblOverlap w:val="never"/>
        <w:jc w:val="center"/>
        <w:tblLayout w:type="fixed"/>
      </w:tblPr>
      <w:tblGrid>
        <w:gridCol w:w="4838"/>
        <w:gridCol w:w="1061"/>
        <w:gridCol w:w="1229"/>
        <w:gridCol w:w="2813"/>
      </w:tblGrid>
      <w:tr>
        <w:trPr>
          <w:trHeight w:val="46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项目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31</w:t>
            </w:r>
            <w:r>
              <w:rPr>
                <w:b/>
                <w:bCs/>
                <w:color w:val="000000"/>
                <w:spacing w:val="0"/>
                <w:w w:val="100"/>
                <w:position w:val="0"/>
                <w:sz w:val="20"/>
                <w:szCs w:val="20"/>
              </w:rPr>
              <w:t>日</w:t>
            </w:r>
          </w:p>
        </w:tc>
      </w:tr>
      <w:tr>
        <w:trPr>
          <w:trHeight w:val="46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预计将于</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sz w:val="20"/>
                <w:szCs w:val="20"/>
              </w:rPr>
              <w:t>年度确认收入的金额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rPr>
              <w:t>12,702,720.85</w:t>
            </w:r>
          </w:p>
        </w:tc>
      </w:tr>
      <w:tr>
        <w:trPr>
          <w:trHeight w:val="46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预计将于</w:t>
            </w:r>
            <w:r>
              <w:rPr>
                <w:rFonts w:ascii="Times New Roman" w:eastAsia="Times New Roman" w:hAnsi="Times New Roman" w:cs="Times New Roman"/>
                <w:color w:val="000000"/>
                <w:spacing w:val="0"/>
                <w:w w:val="100"/>
                <w:position w:val="0"/>
                <w:sz w:val="22"/>
                <w:szCs w:val="22"/>
              </w:rPr>
              <w:t>2023</w:t>
            </w:r>
            <w:r>
              <w:rPr>
                <w:color w:val="000000"/>
                <w:spacing w:val="0"/>
                <w:w w:val="100"/>
                <w:position w:val="0"/>
                <w:sz w:val="20"/>
                <w:szCs w:val="20"/>
              </w:rPr>
              <w:t>年及以后年度确认收入的金额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rPr>
              <w:t>108,900,390.35</w:t>
            </w:r>
          </w:p>
        </w:tc>
      </w:tr>
      <w:tr>
        <w:trPr>
          <w:trHeight w:val="926" w:hRule="exact"/>
        </w:trPr>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4"/>
                <w:szCs w:val="24"/>
              </w:rPr>
            </w:pPr>
            <w:bookmarkStart w:id="1339" w:name="bookmark1339"/>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、投资收益</w:t>
            </w:r>
            <w:bookmarkEnd w:id="1339"/>
          </w:p>
        </w:tc>
      </w:tr>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被投资单位名称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sz w:val="20"/>
                <w:szCs w:val="20"/>
              </w:rPr>
              <w:t>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b/>
                <w:bCs/>
                <w:color w:val="000000"/>
                <w:spacing w:val="0"/>
                <w:w w:val="100"/>
                <w:position w:val="0"/>
                <w:sz w:val="22"/>
                <w:szCs w:val="22"/>
              </w:rPr>
              <w:t>2019</w:t>
            </w:r>
            <w:r>
              <w:rPr>
                <w:b/>
                <w:bCs/>
                <w:color w:val="000000"/>
                <w:spacing w:val="0"/>
                <w:w w:val="100"/>
                <w:position w:val="0"/>
                <w:sz w:val="20"/>
                <w:szCs w:val="20"/>
              </w:rPr>
              <w:t>年度</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理财产品投资收益</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267,758.88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872,541.11</w:t>
            </w:r>
          </w:p>
        </w:tc>
      </w:tr>
      <w:tr>
        <w:trPr>
          <w:trHeight w:val="4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合计</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267,758.88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b/>
                <w:bCs/>
                <w:color w:val="000000"/>
                <w:spacing w:val="0"/>
                <w:w w:val="100"/>
                <w:position w:val="0"/>
              </w:rPr>
              <w:t>872,541.11</w:t>
            </w:r>
          </w:p>
        </w:tc>
      </w:tr>
    </w:tbl>
    <w:p>
      <w:pPr>
        <w:pStyle w:val="Style38"/>
        <w:keepNext w:val="0"/>
        <w:keepLines w:val="0"/>
        <w:widowControl w:val="0"/>
        <w:shd w:val="clear" w:color="auto" w:fill="auto"/>
        <w:bidi w:val="0"/>
        <w:spacing w:before="0" w:after="0" w:line="240" w:lineRule="auto"/>
        <w:ind w:left="139" w:right="0" w:firstLine="0"/>
        <w:jc w:val="left"/>
      </w:pPr>
      <w:bookmarkStart w:id="1338" w:name="bookmark1338"/>
      <w:r>
        <w:rPr>
          <w:b/>
          <w:bCs/>
          <w:color w:val="000000"/>
          <w:spacing w:val="0"/>
          <w:w w:val="100"/>
          <w:position w:val="0"/>
        </w:rPr>
        <w:t>十五、补充资料</w:t>
      </w:r>
      <w:bookmarkEnd w:id="1338"/>
    </w:p>
    <w:p>
      <w:pPr>
        <w:widowControl w:val="0"/>
        <w:spacing w:after="319" w:line="1" w:lineRule="exact"/>
      </w:pPr>
    </w:p>
    <w:p>
      <w:pPr>
        <w:pStyle w:val="Style38"/>
        <w:keepNext w:val="0"/>
        <w:keepLines w:val="0"/>
        <w:widowControl w:val="0"/>
        <w:shd w:val="clear" w:color="auto" w:fill="auto"/>
        <w:bidi w:val="0"/>
        <w:spacing w:before="0" w:after="0" w:line="240" w:lineRule="auto"/>
        <w:ind w:left="48" w:right="0" w:firstLine="0"/>
        <w:jc w:val="left"/>
        <w:rPr>
          <w:sz w:val="24"/>
          <w:szCs w:val="24"/>
        </w:rPr>
      </w:pPr>
      <w:bookmarkStart w:id="1340" w:name="bookmark1340"/>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、当期非经常性损益明细表</w:t>
      </w:r>
      <w:bookmarkEnd w:id="1340"/>
    </w:p>
    <w:tbl>
      <w:tblPr>
        <w:tblOverlap w:val="never"/>
        <w:jc w:val="center"/>
        <w:tblLayout w:type="fixed"/>
      </w:tblPr>
      <w:tblGrid>
        <w:gridCol w:w="5328"/>
        <w:gridCol w:w="1982"/>
        <w:gridCol w:w="1906"/>
      </w:tblGrid>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说明</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非流动性资产处置损益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-309,292.61</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500"/>
              <w:jc w:val="both"/>
              <w:rPr>
                <w:sz w:val="20"/>
                <w:szCs w:val="20"/>
              </w:rPr>
            </w:pPr>
            <w:r>
              <w:rPr>
                <w:color w:val="000000"/>
                <w:spacing w:val="0"/>
                <w:w w:val="100"/>
                <w:position w:val="0"/>
                <w:sz w:val="20"/>
                <w:szCs w:val="20"/>
              </w:rPr>
              <w:t>越权审批，或无正式批准文件，或偶发性的税收</w:t>
            </w:r>
          </w:p>
          <w:p>
            <w:pPr>
              <w:pStyle w:val="Style2"/>
              <w:keepNext w:val="0"/>
              <w:keepLines w:val="0"/>
              <w:widowControl w:val="0"/>
              <w:shd w:val="clear" w:color="auto" w:fill="auto"/>
              <w:tabs>
                <w:tab w:pos="1134" w:val="left"/>
              </w:tabs>
              <w:bidi w:val="0"/>
              <w:spacing w:before="0" w:after="0" w:line="240" w:lineRule="auto"/>
              <w:ind w:left="0" w:right="0" w:firstLine="500"/>
              <w:jc w:val="left"/>
              <w:rPr>
                <w:sz w:val="10"/>
                <w:szCs w:val="10"/>
              </w:rPr>
            </w:pPr>
            <w:r>
              <w:rPr>
                <w:color w:val="000000"/>
                <w:spacing w:val="0"/>
                <w:w w:val="100"/>
                <w:position w:val="0"/>
                <w:sz w:val="10"/>
                <w:szCs w:val="10"/>
              </w:rPr>
              <w:t>£房.上=</w:t>
              <w:tab/>
              <w:t>、点辰</w:t>
            </w:r>
            <w:r>
              <w:rPr>
                <w:color w:val="000000"/>
                <w:spacing w:val="0"/>
                <w:w w:val="100"/>
                <w:position w:val="0"/>
                <w:sz w:val="10"/>
                <w:szCs w:val="1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计入当期损益的政府补助，但与企业正常经营业</w:t>
            </w:r>
          </w:p>
          <w:p>
            <w:pPr>
              <w:pStyle w:val="Style2"/>
              <w:keepNext w:val="0"/>
              <w:keepLines w:val="0"/>
              <w:widowControl w:val="0"/>
              <w:shd w:val="clear" w:color="auto" w:fill="auto"/>
              <w:tabs>
                <w:tab w:pos="1801" w:val="left"/>
                <w:tab w:pos="2257" w:val="left"/>
                <w:tab w:pos="3783" w:val="left"/>
                <w:tab w:pos="4657" w:val="left"/>
              </w:tabs>
              <w:bidi w:val="0"/>
              <w:spacing w:before="0" w:after="0" w:line="240" w:lineRule="auto"/>
              <w:ind w:left="0" w:right="0" w:firstLine="500"/>
              <w:jc w:val="both"/>
              <w:rPr>
                <w:sz w:val="26"/>
                <w:szCs w:val="26"/>
              </w:rPr>
            </w:pPr>
            <w:r>
              <w:rPr>
                <w:i/>
                <w:iCs/>
                <w:color w:val="000000"/>
                <w:spacing w:val="0"/>
                <w:w w:val="100"/>
                <w:position w:val="0"/>
                <w:sz w:val="26"/>
                <w:szCs w:val="26"/>
              </w:rPr>
              <w:t>反</w:t>
            </w:r>
            <w:r>
              <w:rPr>
                <w:color w:val="000000"/>
                <w:spacing w:val="0"/>
                <w:w w:val="100"/>
                <w:position w:val="0"/>
                <w:sz w:val="10"/>
                <w:szCs w:val="10"/>
              </w:rPr>
              <w:t xml:space="preserve"> 久淑工口 </w:t>
            </w:r>
            <w:r>
              <w:rPr>
                <w:i/>
                <w:iCs/>
                <w:color w:val="000000"/>
                <w:spacing w:val="0"/>
                <w:w w:val="100"/>
                <w:position w:val="0"/>
                <w:sz w:val="26"/>
                <w:szCs w:val="26"/>
              </w:rPr>
              <w:t>圣</w:t>
            </w:r>
            <w:r>
              <w:rPr>
                <w:color w:val="000000"/>
                <w:spacing w:val="0"/>
                <w:w w:val="100"/>
                <w:position w:val="0"/>
                <w:sz w:val="10"/>
                <w:szCs w:val="10"/>
              </w:rPr>
              <w:tab/>
              <w:t>夕亍</w:t>
              <w:tab/>
            </w:r>
            <w:r>
              <w:rPr>
                <w:color w:val="000000"/>
                <w:spacing w:val="0"/>
                <w:w w:val="100"/>
                <w:position w:val="0"/>
                <w:sz w:val="10"/>
                <w:szCs w:val="10"/>
              </w:rPr>
              <w:t xml:space="preserve">E </w:t>
            </w:r>
            <w:r>
              <w:rPr>
                <w:color w:val="000000"/>
                <w:spacing w:val="0"/>
                <w:w w:val="100"/>
                <w:position w:val="0"/>
                <w:sz w:val="10"/>
                <w:szCs w:val="10"/>
              </w:rPr>
              <w:t xml:space="preserve">主 </w:t>
            </w:r>
            <w:r>
              <w:rPr>
                <w:rFonts w:ascii="Arial" w:eastAsia="Arial" w:hAnsi="Arial" w:cs="Arial"/>
                <w:color w:val="000000"/>
                <w:spacing w:val="0"/>
                <w:w w:val="100"/>
                <w:position w:val="0"/>
                <w:sz w:val="22"/>
                <w:szCs w:val="22"/>
              </w:rPr>
              <w:t>7T-Ar</w:t>
            </w:r>
            <w:r>
              <w:rPr>
                <w:color w:val="000000"/>
                <w:spacing w:val="0"/>
                <w:w w:val="100"/>
                <w:position w:val="0"/>
                <w:sz w:val="10"/>
                <w:szCs w:val="10"/>
              </w:rPr>
              <w:t xml:space="preserve">乃次 </w:t>
            </w:r>
            <w:r>
              <w:rPr>
                <w:rFonts w:ascii="Arial" w:eastAsia="Arial" w:hAnsi="Arial" w:cs="Arial"/>
                <w:color w:val="000000"/>
                <w:spacing w:val="0"/>
                <w:w w:val="100"/>
                <w:position w:val="0"/>
                <w:sz w:val="22"/>
                <w:szCs w:val="22"/>
              </w:rPr>
              <w:t>4-rn</w:t>
              <w:tab/>
            </w:r>
            <w:r>
              <w:rPr>
                <w:color w:val="000000"/>
                <w:spacing w:val="0"/>
                <w:w w:val="100"/>
                <w:position w:val="0"/>
                <w:sz w:val="10"/>
                <w:szCs w:val="10"/>
              </w:rPr>
              <w:t>主｝ 口</w:t>
            </w:r>
            <w:r>
              <w:rPr>
                <w:rFonts w:ascii="Arial" w:eastAsia="Arial" w:hAnsi="Arial" w:cs="Arial"/>
                <w:color w:val="000000"/>
                <w:spacing w:val="0"/>
                <w:w w:val="100"/>
                <w:position w:val="0"/>
                <w:sz w:val="22"/>
                <w:szCs w:val="22"/>
              </w:rPr>
              <w:t>77</w:t>
              <w:tab/>
              <w:t>4■—</w:t>
            </w:r>
            <w:r>
              <w:rPr>
                <w:i/>
                <w:iCs/>
                <w:color w:val="000000"/>
                <w:spacing w:val="0"/>
                <w:w w:val="100"/>
                <w:position w:val="0"/>
                <w:sz w:val="26"/>
                <w:szCs w:val="26"/>
              </w:rPr>
              <w:t>、好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24,382,081.67</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1,507,360.78</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取得子公司、联营企业及合营企业的投资成本小</w:t>
            </w:r>
          </w:p>
          <w:p>
            <w:pPr>
              <w:pStyle w:val="Style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■X</w:t>
            </w:r>
            <w:r>
              <w:rPr>
                <w:color w:val="000000"/>
                <w:spacing w:val="0"/>
                <w:w w:val="100"/>
                <w:position w:val="0"/>
                <w:sz w:val="10"/>
                <w:szCs w:val="10"/>
              </w:rPr>
              <w:t>如而</w:t>
            </w:r>
            <w:r>
              <w:rPr>
                <w:rFonts w:ascii="Arial" w:eastAsia="Arial" w:hAnsi="Arial" w:cs="Arial"/>
                <w:color w:val="000000"/>
                <w:spacing w:val="0"/>
                <w:w w:val="100"/>
                <w:position w:val="0"/>
              </w:rPr>
              <w:t xml:space="preserve">4B </w:t>
            </w:r>
            <w:r>
              <w:rPr>
                <w:rFonts w:ascii="Arial" w:eastAsia="Arial" w:hAnsi="Arial" w:cs="Arial"/>
                <w:i/>
                <w:iCs/>
                <w:color w:val="000000"/>
                <w:spacing w:val="0"/>
                <w:w w:val="100"/>
                <w:position w:val="0"/>
              </w:rPr>
              <w:t>m</w:t>
            </w:r>
            <w:r>
              <w:rPr>
                <w:i/>
                <w:iCs/>
                <w:color w:val="000000"/>
                <w:spacing w:val="0"/>
                <w:w w:val="100"/>
                <w:position w:val="0"/>
                <w:sz w:val="26"/>
                <w:szCs w:val="26"/>
              </w:rPr>
              <w:t>次</w:t>
            </w:r>
            <w:r>
              <w:rPr>
                <w:color w:val="000000"/>
                <w:spacing w:val="0"/>
                <w:w w:val="100"/>
                <w:position w:val="0"/>
                <w:sz w:val="10"/>
                <w:szCs w:val="10"/>
              </w:rPr>
              <w:t xml:space="preserve"> 相部吉 </w:t>
            </w:r>
            <w:r>
              <w:rPr>
                <w:rFonts w:ascii="Arial" w:eastAsia="Arial" w:hAnsi="Arial" w:cs="Arial"/>
                <w:color w:val="000000"/>
                <w:spacing w:val="0"/>
                <w:w w:val="100"/>
                <w:position w:val="0"/>
              </w:rPr>
              <w:t>Wr j</w:t>
            </w:r>
            <w:r>
              <w:rPr>
                <w:color w:val="000000"/>
                <w:spacing w:val="0"/>
                <w:w w:val="100"/>
                <w:position w:val="0"/>
                <w:sz w:val="10"/>
                <w:szCs w:val="10"/>
              </w:rPr>
              <w:t xml:space="preserve">血士爪次 X 咨 </w:t>
            </w:r>
            <w:r>
              <w:rPr>
                <w:rFonts w:ascii="Arial" w:eastAsia="Arial" w:hAnsi="Arial" w:cs="Arial"/>
                <w:color w:val="000000"/>
                <w:spacing w:val="0"/>
                <w:w w:val="100"/>
                <w:position w:val="0"/>
              </w:rPr>
              <w:t>F7</w:t>
            </w:r>
            <w:r>
              <w:rPr>
                <w:color w:val="000000"/>
                <w:spacing w:val="0"/>
                <w:w w:val="100"/>
                <w:position w:val="0"/>
                <w:sz w:val="10"/>
                <w:szCs w:val="10"/>
              </w:rPr>
              <w:t>句立京</w:t>
            </w:r>
            <w:r>
              <w:rPr>
                <w:rFonts w:ascii="Arial" w:eastAsia="Arial" w:hAnsi="Arial" w:cs="Arial"/>
                <w:color w:val="000000"/>
                <w:spacing w:val="0"/>
                <w:w w:val="100"/>
                <w:position w:val="0"/>
              </w:rPr>
              <w:t>I</w:t>
            </w:r>
            <w:r>
              <w:rPr>
                <w:color w:val="000000"/>
                <w:spacing w:val="0"/>
                <w:w w:val="100"/>
                <w:position w:val="0"/>
                <w:sz w:val="10"/>
                <w:szCs w:val="10"/>
              </w:rPr>
              <w:t xml:space="preserve">、&amp;; </w:t>
            </w:r>
            <w:r>
              <w:rPr>
                <w:i/>
                <w:iCs/>
                <w:color w:val="000000"/>
                <w:spacing w:val="0"/>
                <w:w w:val="100"/>
                <w:position w:val="0"/>
                <w:sz w:val="26"/>
                <w:szCs w:val="26"/>
              </w:rPr>
              <w:t>欢</w:t>
            </w:r>
            <w:r>
              <w:rPr>
                <w:rFonts w:ascii="Arial" w:eastAsia="Arial" w:hAnsi="Arial" w:cs="Arial"/>
                <w:color w:val="000000"/>
                <w:spacing w:val="0"/>
                <w:w w:val="100"/>
                <w:position w:val="0"/>
              </w:rPr>
              <w:t xml:space="preserve"> </w:t>
            </w:r>
            <w:r>
              <w:rPr>
                <w:rFonts w:ascii="Arial" w:eastAsia="Arial" w:hAnsi="Arial" w:cs="Arial"/>
                <w:color w:val="000000"/>
                <w:spacing w:val="0"/>
                <w:w w:val="100"/>
                <w:position w:val="0"/>
              </w:rPr>
              <w:t xml:space="preserve">-Vr </w:t>
            </w:r>
            <w:r>
              <w:rPr>
                <w:rFonts w:ascii="Arial" w:eastAsia="Arial" w:hAnsi="Arial" w:cs="Arial"/>
                <w:i/>
                <w:iCs/>
                <w:color w:val="000000"/>
                <w:spacing w:val="0"/>
                <w:w w:val="100"/>
                <w:position w:val="0"/>
              </w:rPr>
              <w:t>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500"/>
              <w:jc w:val="both"/>
              <w:rPr>
                <w:sz w:val="20"/>
                <w:szCs w:val="20"/>
              </w:rPr>
            </w:pPr>
            <w:r>
              <w:rPr>
                <w:color w:val="000000"/>
                <w:spacing w:val="0"/>
                <w:w w:val="100"/>
                <w:position w:val="0"/>
                <w:sz w:val="20"/>
                <w:szCs w:val="20"/>
              </w:rPr>
              <w:t>因不可抗力因素，如遭受自然灾害而计提的各项</w:t>
            </w:r>
          </w:p>
          <w:p>
            <w:pPr>
              <w:pStyle w:val="Style2"/>
              <w:keepNext w:val="0"/>
              <w:keepLines w:val="0"/>
              <w:widowControl w:val="0"/>
              <w:shd w:val="clear" w:color="auto" w:fill="auto"/>
              <w:bidi w:val="0"/>
              <w:spacing w:before="0" w:after="0" w:line="240" w:lineRule="auto"/>
              <w:ind w:left="0" w:right="0" w:firstLine="500"/>
              <w:jc w:val="both"/>
              <w:rPr>
                <w:sz w:val="10"/>
                <w:szCs w:val="10"/>
              </w:rPr>
            </w:pPr>
            <w:r>
              <w:rPr>
                <w:color w:val="000000"/>
                <w:spacing w:val="0"/>
                <w:w w:val="100"/>
                <w:position w:val="0"/>
                <w:sz w:val="10"/>
                <w:szCs w:val="10"/>
              </w:rPr>
              <w:t>次亡、居</w:t>
            </w:r>
            <w:r>
              <w:rPr>
                <w:i/>
                <w:iCs/>
                <w:color w:val="000000"/>
                <w:spacing w:val="0"/>
                <w:w w:val="100"/>
                <w:position w:val="0"/>
                <w:sz w:val="26"/>
                <w:szCs w:val="26"/>
              </w:rPr>
              <w:t>居</w:t>
            </w:r>
            <w:r>
              <w:rPr>
                <w:color w:val="000000"/>
                <w:spacing w:val="0"/>
                <w:w w:val="100"/>
                <w:position w:val="0"/>
                <w:sz w:val="10"/>
                <w:szCs w:val="10"/>
              </w:rPr>
              <w:t>、仓痴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交易价格显失公允的交易产生的超过公允价值部</w:t>
            </w:r>
          </w:p>
          <w:p>
            <w:pPr>
              <w:pStyle w:val="Style2"/>
              <w:keepNext w:val="0"/>
              <w:keepLines w:val="0"/>
              <w:widowControl w:val="0"/>
              <w:shd w:val="clear" w:color="auto" w:fill="auto"/>
              <w:bidi w:val="0"/>
              <w:spacing w:before="0" w:after="0" w:line="180" w:lineRule="auto"/>
              <w:ind w:left="0" w:right="0" w:firstLine="500"/>
              <w:jc w:val="left"/>
            </w:pPr>
            <w:r>
              <w:rPr>
                <w:rFonts w:ascii="Arial" w:eastAsia="Arial" w:hAnsi="Arial" w:cs="Arial"/>
                <w:color w:val="000000"/>
                <w:spacing w:val="0"/>
                <w:w w:val="100"/>
                <w:position w:val="0"/>
              </w:rPr>
              <w:t xml:space="preserve">z </w:t>
            </w:r>
            <w:r>
              <w:rPr>
                <w:rFonts w:ascii="Arial" w:eastAsia="Arial" w:hAnsi="Arial" w:cs="Arial"/>
                <w:color w:val="000000"/>
                <w:spacing w:val="0"/>
                <w:w w:val="100"/>
                <w:position w:val="0"/>
              </w:rPr>
              <w:t>\</w:t>
            </w:r>
            <w:r>
              <w:rPr>
                <w:i/>
                <w:iCs/>
                <w:color w:val="000000"/>
                <w:spacing w:val="0"/>
                <w:w w:val="100"/>
                <w:position w:val="0"/>
                <w:sz w:val="26"/>
                <w:szCs w:val="26"/>
              </w:rPr>
              <w:t>赢</w:t>
            </w:r>
            <w:r>
              <w:rPr>
                <w:color w:val="000000"/>
                <w:spacing w:val="0"/>
                <w:w w:val="100"/>
                <w:position w:val="0"/>
                <w:sz w:val="10"/>
                <w:szCs w:val="10"/>
              </w:rPr>
              <w:t>土匚</w:t>
            </w:r>
            <w:r>
              <w:rPr>
                <w:rFonts w:ascii="Arial" w:eastAsia="Arial" w:hAnsi="Arial" w:cs="Arial"/>
                <w:color w:val="000000"/>
                <w:spacing w:val="0"/>
                <w:w w:val="100"/>
                <w:position w:val="0"/>
              </w:rPr>
              <w:t xml:space="preserve">r </w:t>
            </w:r>
            <w:r>
              <w:rPr>
                <w:rFonts w:ascii="Arial" w:eastAsia="Arial" w:hAnsi="Arial" w:cs="Arial"/>
                <w:color w:val="000000"/>
                <w:spacing w:val="0"/>
                <w:w w:val="100"/>
                <w:position w:val="0"/>
              </w:rPr>
              <w:t>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500"/>
              <w:jc w:val="both"/>
              <w:rPr>
                <w:sz w:val="20"/>
                <w:szCs w:val="20"/>
              </w:rPr>
            </w:pPr>
            <w:r>
              <w:rPr>
                <w:color w:val="000000"/>
                <w:spacing w:val="0"/>
                <w:w w:val="100"/>
                <w:position w:val="0"/>
                <w:sz w:val="20"/>
                <w:szCs w:val="20"/>
              </w:rPr>
              <w:t>同一控制下企业合并产生的子公司期初至合并日</w:t>
            </w:r>
          </w:p>
          <w:p>
            <w:pPr>
              <w:pStyle w:val="Style2"/>
              <w:keepNext w:val="0"/>
              <w:keepLines w:val="0"/>
              <w:widowControl w:val="0"/>
              <w:shd w:val="clear" w:color="auto" w:fill="auto"/>
              <w:bidi w:val="0"/>
              <w:spacing w:before="0" w:after="0" w:line="240" w:lineRule="auto"/>
              <w:ind w:left="0" w:right="0" w:firstLine="500"/>
              <w:jc w:val="left"/>
              <w:rPr>
                <w:sz w:val="10"/>
                <w:szCs w:val="10"/>
              </w:rPr>
            </w:pPr>
            <w:r>
              <w:rPr>
                <w:color w:val="000000"/>
                <w:spacing w:val="0"/>
                <w:w w:val="100"/>
                <w:position w:val="0"/>
                <w:sz w:val="10"/>
                <w:szCs w:val="10"/>
              </w:rPr>
              <w:t>点右业.甘口</w:t>
            </w:r>
            <w:r>
              <w:rPr>
                <w:i/>
                <w:iCs/>
                <w:color w:val="000000"/>
                <w:spacing w:val="0"/>
                <w:w w:val="100"/>
                <w:position w:val="0"/>
                <w:sz w:val="26"/>
                <w:szCs w:val="26"/>
              </w:rPr>
              <w:t>、食</w:t>
            </w:r>
            <w:r>
              <w:rPr>
                <w:color w:val="000000"/>
                <w:spacing w:val="0"/>
                <w:w w:val="100"/>
                <w:position w:val="0"/>
                <w:sz w:val="10"/>
                <w:szCs w:val="10"/>
              </w:rPr>
              <w:t>土 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除同公司正常经营业务相关的有效套期保值业务</w:t>
            </w:r>
          </w:p>
          <w:p>
            <w:pPr>
              <w:pStyle w:val="Style2"/>
              <w:keepNext w:val="0"/>
              <w:keepLines w:val="0"/>
              <w:widowControl w:val="0"/>
              <w:shd w:val="clear" w:color="auto" w:fill="auto"/>
              <w:tabs>
                <w:tab w:pos="884" w:val="left"/>
                <w:tab w:pos="3102" w:val="left"/>
                <w:tab w:pos="4110" w:val="left"/>
                <w:tab w:pos="4858" w:val="left"/>
              </w:tabs>
              <w:bidi w:val="0"/>
              <w:spacing w:before="0" w:after="0" w:line="240" w:lineRule="auto"/>
              <w:ind w:left="0" w:right="0" w:firstLine="500"/>
              <w:jc w:val="left"/>
            </w:pPr>
            <w:r>
              <w:rPr>
                <w:rFonts w:ascii="Arial" w:eastAsia="Arial" w:hAnsi="Arial" w:cs="Arial"/>
                <w:color w:val="000000"/>
                <w:spacing w:val="0"/>
                <w:w w:val="100"/>
                <w:position w:val="0"/>
              </w:rPr>
              <w:t>ZxL</w:t>
              <w:tab/>
            </w:r>
            <w:r>
              <w:rPr>
                <w:color w:val="000000"/>
                <w:spacing w:val="0"/>
                <w:w w:val="100"/>
                <w:position w:val="0"/>
                <w:sz w:val="10"/>
                <w:szCs w:val="10"/>
              </w:rPr>
              <w:t xml:space="preserve">土士;若'*: </w:t>
            </w:r>
            <w:r>
              <w:rPr>
                <w:rFonts w:ascii="Arial" w:eastAsia="Arial" w:hAnsi="Arial" w:cs="Arial"/>
                <w:color w:val="000000"/>
                <w:spacing w:val="0"/>
                <w:w w:val="100"/>
                <w:position w:val="0"/>
              </w:rPr>
              <w:t xml:space="preserve">S </w:t>
            </w:r>
            <w:r>
              <w:rPr>
                <w:color w:val="000000"/>
                <w:spacing w:val="0"/>
                <w:w w:val="100"/>
                <w:position w:val="0"/>
                <w:sz w:val="10"/>
                <w:szCs w:val="10"/>
              </w:rPr>
              <w:t xml:space="preserve">川或 农点由密 </w:t>
            </w:r>
            <w:r>
              <w:rPr>
                <w:rFonts w:ascii="Arial" w:eastAsia="Arial" w:hAnsi="Arial" w:cs="Arial"/>
                <w:color w:val="000000"/>
                <w:spacing w:val="0"/>
                <w:w w:val="100"/>
                <w:position w:val="0"/>
              </w:rPr>
              <w:t>rV</w:t>
              <w:tab/>
            </w:r>
            <w:r>
              <w:rPr>
                <w:color w:val="000000"/>
                <w:spacing w:val="0"/>
                <w:w w:val="100"/>
                <w:position w:val="0"/>
                <w:sz w:val="10"/>
                <w:szCs w:val="10"/>
              </w:rPr>
              <w:t xml:space="preserve">六 </w:t>
            </w:r>
            <w:r>
              <w:rPr>
                <w:rFonts w:ascii="Arial" w:eastAsia="Arial" w:hAnsi="Arial" w:cs="Arial"/>
                <w:color w:val="000000"/>
                <w:spacing w:val="0"/>
                <w:w w:val="100"/>
                <w:position w:val="0"/>
              </w:rPr>
              <w:t xml:space="preserve">H </w:t>
            </w:r>
            <w:r>
              <w:rPr>
                <w:color w:val="000000"/>
                <w:spacing w:val="0"/>
                <w:w w:val="100"/>
                <w:position w:val="0"/>
                <w:sz w:val="10"/>
                <w:szCs w:val="10"/>
              </w:rPr>
              <w:t>,皿</w:t>
              <w:tab/>
              <w:t>击急 恁</w:t>
              <w:tab/>
              <w:t>公</w:t>
            </w:r>
            <w:r>
              <w:rPr>
                <w:rFonts w:ascii="Arial" w:eastAsia="Arial" w:hAnsi="Arial" w:cs="Arial"/>
                <w:color w:val="000000"/>
                <w:spacing w:val="0"/>
                <w:w w:val="100"/>
                <w:position w:val="0"/>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15,381,571.48</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325,065.74</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处置交易性金融资产、交易性金融负债、衍生金</w:t>
            </w:r>
          </w:p>
          <w:p>
            <w:pPr>
              <w:pStyle w:val="Style2"/>
              <w:keepNext w:val="0"/>
              <w:keepLines w:val="0"/>
              <w:widowControl w:val="0"/>
              <w:shd w:val="clear" w:color="auto" w:fill="auto"/>
              <w:tabs>
                <w:tab w:pos="1340" w:val="left"/>
                <w:tab w:pos="2266" w:val="left"/>
              </w:tabs>
              <w:bidi w:val="0"/>
              <w:spacing w:before="0" w:after="0" w:line="240" w:lineRule="auto"/>
              <w:ind w:left="0" w:right="0" w:firstLine="500"/>
              <w:jc w:val="left"/>
            </w:pPr>
            <w:r>
              <w:rPr>
                <w:rFonts w:ascii="Arial" w:eastAsia="Arial" w:hAnsi="Arial" w:cs="Arial"/>
                <w:color w:val="000000"/>
                <w:spacing w:val="0"/>
                <w:w w:val="100"/>
                <w:position w:val="0"/>
              </w:rPr>
              <w:t xml:space="preserve">rtX </w:t>
            </w:r>
            <w:r>
              <w:rPr>
                <w:i/>
                <w:iCs/>
                <w:color w:val="000000"/>
                <w:spacing w:val="0"/>
                <w:w w:val="100"/>
                <w:position w:val="0"/>
                <w:sz w:val="26"/>
                <w:szCs w:val="26"/>
              </w:rPr>
              <w:t>方</w:t>
            </w:r>
            <w:r>
              <w:rPr>
                <w:rFonts w:ascii="Arial" w:eastAsia="Arial" w:hAnsi="Arial" w:cs="Arial"/>
                <w:color w:val="000000"/>
                <w:spacing w:val="0"/>
                <w:w w:val="100"/>
                <w:position w:val="0"/>
              </w:rPr>
              <w:t xml:space="preserve"> </w:t>
            </w:r>
            <w:r>
              <w:rPr>
                <w:rFonts w:ascii="Arial" w:eastAsia="Arial" w:hAnsi="Arial" w:cs="Arial"/>
                <w:color w:val="000000"/>
                <w:spacing w:val="0"/>
                <w:w w:val="100"/>
                <w:position w:val="0"/>
              </w:rPr>
              <w:t>rV</w:t>
              <w:tab/>
            </w:r>
            <w:r>
              <w:rPr>
                <w:rFonts w:ascii="Arial" w:eastAsia="Arial" w:hAnsi="Arial" w:cs="Arial"/>
                <w:color w:val="000000"/>
                <w:spacing w:val="0"/>
                <w:w w:val="100"/>
                <w:position w:val="0"/>
              </w:rPr>
              <w:t>4</w:t>
            </w:r>
            <w:r>
              <w:rPr>
                <w:color w:val="000000"/>
                <w:spacing w:val="0"/>
                <w:w w:val="100"/>
                <w:position w:val="0"/>
                <w:sz w:val="10"/>
                <w:szCs w:val="10"/>
              </w:rPr>
              <w:t xml:space="preserve">、二 </w:t>
            </w:r>
            <w:r>
              <w:rPr>
                <w:rFonts w:ascii="Arial" w:eastAsia="Arial" w:hAnsi="Arial" w:cs="Arial"/>
                <w:color w:val="000000"/>
                <w:spacing w:val="0"/>
                <w:w w:val="100"/>
                <w:position w:val="0"/>
              </w:rPr>
              <w:t xml:space="preserve">Z-U </w:t>
            </w:r>
            <w:r>
              <w:rPr>
                <w:color w:val="000000"/>
                <w:spacing w:val="0"/>
                <w:w w:val="100"/>
                <w:position w:val="0"/>
                <w:sz w:val="10"/>
                <w:szCs w:val="10"/>
              </w:rPr>
              <w:t>人</w:t>
              <w:tab/>
            </w:r>
            <w:r>
              <w:rPr>
                <w:rFonts w:ascii="Arial" w:eastAsia="Arial" w:hAnsi="Arial" w:cs="Arial"/>
                <w:color w:val="000000"/>
                <w:spacing w:val="0"/>
                <w:w w:val="100"/>
                <w:position w:val="0"/>
              </w:rPr>
              <w:t xml:space="preserve">Zz. </w:t>
            </w:r>
            <w:r>
              <w:rPr>
                <w:color w:val="000000"/>
                <w:spacing w:val="0"/>
                <w:w w:val="100"/>
                <w:position w:val="0"/>
                <w:sz w:val="10"/>
                <w:szCs w:val="10"/>
              </w:rPr>
              <w:t>/士 工</w:t>
            </w:r>
            <w:r>
              <w:rPr>
                <w:rFonts w:ascii="Arial" w:eastAsia="Arial" w:hAnsi="Arial" w:cs="Arial"/>
                <w:color w:val="000000"/>
                <w:spacing w:val="0"/>
                <w:w w:val="100"/>
                <w:position w:val="0"/>
              </w:rPr>
              <w:t xml:space="preserve">n </w:t>
            </w:r>
            <w:r>
              <w:rPr>
                <w:color w:val="000000"/>
                <w:spacing w:val="0"/>
                <w:w w:val="100"/>
                <w:position w:val="0"/>
                <w:sz w:val="10"/>
                <w:szCs w:val="10"/>
              </w:rPr>
              <w:t xml:space="preserve">廿 </w:t>
            </w:r>
            <w:r>
              <w:rPr>
                <w:rFonts w:ascii="Arial" w:eastAsia="Arial" w:hAnsi="Arial" w:cs="Arial"/>
                <w:color w:val="000000"/>
                <w:spacing w:val="0"/>
                <w:w w:val="100"/>
                <w:position w:val="0"/>
              </w:rPr>
              <w:t xml:space="preserve">Z.L, </w:t>
            </w:r>
            <w:r>
              <w:rPr>
                <w:color w:val="000000"/>
                <w:spacing w:val="0"/>
                <w:w w:val="100"/>
                <w:position w:val="0"/>
                <w:sz w:val="10"/>
                <w:szCs w:val="10"/>
              </w:rPr>
              <w:t xml:space="preserve">/士 </w:t>
            </w:r>
            <w:r>
              <w:rPr>
                <w:rFonts w:ascii="Arial" w:eastAsia="Arial" w:hAnsi="Arial" w:cs="Arial"/>
                <w:color w:val="000000"/>
                <w:spacing w:val="0"/>
                <w:w w:val="100"/>
                <w:position w:val="0"/>
              </w:rPr>
              <w:t xml:space="preserve">4-T7 4-n </w:t>
            </w:r>
            <w:r>
              <w:rPr>
                <w:i/>
                <w:iCs/>
                <w:color w:val="000000"/>
                <w:spacing w:val="0"/>
                <w:w w:val="100"/>
                <w:position w:val="0"/>
                <w:sz w:val="26"/>
                <w:szCs w:val="26"/>
              </w:rPr>
              <w:t>方</w:t>
            </w:r>
            <w:r>
              <w:rPr>
                <w:rFonts w:ascii="Arial" w:eastAsia="Arial" w:hAnsi="Arial" w:cs="Arial"/>
                <w:color w:val="000000"/>
                <w:spacing w:val="0"/>
                <w:w w:val="100"/>
                <w:position w:val="0"/>
              </w:rPr>
              <w:t xml:space="preserve"> </w:t>
            </w:r>
            <w:r>
              <w:rPr>
                <w:rFonts w:ascii="Arial" w:eastAsia="Arial" w:hAnsi="Arial" w:cs="Arial"/>
                <w:color w:val="000000"/>
                <w:spacing w:val="0"/>
                <w:w w:val="100"/>
                <w:position w:val="0"/>
              </w:rPr>
              <w:t>Tfrt Z(=T AA 4-n</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328"/>
        <w:gridCol w:w="1982"/>
        <w:gridCol w:w="1906"/>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单独进行减值测试的应收款项减值准备转回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64,806,247.87</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采用公允价值模式进行后续计量的投资性房地产</w:t>
            </w:r>
          </w:p>
          <w:p>
            <w:pPr>
              <w:pStyle w:val="Style2"/>
              <w:keepNext w:val="0"/>
              <w:keepLines w:val="0"/>
              <w:widowControl w:val="0"/>
              <w:shd w:val="clear" w:color="auto" w:fill="auto"/>
              <w:tabs>
                <w:tab w:pos="1110" w:val="left"/>
              </w:tabs>
              <w:bidi w:val="0"/>
              <w:spacing w:before="0" w:after="0" w:line="180" w:lineRule="auto"/>
              <w:ind w:left="0" w:right="0" w:firstLine="500"/>
              <w:jc w:val="left"/>
              <w:rPr>
                <w:sz w:val="20"/>
                <w:szCs w:val="20"/>
              </w:rPr>
            </w:pPr>
            <w:r>
              <w:rPr>
                <w:rFonts w:ascii="Arial" w:eastAsia="Arial" w:hAnsi="Arial" w:cs="Arial"/>
                <w:i/>
                <w:iCs/>
                <w:color w:val="000000"/>
                <w:spacing w:val="0"/>
                <w:w w:val="100"/>
                <w:position w:val="0"/>
                <w:sz w:val="22"/>
                <w:szCs w:val="22"/>
              </w:rPr>
              <w:t xml:space="preserve">LX </w:t>
            </w:r>
            <w:r>
              <w:rPr>
                <w:rFonts w:ascii="Arial" w:eastAsia="Arial" w:hAnsi="Arial" w:cs="Arial"/>
                <w:i/>
                <w:iCs/>
                <w:color w:val="000000"/>
                <w:spacing w:val="0"/>
                <w:w w:val="100"/>
                <w:position w:val="0"/>
                <w:sz w:val="22"/>
                <w:szCs w:val="22"/>
              </w:rPr>
              <w:t>4</w:t>
              <w:tab/>
            </w:r>
            <w:r>
              <w:rPr>
                <w:i/>
                <w:iCs/>
                <w:color w:val="000000"/>
                <w:spacing w:val="0"/>
                <w:w w:val="100"/>
                <w:position w:val="0"/>
                <w:sz w:val="26"/>
                <w:szCs w:val="26"/>
              </w:rPr>
              <w:t>居</w:t>
            </w:r>
            <w:r>
              <w:rPr>
                <w:color w:val="000000"/>
                <w:spacing w:val="0"/>
                <w:w w:val="100"/>
                <w:position w:val="0"/>
                <w:sz w:val="20"/>
                <w:szCs w:val="20"/>
              </w:rPr>
              <w:t>才</w:t>
            </w:r>
            <w:r>
              <w:rPr>
                <w:rFonts w:ascii="Arial" w:eastAsia="Arial" w:hAnsi="Arial" w:cs="Arial"/>
                <w:color w:val="000000"/>
                <w:spacing w:val="0"/>
                <w:w w:val="100"/>
                <w:position w:val="0"/>
                <w:sz w:val="22"/>
                <w:szCs w:val="22"/>
              </w:rPr>
              <w:t>-vr</w:t>
            </w:r>
            <w:r>
              <w:rPr>
                <w:i/>
                <w:iCs/>
                <w:color w:val="000000"/>
                <w:spacing w:val="0"/>
                <w:w w:val="100"/>
                <w:position w:val="0"/>
                <w:sz w:val="26"/>
                <w:szCs w:val="26"/>
              </w:rPr>
              <w:t>能</w:t>
            </w:r>
            <w:r>
              <w:rPr>
                <w:color w:val="000000"/>
                <w:spacing w:val="0"/>
                <w:w w:val="100"/>
                <w:position w:val="0"/>
                <w:sz w:val="20"/>
                <w:szCs w:val="20"/>
              </w:rPr>
              <w:t xml:space="preserve">右右土口 </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-2,632,342.00</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根据税收、会计等法律、法规的要求对当期损益</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0"/>
                <w:szCs w:val="20"/>
              </w:rPr>
              <w:t>上</w:t>
            </w:r>
            <w:r>
              <w:rPr>
                <w:rFonts w:ascii="Arial" w:eastAsia="Arial" w:hAnsi="Arial" w:cs="Arial"/>
                <w:color w:val="000000"/>
                <w:spacing w:val="0"/>
                <w:w w:val="100"/>
                <w:position w:val="0"/>
              </w:rPr>
              <w:t>1</w:t>
            </w:r>
            <w:r>
              <w:rPr>
                <w:color w:val="000000"/>
                <w:spacing w:val="0"/>
                <w:w w:val="100"/>
                <w:position w:val="0"/>
                <w:sz w:val="20"/>
                <w:szCs w:val="20"/>
              </w:rPr>
              <w:t xml:space="preserve">士、底京用市女由：业甘口土口 </w:t>
            </w:r>
            <w:r>
              <w:rPr>
                <w:rFonts w:ascii="Arial" w:eastAsia="Arial" w:hAnsi="Arial" w:cs="Arial"/>
                <w:i/>
                <w:iCs/>
                <w:color w:val="000000"/>
                <w:spacing w:val="0"/>
                <w:w w:val="100"/>
                <w:position w:val="0"/>
              </w:rPr>
              <w:t xml:space="preserve">* </w:t>
            </w:r>
            <w:r>
              <w:rPr>
                <w:i/>
                <w:iCs/>
                <w:color w:val="000000"/>
                <w:spacing w:val="0"/>
                <w:w w:val="100"/>
                <w:position w:val="0"/>
                <w:sz w:val="26"/>
                <w:szCs w:val="26"/>
              </w:rPr>
              <w:t>皿</w:t>
            </w:r>
            <w:r>
              <w:rPr>
                <w:rFonts w:ascii="Arial" w:eastAsia="Arial" w:hAnsi="Arial" w:cs="Arial"/>
                <w:color w:val="000000"/>
                <w:spacing w:val="0"/>
                <w:w w:val="100"/>
                <w:position w:val="0"/>
              </w:rPr>
              <w:t xml:space="preserve"> </w:t>
            </w:r>
            <w:r>
              <w:rPr>
                <w:rFonts w:ascii="Arial" w:eastAsia="Arial" w:hAnsi="Arial" w:cs="Arial"/>
                <w:color w:val="000000"/>
                <w:spacing w:val="0"/>
                <w:w w:val="100"/>
                <w:position w:val="0"/>
              </w:rPr>
              <w:t>S.4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华夏芯业绩补偿款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74,647,410.84</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-523,796.33</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非经常性损益总额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177,584,307.44</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减：非经常性损益的所得税影响数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304,844.86</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非经常性损益净额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177,279,462.58</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减：归属于少数股东的非经常性损益净影响数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19,298,605.44</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归属于公司普通股股东的非经常性损益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157,980,857.14</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490" w:right="0" w:firstLine="0"/>
        <w:jc w:val="left"/>
      </w:pPr>
      <w:r>
        <w:rPr>
          <w:color w:val="000000"/>
          <w:spacing w:val="0"/>
          <w:w w:val="100"/>
          <w:position w:val="0"/>
        </w:rPr>
        <w:t>注：计入当期损益的其他收益中列入经常性损益的项目及理由:</w:t>
      </w:r>
    </w:p>
    <w:p>
      <w:pPr>
        <w:widowControl w:val="0"/>
        <w:spacing w:after="119" w:line="1" w:lineRule="exact"/>
      </w:pPr>
    </w:p>
    <w:tbl>
      <w:tblPr>
        <w:tblOverlap w:val="never"/>
        <w:jc w:val="center"/>
        <w:tblLayout w:type="fixed"/>
      </w:tblPr>
      <w:tblGrid>
        <w:gridCol w:w="3326"/>
        <w:gridCol w:w="1838"/>
        <w:gridCol w:w="4128"/>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涉及金额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原因</w:t>
            </w:r>
          </w:p>
        </w:tc>
      </w:tr>
      <w:tr>
        <w:trPr>
          <w:trHeight w:val="9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软件产品增值税实际税负超过</w:t>
            </w:r>
          </w:p>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的部分即征即退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1,712,822.70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0" w:lineRule="exact"/>
              <w:ind w:left="460" w:right="0" w:firstLine="0"/>
              <w:jc w:val="left"/>
              <w:rPr>
                <w:sz w:val="20"/>
                <w:szCs w:val="20"/>
              </w:rPr>
            </w:pPr>
            <w:r>
              <w:rPr>
                <w:color w:val="000000"/>
                <w:spacing w:val="0"/>
                <w:w w:val="100"/>
                <w:position w:val="0"/>
                <w:sz w:val="20"/>
                <w:szCs w:val="20"/>
              </w:rPr>
              <w:t>与公司正常经营业务密切相关，符合 国家政策规定、按照一定标准定额或 定量持续享受的政府补助</w:t>
            </w:r>
          </w:p>
        </w:tc>
      </w:tr>
      <w:tr>
        <w:trPr>
          <w:trHeight w:val="101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失业保险金返还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2,466,861.32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83" w:lineRule="exact"/>
              <w:ind w:left="460" w:right="0" w:firstLine="0"/>
              <w:jc w:val="left"/>
              <w:rPr>
                <w:sz w:val="20"/>
                <w:szCs w:val="20"/>
              </w:rPr>
            </w:pPr>
            <w:r>
              <w:rPr>
                <w:color w:val="000000"/>
                <w:spacing w:val="0"/>
                <w:w w:val="100"/>
                <w:position w:val="0"/>
                <w:sz w:val="20"/>
                <w:szCs w:val="20"/>
              </w:rPr>
              <w:t>与疫情相关的损益在非经常性损益扣 除处理时采用从宽原则，与疫情相关 的收益不作为非经常性损益扣除</w:t>
            </w:r>
          </w:p>
        </w:tc>
      </w:tr>
    </w:tbl>
    <w:p>
      <w:pPr>
        <w:pStyle w:val="Style38"/>
        <w:keepNext w:val="0"/>
        <w:keepLines w:val="0"/>
        <w:widowControl w:val="0"/>
        <w:shd w:val="clear" w:color="auto" w:fill="auto"/>
        <w:bidi w:val="0"/>
        <w:spacing w:before="0" w:after="0" w:line="240" w:lineRule="auto"/>
        <w:ind w:left="38" w:right="0" w:firstLine="0"/>
        <w:jc w:val="left"/>
        <w:rPr>
          <w:sz w:val="24"/>
          <w:szCs w:val="24"/>
        </w:rPr>
      </w:pPr>
      <w:bookmarkStart w:id="1341" w:name="bookmark1341"/>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、净资产收益率及每股收益</w:t>
      </w:r>
      <w:bookmarkEnd w:id="1341"/>
    </w:p>
    <w:p>
      <w:pPr>
        <w:widowControl w:val="0"/>
        <w:spacing w:after="259" w:line="1" w:lineRule="exact"/>
      </w:pPr>
    </w:p>
    <w:tbl>
      <w:tblPr>
        <w:tblOverlap w:val="never"/>
        <w:jc w:val="center"/>
        <w:tblLayout w:type="fixed"/>
      </w:tblPr>
      <w:tblGrid>
        <w:gridCol w:w="3586"/>
        <w:gridCol w:w="1987"/>
        <w:gridCol w:w="1843"/>
        <w:gridCol w:w="1877"/>
      </w:tblGrid>
      <w:tr>
        <w:trPr>
          <w:trHeight w:val="48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 w:right="0" w:firstLine="0"/>
              <w:jc w:val="left"/>
              <w:rPr>
                <w:sz w:val="20"/>
                <w:szCs w:val="20"/>
              </w:rPr>
            </w:pPr>
            <w:r>
              <w:rPr>
                <w:b/>
                <w:bCs/>
                <w:color w:val="000000"/>
                <w:spacing w:val="0"/>
                <w:w w:val="100"/>
                <w:position w:val="0"/>
                <w:sz w:val="20"/>
                <w:szCs w:val="20"/>
              </w:rPr>
              <w:t>报告期利润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center"/>
              <w:rPr>
                <w:sz w:val="20"/>
                <w:szCs w:val="20"/>
              </w:rPr>
            </w:pPr>
            <w:r>
              <w:rPr>
                <w:b/>
                <w:bCs/>
                <w:color w:val="000000"/>
                <w:spacing w:val="0"/>
                <w:w w:val="100"/>
                <w:position w:val="0"/>
                <w:sz w:val="20"/>
                <w:szCs w:val="20"/>
              </w:rPr>
              <w:t>加权平均净资产收 益率（</w:t>
            </w:r>
            <w:r>
              <w:rPr>
                <w:rFonts w:ascii="Times New Roman" w:eastAsia="Times New Roman" w:hAnsi="Times New Roman" w:cs="Times New Roman"/>
                <w:b/>
                <w:bCs/>
                <w:color w:val="000000"/>
                <w:spacing w:val="0"/>
                <w:w w:val="100"/>
                <w:position w:val="0"/>
                <w:sz w:val="22"/>
                <w:szCs w:val="22"/>
              </w:rPr>
              <w:t>%</w:t>
            </w:r>
            <w:r>
              <w:rPr>
                <w:b/>
                <w:bCs/>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每股收益</w:t>
            </w:r>
          </w:p>
        </w:tc>
      </w:tr>
      <w:tr>
        <w:trPr>
          <w:trHeight w:val="46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基本每股收益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稀释每股收益</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0.02</w:t>
            </w:r>
          </w:p>
        </w:tc>
      </w:tr>
      <w:tr>
        <w:trPr>
          <w:trHeight w:val="73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88" w:lineRule="exact"/>
              <w:ind w:left="420" w:right="0" w:firstLine="0"/>
              <w:jc w:val="left"/>
              <w:rPr>
                <w:sz w:val="20"/>
                <w:szCs w:val="20"/>
              </w:rPr>
            </w:pPr>
            <w:r>
              <w:rPr>
                <w:color w:val="000000"/>
                <w:spacing w:val="0"/>
                <w:w w:val="100"/>
                <w:position w:val="0"/>
                <w:sz w:val="20"/>
                <w:szCs w:val="20"/>
              </w:rPr>
              <w:t>扣除非经常损益后归属于普通股 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-0.26</w:t>
            </w:r>
          </w:p>
        </w:tc>
      </w:tr>
    </w:tbl>
    <w:p>
      <w:pPr>
        <w:widowControl w:val="0"/>
        <w:spacing w:after="659" w:line="1" w:lineRule="exact"/>
      </w:pPr>
    </w:p>
    <w:p>
      <w:pPr>
        <w:pStyle w:val="Style44"/>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国民技术股份有限公司</w:t>
      </w:r>
    </w:p>
    <w:p>
      <w:pPr>
        <w:pStyle w:val="Style128"/>
        <w:keepNext w:val="0"/>
        <w:keepLines w:val="0"/>
        <w:widowControl w:val="0"/>
        <w:shd w:val="clear" w:color="auto" w:fill="auto"/>
        <w:bidi w:val="0"/>
        <w:spacing w:before="0" w:after="260" w:line="240" w:lineRule="auto"/>
        <w:ind w:left="0" w:right="0" w:firstLine="0"/>
        <w:jc w:val="righ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p>
      <w:pPr>
        <w:pStyle w:val="Style22"/>
        <w:keepNext/>
        <w:keepLines/>
        <w:widowControl w:val="0"/>
        <w:shd w:val="clear" w:color="auto" w:fill="auto"/>
        <w:bidi w:val="0"/>
        <w:spacing w:before="0" w:after="700" w:line="240" w:lineRule="auto"/>
        <w:ind w:left="0" w:right="0" w:firstLine="0"/>
        <w:jc w:val="center"/>
      </w:pPr>
      <w:bookmarkStart w:id="1342" w:name="bookmark1342"/>
      <w:bookmarkStart w:id="1343" w:name="bookmark1343"/>
      <w:bookmarkStart w:id="1344" w:name="bookmark1344"/>
      <w:r>
        <w:rPr>
          <w:color w:val="000000"/>
          <w:spacing w:val="0"/>
          <w:w w:val="100"/>
          <w:position w:val="0"/>
        </w:rPr>
        <w:t>第十三节 备查文件目录</w:t>
      </w:r>
      <w:bookmarkEnd w:id="1342"/>
      <w:bookmarkEnd w:id="1343"/>
      <w:bookmarkEnd w:id="1344"/>
    </w:p>
    <w:p>
      <w:pPr>
        <w:pStyle w:val="Style17"/>
        <w:keepNext w:val="0"/>
        <w:keepLines w:val="0"/>
        <w:widowControl w:val="0"/>
        <w:shd w:val="clear" w:color="auto" w:fill="auto"/>
        <w:tabs>
          <w:tab w:pos="985" w:val="left"/>
        </w:tabs>
        <w:bidi w:val="0"/>
        <w:spacing w:before="0" w:after="420" w:line="240" w:lineRule="auto"/>
        <w:ind w:left="0" w:right="0" w:firstLine="420"/>
        <w:jc w:val="left"/>
      </w:pPr>
      <w:bookmarkStart w:id="1345" w:name="bookmark1345"/>
      <w:r>
        <w:rPr>
          <w:b w:val="0"/>
          <w:bCs w:val="0"/>
          <w:color w:val="000000"/>
          <w:spacing w:val="0"/>
          <w:w w:val="100"/>
          <w:position w:val="0"/>
        </w:rPr>
        <w:t>一</w:t>
      </w:r>
      <w:bookmarkEnd w:id="1345"/>
      <w:r>
        <w:rPr>
          <w:b w:val="0"/>
          <w:bCs w:val="0"/>
          <w:color w:val="000000"/>
          <w:spacing w:val="0"/>
          <w:w w:val="100"/>
          <w:position w:val="0"/>
        </w:rPr>
        <w:t>、</w:t>
        <w:tab/>
        <w:t>载有公司法定代表人签名的年度报告文本。</w:t>
      </w:r>
    </w:p>
    <w:p>
      <w:pPr>
        <w:pStyle w:val="Style17"/>
        <w:keepNext w:val="0"/>
        <w:keepLines w:val="0"/>
        <w:widowControl w:val="0"/>
        <w:shd w:val="clear" w:color="auto" w:fill="auto"/>
        <w:tabs>
          <w:tab w:pos="985" w:val="left"/>
        </w:tabs>
        <w:bidi w:val="0"/>
        <w:spacing w:before="0" w:after="300" w:line="240" w:lineRule="auto"/>
        <w:ind w:left="0" w:right="0" w:firstLine="420"/>
        <w:jc w:val="left"/>
      </w:pPr>
      <w:bookmarkStart w:id="1346" w:name="bookmark1346"/>
      <w:r>
        <w:rPr>
          <w:b w:val="0"/>
          <w:bCs w:val="0"/>
          <w:color w:val="000000"/>
          <w:spacing w:val="0"/>
          <w:w w:val="100"/>
          <w:position w:val="0"/>
        </w:rPr>
        <w:t>二</w:t>
      </w:r>
      <w:bookmarkEnd w:id="1346"/>
      <w:r>
        <w:rPr>
          <w:b w:val="0"/>
          <w:bCs w:val="0"/>
          <w:color w:val="000000"/>
          <w:spacing w:val="0"/>
          <w:w w:val="100"/>
          <w:position w:val="0"/>
        </w:rPr>
        <w:t>、</w:t>
        <w:tab/>
        <w:t>载有公司法定代表人、主管会计工作负责人、会计机构负责人（会计主</w:t>
      </w:r>
    </w:p>
    <w:p>
      <w:pPr>
        <w:pStyle w:val="Style17"/>
        <w:keepNext w:val="0"/>
        <w:keepLines w:val="0"/>
        <w:widowControl w:val="0"/>
        <w:shd w:val="clear" w:color="auto" w:fill="auto"/>
        <w:bidi w:val="0"/>
        <w:spacing w:before="0" w:after="420" w:line="240" w:lineRule="auto"/>
        <w:ind w:left="0" w:right="0" w:firstLine="780"/>
        <w:jc w:val="left"/>
      </w:pPr>
      <w:r>
        <w:rPr>
          <w:b w:val="0"/>
          <w:bCs w:val="0"/>
          <w:color w:val="000000"/>
          <w:spacing w:val="0"/>
          <w:w w:val="100"/>
          <w:position w:val="0"/>
        </w:rPr>
        <w:t>管人员）签名并盖章的财务报表。</w:t>
      </w:r>
    </w:p>
    <w:p>
      <w:pPr>
        <w:pStyle w:val="Style17"/>
        <w:keepNext w:val="0"/>
        <w:keepLines w:val="0"/>
        <w:widowControl w:val="0"/>
        <w:shd w:val="clear" w:color="auto" w:fill="auto"/>
        <w:tabs>
          <w:tab w:pos="994" w:val="left"/>
        </w:tabs>
        <w:bidi w:val="0"/>
        <w:spacing w:before="0" w:after="420" w:line="240" w:lineRule="auto"/>
        <w:ind w:left="0" w:right="0" w:firstLine="420"/>
        <w:jc w:val="left"/>
      </w:pPr>
      <w:bookmarkStart w:id="1347" w:name="bookmark1347"/>
      <w:r>
        <w:rPr>
          <w:b w:val="0"/>
          <w:bCs w:val="0"/>
          <w:color w:val="000000"/>
          <w:spacing w:val="0"/>
          <w:w w:val="100"/>
          <w:position w:val="0"/>
        </w:rPr>
        <w:t>三</w:t>
      </w:r>
      <w:bookmarkEnd w:id="1347"/>
      <w:r>
        <w:rPr>
          <w:b w:val="0"/>
          <w:bCs w:val="0"/>
          <w:color w:val="000000"/>
          <w:spacing w:val="0"/>
          <w:w w:val="100"/>
          <w:position w:val="0"/>
        </w:rPr>
        <w:t>、</w:t>
        <w:tab/>
        <w:t>载有会计师事务所盖章、注册会计师签名并盖章的审计报告原件。</w:t>
      </w:r>
    </w:p>
    <w:p>
      <w:pPr>
        <w:pStyle w:val="Style17"/>
        <w:keepNext w:val="0"/>
        <w:keepLines w:val="0"/>
        <w:widowControl w:val="0"/>
        <w:shd w:val="clear" w:color="auto" w:fill="auto"/>
        <w:tabs>
          <w:tab w:pos="994" w:val="left"/>
        </w:tabs>
        <w:bidi w:val="0"/>
        <w:spacing w:before="0" w:after="300" w:line="240" w:lineRule="auto"/>
        <w:ind w:left="0" w:right="0" w:firstLine="420"/>
        <w:jc w:val="left"/>
      </w:pPr>
      <w:bookmarkStart w:id="1348" w:name="bookmark1348"/>
      <w:r>
        <w:rPr>
          <w:b w:val="0"/>
          <w:bCs w:val="0"/>
          <w:color w:val="000000"/>
          <w:spacing w:val="0"/>
          <w:w w:val="100"/>
          <w:position w:val="0"/>
        </w:rPr>
        <w:t>四</w:t>
      </w:r>
      <w:bookmarkEnd w:id="1348"/>
      <w:r>
        <w:rPr>
          <w:b w:val="0"/>
          <w:bCs w:val="0"/>
          <w:color w:val="000000"/>
          <w:spacing w:val="0"/>
          <w:w w:val="100"/>
          <w:position w:val="0"/>
        </w:rPr>
        <w:t>、</w:t>
        <w:tab/>
        <w:t>报告期内在中国证监会指定网站上公开披露过的所有公司文件的正本及</w:t>
      </w:r>
    </w:p>
    <w:p>
      <w:pPr>
        <w:pStyle w:val="Style17"/>
        <w:keepNext w:val="0"/>
        <w:keepLines w:val="0"/>
        <w:widowControl w:val="0"/>
        <w:shd w:val="clear" w:color="auto" w:fill="auto"/>
        <w:bidi w:val="0"/>
        <w:spacing w:before="0" w:after="420" w:line="240" w:lineRule="auto"/>
        <w:ind w:left="0" w:right="0" w:firstLine="780"/>
        <w:jc w:val="left"/>
      </w:pPr>
      <w:r>
        <w:rPr>
          <w:b w:val="0"/>
          <w:bCs w:val="0"/>
          <w:color w:val="000000"/>
          <w:spacing w:val="0"/>
          <w:w w:val="100"/>
          <w:position w:val="0"/>
        </w:rPr>
        <w:t>公告的原稿。</w:t>
      </w:r>
    </w:p>
    <w:p>
      <w:pPr>
        <w:pStyle w:val="Style17"/>
        <w:keepNext w:val="0"/>
        <w:keepLines w:val="0"/>
        <w:widowControl w:val="0"/>
        <w:shd w:val="clear" w:color="auto" w:fill="auto"/>
        <w:tabs>
          <w:tab w:pos="994" w:val="left"/>
        </w:tabs>
        <w:bidi w:val="0"/>
        <w:spacing w:before="0" w:after="420" w:line="240" w:lineRule="auto"/>
        <w:ind w:left="0" w:right="0" w:firstLine="420"/>
        <w:jc w:val="left"/>
      </w:pPr>
      <w:bookmarkStart w:id="1349" w:name="bookmark1349"/>
      <w:r>
        <w:rPr>
          <w:b w:val="0"/>
          <w:bCs w:val="0"/>
          <w:color w:val="000000"/>
          <w:spacing w:val="0"/>
          <w:w w:val="100"/>
          <w:position w:val="0"/>
        </w:rPr>
        <w:t>五</w:t>
      </w:r>
      <w:bookmarkEnd w:id="1349"/>
      <w:r>
        <w:rPr>
          <w:b w:val="0"/>
          <w:bCs w:val="0"/>
          <w:color w:val="000000"/>
          <w:spacing w:val="0"/>
          <w:w w:val="100"/>
          <w:position w:val="0"/>
        </w:rPr>
        <w:t>、</w:t>
        <w:tab/>
        <w:t>其他备查文件。</w:t>
      </w:r>
    </w:p>
    <w:p>
      <w:pPr>
        <w:pStyle w:val="Style17"/>
        <w:keepNext w:val="0"/>
        <w:keepLines w:val="0"/>
        <w:widowControl w:val="0"/>
        <w:shd w:val="clear" w:color="auto" w:fill="auto"/>
        <w:bidi w:val="0"/>
        <w:spacing w:before="0" w:after="1680" w:line="240" w:lineRule="auto"/>
        <w:ind w:left="0" w:right="0"/>
        <w:jc w:val="left"/>
      </w:pPr>
      <w:r>
        <w:rPr>
          <w:b w:val="0"/>
          <w:bCs w:val="0"/>
          <w:color w:val="000000"/>
          <w:spacing w:val="0"/>
          <w:w w:val="100"/>
          <w:position w:val="0"/>
        </w:rPr>
        <w:t>以上备查文件的备置地点：公司证券事务部</w:t>
      </w:r>
    </w:p>
    <w:p>
      <w:pPr>
        <w:pStyle w:val="Style17"/>
        <w:keepNext w:val="0"/>
        <w:keepLines w:val="0"/>
        <w:widowControl w:val="0"/>
        <w:shd w:val="clear" w:color="auto" w:fill="auto"/>
        <w:bidi w:val="0"/>
        <w:spacing w:before="0" w:after="360" w:line="240" w:lineRule="auto"/>
        <w:ind w:left="0" w:right="340" w:firstLine="0"/>
        <w:jc w:val="right"/>
      </w:pPr>
      <w:r>
        <w:rPr>
          <w:b w:val="0"/>
          <w:bCs w:val="0"/>
          <w:color w:val="000000"/>
          <w:spacing w:val="0"/>
          <w:w w:val="100"/>
          <w:position w:val="0"/>
        </w:rPr>
        <w:t>国民技术股份有限公司</w:t>
      </w:r>
    </w:p>
    <w:p>
      <w:pPr>
        <w:pStyle w:val="Style17"/>
        <w:keepNext w:val="0"/>
        <w:keepLines w:val="0"/>
        <w:widowControl w:val="0"/>
        <w:shd w:val="clear" w:color="auto" w:fill="auto"/>
        <w:bidi w:val="0"/>
        <w:spacing w:before="0" w:after="360" w:line="240" w:lineRule="auto"/>
        <w:ind w:left="7060" w:right="0" w:firstLine="0"/>
        <w:jc w:val="left"/>
      </w:pPr>
      <w:r>
        <w:rPr>
          <w:b w:val="0"/>
          <w:bCs w:val="0"/>
          <w:color w:val="000000"/>
          <w:spacing w:val="0"/>
          <w:w w:val="100"/>
          <w:position w:val="0"/>
        </w:rPr>
        <w:t>董事长：孙迎彤</w:t>
      </w:r>
    </w:p>
    <w:p>
      <w:pPr>
        <w:pStyle w:val="Style17"/>
        <w:keepNext w:val="0"/>
        <w:keepLines w:val="0"/>
        <w:widowControl w:val="0"/>
        <w:shd w:val="clear" w:color="auto" w:fill="auto"/>
        <w:bidi w:val="0"/>
        <w:spacing w:before="0" w:after="420" w:line="240" w:lineRule="auto"/>
        <w:ind w:left="0" w:right="340" w:firstLine="0"/>
        <w:jc w:val="right"/>
      </w:pPr>
      <w:r>
        <w:rPr>
          <w:b w:val="0"/>
          <w:bCs w:val="0"/>
          <w:color w:val="000000"/>
          <w:spacing w:val="0"/>
          <w:w w:val="100"/>
          <w:position w:val="0"/>
        </w:rPr>
        <w:t>二。二一年四月二十三日</w:t>
      </w:r>
    </w:p>
    <w:sectPr>
      <w:headerReference w:type="default" r:id="rId185"/>
      <w:footerReference w:type="default" r:id="rId186"/>
      <w:headerReference w:type="even" r:id="rId187"/>
      <w:footerReference w:type="even" r:id="rId188"/>
      <w:footnotePr>
        <w:pos w:val="pageBottom"/>
        <w:numFmt w:val="decimal"/>
        <w:numRestart w:val="continuous"/>
      </w:footnotePr>
      <w:pgSz w:w="11900" w:h="16840"/>
      <w:pgMar w:top="1374" w:right="986" w:bottom="1330" w:left="91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3777615</wp:posOffset>
              </wp:positionH>
              <wp:positionV relativeFrom="page">
                <wp:posOffset>9764395</wp:posOffset>
              </wp:positionV>
              <wp:extent cx="42545" cy="79375"/>
              <wp:wrapNone/>
              <wp:docPr id="16" name="Shape 16"/>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2" type="#_x0000_t202" style="position:absolute;margin-left:297.44999999999999pt;margin-top:768.85000000000002pt;width:3.3500000000000001pt;height:6.25pt;z-index:-18874405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3789045</wp:posOffset>
              </wp:positionH>
              <wp:positionV relativeFrom="page">
                <wp:posOffset>9827260</wp:posOffset>
              </wp:positionV>
              <wp:extent cx="94615" cy="79375"/>
              <wp:wrapNone/>
              <wp:docPr id="59" name="Shape 5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5" type="#_x0000_t202" style="position:absolute;margin-left:298.35000000000002pt;margin-top:773.80000000000007pt;width:7.4500000000000002pt;height:6.25pt;z-index:-18874402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3789045</wp:posOffset>
              </wp:positionH>
              <wp:positionV relativeFrom="page">
                <wp:posOffset>9827260</wp:posOffset>
              </wp:positionV>
              <wp:extent cx="94615" cy="79375"/>
              <wp:wrapNone/>
              <wp:docPr id="64" name="Shape 6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0" type="#_x0000_t202" style="position:absolute;margin-left:298.35000000000002pt;margin-top:773.80000000000007pt;width:7.4500000000000002pt;height:6.25pt;z-index:-18874401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3761740</wp:posOffset>
              </wp:positionH>
              <wp:positionV relativeFrom="page">
                <wp:posOffset>9895840</wp:posOffset>
              </wp:positionV>
              <wp:extent cx="109855" cy="79375"/>
              <wp:wrapNone/>
              <wp:docPr id="68" name="Shape 6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4" type="#_x0000_t202" style="position:absolute;margin-left:296.19999999999999pt;margin-top:779.20000000000005pt;width:8.6500000000000004pt;height:6.25pt;z-index:-188744015;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3761740</wp:posOffset>
              </wp:positionH>
              <wp:positionV relativeFrom="page">
                <wp:posOffset>9895840</wp:posOffset>
              </wp:positionV>
              <wp:extent cx="109855" cy="79375"/>
              <wp:wrapNone/>
              <wp:docPr id="70" name="Shape 7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6" type="#_x0000_t202" style="position:absolute;margin-left:296.19999999999999pt;margin-top:779.20000000000005pt;width:8.6500000000000004pt;height:6.25pt;z-index:-188744013;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3789045</wp:posOffset>
              </wp:positionH>
              <wp:positionV relativeFrom="page">
                <wp:posOffset>9827260</wp:posOffset>
              </wp:positionV>
              <wp:extent cx="94615" cy="79375"/>
              <wp:wrapNone/>
              <wp:docPr id="81" name="Shape 8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7" type="#_x0000_t202" style="position:absolute;margin-left:298.35000000000002pt;margin-top:773.80000000000007pt;width:7.4500000000000002pt;height:6.25pt;z-index:-18874400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3789045</wp:posOffset>
              </wp:positionH>
              <wp:positionV relativeFrom="page">
                <wp:posOffset>9827260</wp:posOffset>
              </wp:positionV>
              <wp:extent cx="94615" cy="79375"/>
              <wp:wrapNone/>
              <wp:docPr id="86" name="Shape 8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2" type="#_x0000_t202" style="position:absolute;margin-left:298.35000000000002pt;margin-top:773.80000000000007pt;width:7.4500000000000002pt;height:6.25pt;z-index:-18874400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3789045</wp:posOffset>
              </wp:positionH>
              <wp:positionV relativeFrom="page">
                <wp:posOffset>9827260</wp:posOffset>
              </wp:positionV>
              <wp:extent cx="94615" cy="79375"/>
              <wp:wrapNone/>
              <wp:docPr id="21" name="Shape 2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7" type="#_x0000_t202" style="position:absolute;margin-left:298.35000000000002pt;margin-top:773.80000000000007pt;width:7.4500000000000002pt;height:6.25pt;z-index:-18874404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3789045</wp:posOffset>
              </wp:positionH>
              <wp:positionV relativeFrom="page">
                <wp:posOffset>9827260</wp:posOffset>
              </wp:positionV>
              <wp:extent cx="94615" cy="79375"/>
              <wp:wrapNone/>
              <wp:docPr id="97" name="Shape 9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3" type="#_x0000_t202" style="position:absolute;margin-left:298.35000000000002pt;margin-top:773.80000000000007pt;width:7.4500000000000002pt;height:6.25pt;z-index:-18874399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3789045</wp:posOffset>
              </wp:positionH>
              <wp:positionV relativeFrom="page">
                <wp:posOffset>9827260</wp:posOffset>
              </wp:positionV>
              <wp:extent cx="94615" cy="79375"/>
              <wp:wrapNone/>
              <wp:docPr id="102" name="Shape 10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8" type="#_x0000_t202" style="position:absolute;margin-left:298.35000000000002pt;margin-top:773.80000000000007pt;width:7.4500000000000002pt;height:6.25pt;z-index:-18874398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3773170</wp:posOffset>
              </wp:positionH>
              <wp:positionV relativeFrom="page">
                <wp:posOffset>9772650</wp:posOffset>
              </wp:positionV>
              <wp:extent cx="106680" cy="79375"/>
              <wp:wrapNone/>
              <wp:docPr id="113" name="Shape 11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9" type="#_x0000_t202" style="position:absolute;margin-left:297.10000000000002pt;margin-top:769.5pt;width:8.4000000000000004pt;height:6.25pt;z-index:-188743985;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3773170</wp:posOffset>
              </wp:positionH>
              <wp:positionV relativeFrom="page">
                <wp:posOffset>9772650</wp:posOffset>
              </wp:positionV>
              <wp:extent cx="106680" cy="79375"/>
              <wp:wrapNone/>
              <wp:docPr id="118" name="Shape 11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4" type="#_x0000_t202" style="position:absolute;margin-left:297.10000000000002pt;margin-top:769.5pt;width:8.4000000000000004pt;height:6.25pt;z-index:-188743981;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3789045</wp:posOffset>
              </wp:positionH>
              <wp:positionV relativeFrom="page">
                <wp:posOffset>9827260</wp:posOffset>
              </wp:positionV>
              <wp:extent cx="94615" cy="79375"/>
              <wp:wrapNone/>
              <wp:docPr id="123" name="Shape 12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9" type="#_x0000_t202" style="position:absolute;margin-left:298.35000000000002pt;margin-top:773.80000000000007pt;width:7.4500000000000002pt;height:6.25pt;z-index:-18874397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3789045</wp:posOffset>
              </wp:positionH>
              <wp:positionV relativeFrom="page">
                <wp:posOffset>9827260</wp:posOffset>
              </wp:positionV>
              <wp:extent cx="94615" cy="79375"/>
              <wp:wrapNone/>
              <wp:docPr id="128" name="Shape 12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4" type="#_x0000_t202" style="position:absolute;margin-left:298.35000000000002pt;margin-top:773.80000000000007pt;width:7.4500000000000002pt;height:6.25pt;z-index:-18874397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3789045</wp:posOffset>
              </wp:positionH>
              <wp:positionV relativeFrom="page">
                <wp:posOffset>9827260</wp:posOffset>
              </wp:positionV>
              <wp:extent cx="94615" cy="79375"/>
              <wp:wrapNone/>
              <wp:docPr id="133" name="Shape 13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9" type="#_x0000_t202" style="position:absolute;margin-left:298.35000000000002pt;margin-top:773.80000000000007pt;width:7.4500000000000002pt;height:6.25pt;z-index:-18874396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3742055</wp:posOffset>
              </wp:positionH>
              <wp:positionV relativeFrom="page">
                <wp:posOffset>9772650</wp:posOffset>
              </wp:positionV>
              <wp:extent cx="106680" cy="79375"/>
              <wp:wrapNone/>
              <wp:docPr id="140" name="Shape 14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66" type="#_x0000_t202" style="position:absolute;margin-left:294.65000000000003pt;margin-top:769.5pt;width:8.4000000000000004pt;height:6.25pt;z-index:-188743963;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3789045</wp:posOffset>
              </wp:positionH>
              <wp:positionV relativeFrom="page">
                <wp:posOffset>9827260</wp:posOffset>
              </wp:positionV>
              <wp:extent cx="94615" cy="79375"/>
              <wp:wrapNone/>
              <wp:docPr id="145" name="Shape 14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1" type="#_x0000_t202" style="position:absolute;margin-left:298.35000000000002pt;margin-top:773.80000000000007pt;width:7.4500000000000002pt;height:6.25pt;z-index:-1887439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3789045</wp:posOffset>
              </wp:positionH>
              <wp:positionV relativeFrom="page">
                <wp:posOffset>9827260</wp:posOffset>
              </wp:positionV>
              <wp:extent cx="94615" cy="79375"/>
              <wp:wrapNone/>
              <wp:docPr id="27" name="Shape 2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3" type="#_x0000_t202" style="position:absolute;margin-left:298.35000000000002pt;margin-top:773.80000000000007pt;width:7.4500000000000002pt;height:6.25pt;z-index:-18874404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3789045</wp:posOffset>
              </wp:positionH>
              <wp:positionV relativeFrom="page">
                <wp:posOffset>9827260</wp:posOffset>
              </wp:positionV>
              <wp:extent cx="94615" cy="79375"/>
              <wp:wrapNone/>
              <wp:docPr id="150" name="Shape 15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6" type="#_x0000_t202" style="position:absolute;margin-left:298.35000000000002pt;margin-top:773.80000000000007pt;width:7.4500000000000002pt;height:6.25pt;z-index:-18874395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3789045</wp:posOffset>
              </wp:positionH>
              <wp:positionV relativeFrom="page">
                <wp:posOffset>9827260</wp:posOffset>
              </wp:positionV>
              <wp:extent cx="94615" cy="79375"/>
              <wp:wrapNone/>
              <wp:docPr id="161" name="Shape 16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7" type="#_x0000_t202" style="position:absolute;margin-left:298.35000000000002pt;margin-top:773.80000000000007pt;width:7.4500000000000002pt;height:6.25pt;z-index:-18874394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3742055</wp:posOffset>
              </wp:positionH>
              <wp:positionV relativeFrom="page">
                <wp:posOffset>9772650</wp:posOffset>
              </wp:positionV>
              <wp:extent cx="106680" cy="79375"/>
              <wp:wrapNone/>
              <wp:docPr id="168" name="Shape 16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94" type="#_x0000_t202" style="position:absolute;margin-left:294.65000000000003pt;margin-top:769.5pt;width:8.4000000000000004pt;height:6.25pt;z-index:-188743941;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3742055</wp:posOffset>
              </wp:positionH>
              <wp:positionV relativeFrom="page">
                <wp:posOffset>9772650</wp:posOffset>
              </wp:positionV>
              <wp:extent cx="106680" cy="79375"/>
              <wp:wrapNone/>
              <wp:docPr id="175" name="Shape 17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01" type="#_x0000_t202" style="position:absolute;margin-left:294.65000000000003pt;margin-top:769.5pt;width:8.4000000000000004pt;height:6.25pt;z-index:-188743935;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3742055</wp:posOffset>
              </wp:positionH>
              <wp:positionV relativeFrom="page">
                <wp:posOffset>9772650</wp:posOffset>
              </wp:positionV>
              <wp:extent cx="106680" cy="79375"/>
              <wp:wrapNone/>
              <wp:docPr id="182" name="Shape 18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08" type="#_x0000_t202" style="position:absolute;margin-left:294.65000000000003pt;margin-top:769.5pt;width:8.4000000000000004pt;height:6.25pt;z-index:-188743929;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3862070</wp:posOffset>
              </wp:positionH>
              <wp:positionV relativeFrom="page">
                <wp:posOffset>10046970</wp:posOffset>
              </wp:positionV>
              <wp:extent cx="100330" cy="79375"/>
              <wp:wrapNone/>
              <wp:docPr id="193" name="Shape 19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19" type="#_x0000_t202" style="position:absolute;margin-left:304.10000000000002pt;margin-top:791.10000000000002pt;width:7.9000000000000004pt;height:6.25pt;z-index:-188743921;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3789045</wp:posOffset>
              </wp:positionH>
              <wp:positionV relativeFrom="page">
                <wp:posOffset>9827260</wp:posOffset>
              </wp:positionV>
              <wp:extent cx="94615" cy="79375"/>
              <wp:wrapNone/>
              <wp:docPr id="32" name="Shape 3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8" type="#_x0000_t202" style="position:absolute;margin-left:298.35000000000002pt;margin-top:773.80000000000007pt;width:7.4500000000000002pt;height:6.25pt;z-index:-18874404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3862070</wp:posOffset>
              </wp:positionH>
              <wp:positionV relativeFrom="page">
                <wp:posOffset>10046970</wp:posOffset>
              </wp:positionV>
              <wp:extent cx="100330" cy="79375"/>
              <wp:wrapNone/>
              <wp:docPr id="198" name="Shape 19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24" type="#_x0000_t202" style="position:absolute;margin-left:304.10000000000002pt;margin-top:791.10000000000002pt;width:7.9000000000000004pt;height:6.25pt;z-index:-188743917;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3571875</wp:posOffset>
              </wp:positionH>
              <wp:positionV relativeFrom="page">
                <wp:posOffset>9909810</wp:posOffset>
              </wp:positionV>
              <wp:extent cx="387350" cy="106680"/>
              <wp:wrapNone/>
              <wp:docPr id="203" name="Shape 203"/>
              <a:graphic xmlns:a="http://schemas.openxmlformats.org/drawingml/2006/main">
                <a:graphicData uri="http://schemas.microsoft.com/office/word/2010/wordprocessingShape">
                  <wps:wsp>
                    <wps:cNvSpPr txBox="1"/>
                    <wps:spPr>
                      <a:xfrm>
                        <a:ext cx="38735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29" type="#_x0000_t202" style="position:absolute;margin-left:281.25pt;margin-top:780.30000000000007pt;width:30.5pt;height:8.4000000000000004pt;z-index:-188743913;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3571875</wp:posOffset>
              </wp:positionH>
              <wp:positionV relativeFrom="page">
                <wp:posOffset>9909810</wp:posOffset>
              </wp:positionV>
              <wp:extent cx="387350" cy="106680"/>
              <wp:wrapNone/>
              <wp:docPr id="208" name="Shape 208"/>
              <a:graphic xmlns:a="http://schemas.openxmlformats.org/drawingml/2006/main">
                <a:graphicData uri="http://schemas.microsoft.com/office/word/2010/wordprocessingShape">
                  <wps:wsp>
                    <wps:cNvSpPr txBox="1"/>
                    <wps:spPr>
                      <a:xfrm>
                        <a:ext cx="38735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34" type="#_x0000_t202" style="position:absolute;margin-left:281.25pt;margin-top:780.30000000000007pt;width:30.5pt;height:8.4000000000000004pt;z-index:-188743909;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5124450</wp:posOffset>
              </wp:positionH>
              <wp:positionV relativeFrom="page">
                <wp:posOffset>6804025</wp:posOffset>
              </wp:positionV>
              <wp:extent cx="441960" cy="106680"/>
              <wp:wrapNone/>
              <wp:docPr id="213" name="Shape 213"/>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39" type="#_x0000_t202" style="position:absolute;margin-left:403.5pt;margin-top:535.75pt;width:34.800000000000004pt;height:8.4000000000000004pt;z-index:-188743905;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5124450</wp:posOffset>
              </wp:positionH>
              <wp:positionV relativeFrom="page">
                <wp:posOffset>6804025</wp:posOffset>
              </wp:positionV>
              <wp:extent cx="441960" cy="106680"/>
              <wp:wrapNone/>
              <wp:docPr id="218" name="Shape 218"/>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44" type="#_x0000_t202" style="position:absolute;margin-left:403.5pt;margin-top:535.75pt;width:34.800000000000004pt;height:8.4000000000000004pt;z-index:-188743901;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3569335</wp:posOffset>
              </wp:positionH>
              <wp:positionV relativeFrom="page">
                <wp:posOffset>9913620</wp:posOffset>
              </wp:positionV>
              <wp:extent cx="441960" cy="106680"/>
              <wp:wrapNone/>
              <wp:docPr id="223" name="Shape 223"/>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49" type="#_x0000_t202" style="position:absolute;margin-left:281.05000000000001pt;margin-top:780.60000000000002pt;width:34.800000000000004pt;height:8.4000000000000004pt;z-index:-188743897;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3569335</wp:posOffset>
              </wp:positionH>
              <wp:positionV relativeFrom="page">
                <wp:posOffset>9913620</wp:posOffset>
              </wp:positionV>
              <wp:extent cx="441960" cy="106680"/>
              <wp:wrapNone/>
              <wp:docPr id="228" name="Shape 228"/>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54" type="#_x0000_t202" style="position:absolute;margin-left:281.05000000000001pt;margin-top:780.60000000000002pt;width:34.800000000000004pt;height:8.4000000000000004pt;z-index:-188743893;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3554095</wp:posOffset>
              </wp:positionH>
              <wp:positionV relativeFrom="page">
                <wp:posOffset>9909810</wp:posOffset>
              </wp:positionV>
              <wp:extent cx="441960" cy="106680"/>
              <wp:wrapNone/>
              <wp:docPr id="230" name="Shape 230"/>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56" type="#_x0000_t202" style="position:absolute;margin-left:279.85000000000002pt;margin-top:780.30000000000007pt;width:34.800000000000004pt;height:8.4000000000000004pt;z-index:-188743891;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3554095</wp:posOffset>
              </wp:positionH>
              <wp:positionV relativeFrom="page">
                <wp:posOffset>9909810</wp:posOffset>
              </wp:positionV>
              <wp:extent cx="441960" cy="106680"/>
              <wp:wrapNone/>
              <wp:docPr id="232" name="Shape 232"/>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58" type="#_x0000_t202" style="position:absolute;margin-left:279.85000000000002pt;margin-top:780.30000000000007pt;width:34.800000000000004pt;height:8.4000000000000004pt;z-index:-188743889;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3569335</wp:posOffset>
              </wp:positionH>
              <wp:positionV relativeFrom="page">
                <wp:posOffset>9913620</wp:posOffset>
              </wp:positionV>
              <wp:extent cx="441960" cy="106680"/>
              <wp:wrapNone/>
              <wp:docPr id="237" name="Shape 237"/>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63" type="#_x0000_t202" style="position:absolute;margin-left:281.05000000000001pt;margin-top:780.60000000000002pt;width:34.800000000000004pt;height:8.4000000000000004pt;z-index:-188743885;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3569335</wp:posOffset>
              </wp:positionH>
              <wp:positionV relativeFrom="page">
                <wp:posOffset>9913620</wp:posOffset>
              </wp:positionV>
              <wp:extent cx="441960" cy="106680"/>
              <wp:wrapNone/>
              <wp:docPr id="242" name="Shape 242"/>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68" type="#_x0000_t202" style="position:absolute;margin-left:281.05000000000001pt;margin-top:780.60000000000002pt;width:34.800000000000004pt;height:8.4000000000000004pt;z-index:-188743881;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3540125</wp:posOffset>
              </wp:positionH>
              <wp:positionV relativeFrom="page">
                <wp:posOffset>9909810</wp:posOffset>
              </wp:positionV>
              <wp:extent cx="441960" cy="106680"/>
              <wp:wrapNone/>
              <wp:docPr id="265" name="Shape 265"/>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91" type="#_x0000_t202" style="position:absolute;margin-left:278.75pt;margin-top:780.30000000000007pt;width:34.800000000000004pt;height:8.4000000000000004pt;z-index:-188743875;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3540125</wp:posOffset>
              </wp:positionH>
              <wp:positionV relativeFrom="page">
                <wp:posOffset>9909810</wp:posOffset>
              </wp:positionV>
              <wp:extent cx="441960" cy="106680"/>
              <wp:wrapNone/>
              <wp:docPr id="272" name="Shape 272"/>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98" type="#_x0000_t202" style="position:absolute;margin-left:278.75pt;margin-top:780.30000000000007pt;width:34.800000000000004pt;height:8.4000000000000004pt;z-index:-188743869;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3540125</wp:posOffset>
              </wp:positionH>
              <wp:positionV relativeFrom="page">
                <wp:posOffset>9909810</wp:posOffset>
              </wp:positionV>
              <wp:extent cx="441960" cy="106680"/>
              <wp:wrapNone/>
              <wp:docPr id="279" name="Shape 279"/>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05" type="#_x0000_t202" style="position:absolute;margin-left:278.75pt;margin-top:780.30000000000007pt;width:34.800000000000004pt;height:8.4000000000000004pt;z-index:-188743863;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3569335</wp:posOffset>
              </wp:positionH>
              <wp:positionV relativeFrom="page">
                <wp:posOffset>9913620</wp:posOffset>
              </wp:positionV>
              <wp:extent cx="441960" cy="106680"/>
              <wp:wrapNone/>
              <wp:docPr id="284" name="Shape 284"/>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10" type="#_x0000_t202" style="position:absolute;margin-left:281.05000000000001pt;margin-top:780.60000000000002pt;width:34.800000000000004pt;height:8.4000000000000004pt;z-index:-188743859;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3540125</wp:posOffset>
              </wp:positionH>
              <wp:positionV relativeFrom="page">
                <wp:posOffset>9909810</wp:posOffset>
              </wp:positionV>
              <wp:extent cx="441960" cy="106680"/>
              <wp:wrapNone/>
              <wp:docPr id="303" name="Shape 303"/>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29" type="#_x0000_t202" style="position:absolute;margin-left:278.75pt;margin-top:780.30000000000007pt;width:34.800000000000004pt;height:8.4000000000000004pt;z-index:-188743853;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3540125</wp:posOffset>
              </wp:positionH>
              <wp:positionV relativeFrom="page">
                <wp:posOffset>9909810</wp:posOffset>
              </wp:positionV>
              <wp:extent cx="441960" cy="106680"/>
              <wp:wrapNone/>
              <wp:docPr id="310" name="Shape 310"/>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36" type="#_x0000_t202" style="position:absolute;margin-left:278.75pt;margin-top:780.30000000000007pt;width:34.800000000000004pt;height:8.4000000000000004pt;z-index:-188743847;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3533775</wp:posOffset>
              </wp:positionH>
              <wp:positionV relativeFrom="page">
                <wp:posOffset>9912350</wp:posOffset>
              </wp:positionV>
              <wp:extent cx="441960" cy="106680"/>
              <wp:wrapNone/>
              <wp:docPr id="320" name="Shape 320"/>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46" type="#_x0000_t202" style="position:absolute;margin-left:278.25pt;margin-top:780.5pt;width:34.800000000000004pt;height:8.4000000000000004pt;z-index:-188743843;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3533775</wp:posOffset>
              </wp:positionH>
              <wp:positionV relativeFrom="page">
                <wp:posOffset>9912350</wp:posOffset>
              </wp:positionV>
              <wp:extent cx="441960" cy="106680"/>
              <wp:wrapNone/>
              <wp:docPr id="324" name="Shape 324"/>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50" type="#_x0000_t202" style="position:absolute;margin-left:278.25pt;margin-top:780.5pt;width:34.800000000000004pt;height:8.4000000000000004pt;z-index:-188743839;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3540125</wp:posOffset>
              </wp:positionH>
              <wp:positionV relativeFrom="page">
                <wp:posOffset>9909810</wp:posOffset>
              </wp:positionV>
              <wp:extent cx="441960" cy="106680"/>
              <wp:wrapNone/>
              <wp:docPr id="349" name="Shape 349"/>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75" type="#_x0000_t202" style="position:absolute;margin-left:278.75pt;margin-top:780.30000000000007pt;width:34.800000000000004pt;height:8.4000000000000004pt;z-index:-188743833;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3540125</wp:posOffset>
              </wp:positionH>
              <wp:positionV relativeFrom="page">
                <wp:posOffset>9909810</wp:posOffset>
              </wp:positionV>
              <wp:extent cx="441960" cy="106680"/>
              <wp:wrapNone/>
              <wp:docPr id="356" name="Shape 356"/>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82" type="#_x0000_t202" style="position:absolute;margin-left:278.75pt;margin-top:780.30000000000007pt;width:34.800000000000004pt;height:8.4000000000000004pt;z-index:-188743827;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3533775</wp:posOffset>
              </wp:positionH>
              <wp:positionV relativeFrom="page">
                <wp:posOffset>9912350</wp:posOffset>
              </wp:positionV>
              <wp:extent cx="441960" cy="106680"/>
              <wp:wrapNone/>
              <wp:docPr id="372" name="Shape 372"/>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98" type="#_x0000_t202" style="position:absolute;margin-left:278.25pt;margin-top:780.5pt;width:34.800000000000004pt;height:8.4000000000000004pt;z-index:-188743823;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3533775</wp:posOffset>
              </wp:positionH>
              <wp:positionV relativeFrom="page">
                <wp:posOffset>9912350</wp:posOffset>
              </wp:positionV>
              <wp:extent cx="441960" cy="106680"/>
              <wp:wrapNone/>
              <wp:docPr id="376" name="Shape 376"/>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02" type="#_x0000_t202" style="position:absolute;margin-left:278.25pt;margin-top:780.5pt;width:34.800000000000004pt;height:8.4000000000000004pt;z-index:-188743819;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3533775</wp:posOffset>
              </wp:positionH>
              <wp:positionV relativeFrom="page">
                <wp:posOffset>9912350</wp:posOffset>
              </wp:positionV>
              <wp:extent cx="441960" cy="106680"/>
              <wp:wrapNone/>
              <wp:docPr id="384" name="Shape 384"/>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10" type="#_x0000_t202" style="position:absolute;margin-left:278.25pt;margin-top:780.5pt;width:34.800000000000004pt;height:8.4000000000000004pt;z-index:-188743815;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3533775</wp:posOffset>
              </wp:positionH>
              <wp:positionV relativeFrom="page">
                <wp:posOffset>9912350</wp:posOffset>
              </wp:positionV>
              <wp:extent cx="441960" cy="106680"/>
              <wp:wrapNone/>
              <wp:docPr id="388" name="Shape 388"/>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14" type="#_x0000_t202" style="position:absolute;margin-left:278.25pt;margin-top:780.5pt;width:34.800000000000004pt;height:8.4000000000000004pt;z-index:-188743811;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3611245</wp:posOffset>
              </wp:positionH>
              <wp:positionV relativeFrom="page">
                <wp:posOffset>9909810</wp:posOffset>
              </wp:positionV>
              <wp:extent cx="441960" cy="106680"/>
              <wp:wrapNone/>
              <wp:docPr id="395" name="Shape 395"/>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21" type="#_x0000_t202" style="position:absolute;margin-left:284.35000000000002pt;margin-top:780.30000000000007pt;width:34.800000000000004pt;height:8.4000000000000004pt;z-index:-188743805;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3533775</wp:posOffset>
              </wp:positionH>
              <wp:positionV relativeFrom="page">
                <wp:posOffset>9912350</wp:posOffset>
              </wp:positionV>
              <wp:extent cx="441960" cy="106680"/>
              <wp:wrapNone/>
              <wp:docPr id="399" name="Shape 399"/>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25" type="#_x0000_t202" style="position:absolute;margin-left:278.25pt;margin-top:780.5pt;width:34.800000000000004pt;height:8.4000000000000004pt;z-index:-188743801;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3533775</wp:posOffset>
              </wp:positionH>
              <wp:positionV relativeFrom="page">
                <wp:posOffset>9912350</wp:posOffset>
              </wp:positionV>
              <wp:extent cx="441960" cy="106680"/>
              <wp:wrapNone/>
              <wp:docPr id="403" name="Shape 403"/>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29" type="#_x0000_t202" style="position:absolute;margin-left:278.25pt;margin-top:780.5pt;width:34.800000000000004pt;height:8.4000000000000004pt;z-index:-188743797;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3611245</wp:posOffset>
              </wp:positionH>
              <wp:positionV relativeFrom="page">
                <wp:posOffset>9909810</wp:posOffset>
              </wp:positionV>
              <wp:extent cx="441960" cy="106680"/>
              <wp:wrapNone/>
              <wp:docPr id="410" name="Shape 410"/>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36" type="#_x0000_t202" style="position:absolute;margin-left:284.35000000000002pt;margin-top:780.30000000000007pt;width:34.800000000000004pt;height:8.4000000000000004pt;z-index:-188743791;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3533775</wp:posOffset>
              </wp:positionH>
              <wp:positionV relativeFrom="page">
                <wp:posOffset>9912350</wp:posOffset>
              </wp:positionV>
              <wp:extent cx="441960" cy="106680"/>
              <wp:wrapNone/>
              <wp:docPr id="416" name="Shape 416"/>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42" type="#_x0000_t202" style="position:absolute;margin-left:278.25pt;margin-top:780.5pt;width:34.800000000000004pt;height:8.4000000000000004pt;z-index:-188743787;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3789045</wp:posOffset>
              </wp:positionH>
              <wp:positionV relativeFrom="page">
                <wp:posOffset>9827260</wp:posOffset>
              </wp:positionV>
              <wp:extent cx="94615" cy="79375"/>
              <wp:wrapNone/>
              <wp:docPr id="43" name="Shape 4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9" type="#_x0000_t202" style="position:absolute;margin-left:298.35000000000002pt;margin-top:773.80000000000007pt;width:7.4500000000000002pt;height:6.25pt;z-index:-18874403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3611245</wp:posOffset>
              </wp:positionH>
              <wp:positionV relativeFrom="page">
                <wp:posOffset>9909810</wp:posOffset>
              </wp:positionV>
              <wp:extent cx="441960" cy="106680"/>
              <wp:wrapNone/>
              <wp:docPr id="423" name="Shape 423"/>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49" type="#_x0000_t202" style="position:absolute;margin-left:284.35000000000002pt;margin-top:780.30000000000007pt;width:34.800000000000004pt;height:8.4000000000000004pt;z-index:-188743781;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3533775</wp:posOffset>
              </wp:positionH>
              <wp:positionV relativeFrom="page">
                <wp:posOffset>9912350</wp:posOffset>
              </wp:positionV>
              <wp:extent cx="441960" cy="106680"/>
              <wp:wrapNone/>
              <wp:docPr id="427" name="Shape 427"/>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53" type="#_x0000_t202" style="position:absolute;margin-left:278.25pt;margin-top:780.5pt;width:34.800000000000004pt;height:8.4000000000000004pt;z-index:-188743777;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3533775</wp:posOffset>
              </wp:positionH>
              <wp:positionV relativeFrom="page">
                <wp:posOffset>9912350</wp:posOffset>
              </wp:positionV>
              <wp:extent cx="441960" cy="106680"/>
              <wp:wrapNone/>
              <wp:docPr id="431" name="Shape 431"/>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57" type="#_x0000_t202" style="position:absolute;margin-left:278.25pt;margin-top:780.5pt;width:34.800000000000004pt;height:8.4000000000000004pt;z-index:-188743773;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3533775</wp:posOffset>
              </wp:positionH>
              <wp:positionV relativeFrom="page">
                <wp:posOffset>9912350</wp:posOffset>
              </wp:positionV>
              <wp:extent cx="441960" cy="106680"/>
              <wp:wrapNone/>
              <wp:docPr id="435" name="Shape 435"/>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61" type="#_x0000_t202" style="position:absolute;margin-left:278.25pt;margin-top:780.5pt;width:34.800000000000004pt;height:8.4000000000000004pt;z-index:-188743769;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3533775</wp:posOffset>
              </wp:positionH>
              <wp:positionV relativeFrom="page">
                <wp:posOffset>9912350</wp:posOffset>
              </wp:positionV>
              <wp:extent cx="441960" cy="106680"/>
              <wp:wrapNone/>
              <wp:docPr id="439" name="Shape 439"/>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65" type="#_x0000_t202" style="position:absolute;margin-left:278.25pt;margin-top:780.5pt;width:34.800000000000004pt;height:8.4000000000000004pt;z-index:-188743765;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3568700</wp:posOffset>
              </wp:positionH>
              <wp:positionV relativeFrom="page">
                <wp:posOffset>9909810</wp:posOffset>
              </wp:positionV>
              <wp:extent cx="441960" cy="106680"/>
              <wp:wrapNone/>
              <wp:docPr id="446" name="Shape 446"/>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72" type="#_x0000_t202" style="position:absolute;margin-left:281.pt;margin-top:780.30000000000007pt;width:34.800000000000004pt;height:8.4000000000000004pt;z-index:-188743759;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3533775</wp:posOffset>
              </wp:positionH>
              <wp:positionV relativeFrom="page">
                <wp:posOffset>9912350</wp:posOffset>
              </wp:positionV>
              <wp:extent cx="441960" cy="106680"/>
              <wp:wrapNone/>
              <wp:docPr id="456" name="Shape 456"/>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82" type="#_x0000_t202" style="position:absolute;margin-left:278.25pt;margin-top:780.5pt;width:34.800000000000004pt;height:8.4000000000000004pt;z-index:-188743751;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3533775</wp:posOffset>
              </wp:positionH>
              <wp:positionV relativeFrom="page">
                <wp:posOffset>9912350</wp:posOffset>
              </wp:positionV>
              <wp:extent cx="441960" cy="106680"/>
              <wp:wrapNone/>
              <wp:docPr id="460" name="Shape 460"/>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86" type="#_x0000_t202" style="position:absolute;margin-left:278.25pt;margin-top:780.5pt;width:34.800000000000004pt;height:8.4000000000000004pt;z-index:-188743747;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3789045</wp:posOffset>
              </wp:positionH>
              <wp:positionV relativeFrom="page">
                <wp:posOffset>9827260</wp:posOffset>
              </wp:positionV>
              <wp:extent cx="94615" cy="79375"/>
              <wp:wrapNone/>
              <wp:docPr id="48" name="Shape 4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4" type="#_x0000_t202" style="position:absolute;margin-left:298.35000000000002pt;margin-top:773.80000000000007pt;width:7.4500000000000002pt;height:6.25pt;z-index:-18874402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3568700</wp:posOffset>
              </wp:positionH>
              <wp:positionV relativeFrom="page">
                <wp:posOffset>9909810</wp:posOffset>
              </wp:positionV>
              <wp:extent cx="441960" cy="106680"/>
              <wp:wrapNone/>
              <wp:docPr id="473" name="Shape 473"/>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99" type="#_x0000_t202" style="position:absolute;margin-left:281.pt;margin-top:780.30000000000007pt;width:34.800000000000004pt;height:8.4000000000000004pt;z-index:-188743737;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3533775</wp:posOffset>
              </wp:positionH>
              <wp:positionV relativeFrom="page">
                <wp:posOffset>9912350</wp:posOffset>
              </wp:positionV>
              <wp:extent cx="441960" cy="106680"/>
              <wp:wrapNone/>
              <wp:docPr id="477" name="Shape 477"/>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503" type="#_x0000_t202" style="position:absolute;margin-left:278.25pt;margin-top:780.5pt;width:34.800000000000004pt;height:8.4000000000000004pt;z-index:-188743733;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3533775</wp:posOffset>
              </wp:positionH>
              <wp:positionV relativeFrom="page">
                <wp:posOffset>9912350</wp:posOffset>
              </wp:positionV>
              <wp:extent cx="441960" cy="106680"/>
              <wp:wrapNone/>
              <wp:docPr id="493" name="Shape 493"/>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519" type="#_x0000_t202" style="position:absolute;margin-left:278.25pt;margin-top:780.5pt;width:34.800000000000004pt;height:8.4000000000000004pt;z-index:-188743729;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3533775</wp:posOffset>
              </wp:positionH>
              <wp:positionV relativeFrom="page">
                <wp:posOffset>9912350</wp:posOffset>
              </wp:positionV>
              <wp:extent cx="441960" cy="106680"/>
              <wp:wrapNone/>
              <wp:docPr id="497" name="Shape 497"/>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523" type="#_x0000_t202" style="position:absolute;margin-left:278.25pt;margin-top:780.5pt;width:34.800000000000004pt;height:8.4000000000000004pt;z-index:-188743725;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3600450</wp:posOffset>
              </wp:positionH>
              <wp:positionV relativeFrom="page">
                <wp:posOffset>9912350</wp:posOffset>
              </wp:positionV>
              <wp:extent cx="441960" cy="106680"/>
              <wp:wrapNone/>
              <wp:docPr id="504" name="Shape 504"/>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530" type="#_x0000_t202" style="position:absolute;margin-left:283.5pt;margin-top:780.5pt;width:34.800000000000004pt;height:8.4000000000000004pt;z-index:-188743719;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3533775</wp:posOffset>
              </wp:positionH>
              <wp:positionV relativeFrom="page">
                <wp:posOffset>9912350</wp:posOffset>
              </wp:positionV>
              <wp:extent cx="441960" cy="106680"/>
              <wp:wrapNone/>
              <wp:docPr id="508" name="Shape 508"/>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534" type="#_x0000_t202" style="position:absolute;margin-left:278.25pt;margin-top:780.5pt;width:34.800000000000004pt;height:8.4000000000000004pt;z-index:-188743715;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3533775</wp:posOffset>
              </wp:positionH>
              <wp:positionV relativeFrom="page">
                <wp:posOffset>9912350</wp:posOffset>
              </wp:positionV>
              <wp:extent cx="441960" cy="106680"/>
              <wp:wrapNone/>
              <wp:docPr id="512" name="Shape 512"/>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538" type="#_x0000_t202" style="position:absolute;margin-left:278.25pt;margin-top:780.5pt;width:34.800000000000004pt;height:8.4000000000000004pt;z-index:-188743711;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3600450</wp:posOffset>
              </wp:positionH>
              <wp:positionV relativeFrom="page">
                <wp:posOffset>9912350</wp:posOffset>
              </wp:positionV>
              <wp:extent cx="441960" cy="106680"/>
              <wp:wrapNone/>
              <wp:docPr id="519" name="Shape 519"/>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545" type="#_x0000_t202" style="position:absolute;margin-left:283.5pt;margin-top:780.5pt;width:34.800000000000004pt;height:8.4000000000000004pt;z-index:-188743705;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4337685</wp:posOffset>
              </wp:positionH>
              <wp:positionV relativeFrom="page">
                <wp:posOffset>503555</wp:posOffset>
              </wp:positionV>
              <wp:extent cx="2209800" cy="106680"/>
              <wp:wrapNone/>
              <wp:docPr id="1" name="Shape 1"/>
              <a:graphic xmlns:a="http://schemas.openxmlformats.org/drawingml/2006/main">
                <a:graphicData uri="http://schemas.microsoft.com/office/word/2010/wordprocessingShape">
                  <wps:wsp>
                    <wps:cNvSpPr txBox="1"/>
                    <wps:spPr>
                      <a:xfrm>
                        <a:ext cx="220980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1.55000000000001pt;margin-top:39.649999999999999pt;width:174.pt;height:8.40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988060</wp:posOffset>
              </wp:positionH>
              <wp:positionV relativeFrom="page">
                <wp:posOffset>648335</wp:posOffset>
              </wp:positionV>
              <wp:extent cx="5584190" cy="0"/>
              <wp:wrapNone/>
              <wp:docPr id="3" name="Shape 3"/>
              <a:graphic xmlns:a="http://schemas.openxmlformats.org/drawingml/2006/main">
                <a:graphicData uri="http://schemas.microsoft.com/office/word/2010/wordprocessingShape">
                  <wps:wsp>
                    <wps:cNvCnPr/>
                    <wps:spPr>
                      <a:xfrm>
                        <a:ext cx="5584190" cy="0"/>
                      </a:xfrm>
                      <a:prstGeom prst="straightConnector1"/>
                      <a:ln w="12700">
                        <a:solidFill/>
                      </a:ln>
                    </wps:spPr>
                    <wps:bodyPr/>
                  </wps:wsp>
                </a:graphicData>
              </a:graphic>
            </wp:anchor>
          </w:drawing>
        </mc:Choice>
        <mc:Fallback>
          <w:pict>
            <v:shape o:spt="32" o:oned="true" path="m,l21600,21600e" style="position:absolute;margin-left:77.799999999999997pt;margin-top:51.050000000000004pt;width:439.69999999999999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698500</wp:posOffset>
              </wp:positionH>
              <wp:positionV relativeFrom="page">
                <wp:posOffset>244475</wp:posOffset>
              </wp:positionV>
              <wp:extent cx="6135370" cy="441960"/>
              <wp:wrapNone/>
              <wp:docPr id="37" name="Shape 37"/>
              <a:graphic xmlns:a="http://schemas.openxmlformats.org/drawingml/2006/main">
                <a:graphicData uri="http://schemas.microsoft.com/office/word/2010/wordprocessingShape">
                  <wps:wsp>
                    <wps:cNvSpPr txBox="1"/>
                    <wps:spPr>
                      <a:xfrm>
                        <a:ext cx="6135370" cy="44196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rFonts w:ascii="SimSun" w:eastAsia="SimSun" w:hAnsi="SimSun" w:cs="SimSun"/>
                              <w:color w:val="01408A"/>
                              <w:spacing w:val="0"/>
                              <w:w w:val="100"/>
                              <w:position w:val="0"/>
                              <w:sz w:val="240"/>
                              <w:szCs w:val="240"/>
                            </w:rPr>
                            <w:t>。</w:t>
                          </w:r>
                        </w:p>
                        <w:p>
                          <w:pPr>
                            <w:pStyle w:val="Style6"/>
                            <w:keepNext w:val="0"/>
                            <w:keepLines w:val="0"/>
                            <w:widowControl w:val="0"/>
                            <w:shd w:val="clear" w:color="auto" w:fill="auto"/>
                            <w:tabs>
                              <w:tab w:pos="9014"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063" type="#_x0000_t202" style="position:absolute;margin-left:55.pt;margin-top:19.25pt;width:483.10000000000002pt;height:34.800000000000004pt;z-index:-188744037;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rFonts w:ascii="SimSun" w:eastAsia="SimSun" w:hAnsi="SimSun" w:cs="SimSun"/>
                        <w:color w:val="01408A"/>
                        <w:spacing w:val="0"/>
                        <w:w w:val="100"/>
                        <w:position w:val="0"/>
                        <w:sz w:val="240"/>
                        <w:szCs w:val="240"/>
                      </w:rPr>
                      <w:t>。</w:t>
                    </w:r>
                  </w:p>
                  <w:p>
                    <w:pPr>
                      <w:pStyle w:val="Style6"/>
                      <w:keepNext w:val="0"/>
                      <w:keepLines w:val="0"/>
                      <w:widowControl w:val="0"/>
                      <w:shd w:val="clear" w:color="auto" w:fill="auto"/>
                      <w:tabs>
                        <w:tab w:pos="9014"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731520</wp:posOffset>
              </wp:positionV>
              <wp:extent cx="6163310" cy="0"/>
              <wp:wrapNone/>
              <wp:docPr id="39" name="Shape 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7.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817245</wp:posOffset>
              </wp:positionH>
              <wp:positionV relativeFrom="page">
                <wp:posOffset>236855</wp:posOffset>
              </wp:positionV>
              <wp:extent cx="6031865" cy="450850"/>
              <wp:wrapNone/>
              <wp:docPr id="40" name="Shape 40"/>
              <a:graphic xmlns:a="http://schemas.openxmlformats.org/drawingml/2006/main">
                <a:graphicData uri="http://schemas.microsoft.com/office/word/2010/wordprocessingShape">
                  <wps:wsp>
                    <wps:cNvSpPr txBox="1"/>
                    <wps:spPr>
                      <a:xfrm>
                        <a:ext cx="6031865" cy="4508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1408A"/>
                              <w:spacing w:val="0"/>
                              <w:w w:val="100"/>
                              <w:position w:val="0"/>
                              <w:sz w:val="42"/>
                              <w:szCs w:val="42"/>
                            </w:rPr>
                            <w:t>Nation</w:t>
                          </w:r>
                          <w:r>
                            <w:rPr>
                              <w:rFonts w:ascii="SimSun" w:eastAsia="SimSun" w:hAnsi="SimSun" w:cs="SimSun"/>
                              <w:b/>
                              <w:bCs/>
                              <w:i/>
                              <w:iCs/>
                              <w:color w:val="01408A"/>
                              <w:spacing w:val="0"/>
                              <w:w w:val="100"/>
                              <w:position w:val="0"/>
                              <w:sz w:val="50"/>
                              <w:szCs w:val="50"/>
                            </w:rPr>
                            <w:t>。</w:t>
                          </w:r>
                        </w:p>
                        <w:p>
                          <w:pPr>
                            <w:pStyle w:val="Style6"/>
                            <w:keepNext w:val="0"/>
                            <w:keepLines w:val="0"/>
                            <w:widowControl w:val="0"/>
                            <w:shd w:val="clear" w:color="auto" w:fill="auto"/>
                            <w:tabs>
                              <w:tab w:pos="8875"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066" type="#_x0000_t202" style="position:absolute;margin-left:64.349999999999994pt;margin-top:18.650000000000002pt;width:474.94999999999999pt;height:35.5pt;z-index:-188744035;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1408A"/>
                        <w:spacing w:val="0"/>
                        <w:w w:val="100"/>
                        <w:position w:val="0"/>
                        <w:sz w:val="42"/>
                        <w:szCs w:val="42"/>
                      </w:rPr>
                      <w:t>Nation</w:t>
                    </w:r>
                    <w:r>
                      <w:rPr>
                        <w:rFonts w:ascii="SimSun" w:eastAsia="SimSun" w:hAnsi="SimSun" w:cs="SimSun"/>
                        <w:b/>
                        <w:bCs/>
                        <w:i/>
                        <w:iCs/>
                        <w:color w:val="01408A"/>
                        <w:spacing w:val="0"/>
                        <w:w w:val="100"/>
                        <w:position w:val="0"/>
                        <w:sz w:val="50"/>
                        <w:szCs w:val="50"/>
                      </w:rPr>
                      <w:t>。</w:t>
                    </w:r>
                  </w:p>
                  <w:p>
                    <w:pPr>
                      <w:pStyle w:val="Style6"/>
                      <w:keepNext w:val="0"/>
                      <w:keepLines w:val="0"/>
                      <w:widowControl w:val="0"/>
                      <w:shd w:val="clear" w:color="auto" w:fill="auto"/>
                      <w:tabs>
                        <w:tab w:pos="8875"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802005</wp:posOffset>
              </wp:positionH>
              <wp:positionV relativeFrom="page">
                <wp:posOffset>727075</wp:posOffset>
              </wp:positionV>
              <wp:extent cx="6071870" cy="0"/>
              <wp:wrapNone/>
              <wp:docPr id="42" name="Shape 42"/>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63.149999999999999pt;margin-top:57.25pt;width:478.10000000000002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817245</wp:posOffset>
              </wp:positionH>
              <wp:positionV relativeFrom="page">
                <wp:posOffset>236855</wp:posOffset>
              </wp:positionV>
              <wp:extent cx="6031865" cy="450850"/>
              <wp:wrapNone/>
              <wp:docPr id="45" name="Shape 45"/>
              <a:graphic xmlns:a="http://schemas.openxmlformats.org/drawingml/2006/main">
                <a:graphicData uri="http://schemas.microsoft.com/office/word/2010/wordprocessingShape">
                  <wps:wsp>
                    <wps:cNvSpPr txBox="1"/>
                    <wps:spPr>
                      <a:xfrm>
                        <a:ext cx="6031865" cy="4508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1408A"/>
                              <w:spacing w:val="0"/>
                              <w:w w:val="100"/>
                              <w:position w:val="0"/>
                              <w:sz w:val="42"/>
                              <w:szCs w:val="42"/>
                            </w:rPr>
                            <w:t>Nation</w:t>
                          </w:r>
                          <w:r>
                            <w:rPr>
                              <w:rFonts w:ascii="SimSun" w:eastAsia="SimSun" w:hAnsi="SimSun" w:cs="SimSun"/>
                              <w:b/>
                              <w:bCs/>
                              <w:i/>
                              <w:iCs/>
                              <w:color w:val="01408A"/>
                              <w:spacing w:val="0"/>
                              <w:w w:val="100"/>
                              <w:position w:val="0"/>
                              <w:sz w:val="50"/>
                              <w:szCs w:val="50"/>
                            </w:rPr>
                            <w:t>。</w:t>
                          </w:r>
                        </w:p>
                        <w:p>
                          <w:pPr>
                            <w:pStyle w:val="Style6"/>
                            <w:keepNext w:val="0"/>
                            <w:keepLines w:val="0"/>
                            <w:widowControl w:val="0"/>
                            <w:shd w:val="clear" w:color="auto" w:fill="auto"/>
                            <w:tabs>
                              <w:tab w:pos="8875"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071" type="#_x0000_t202" style="position:absolute;margin-left:64.349999999999994pt;margin-top:18.650000000000002pt;width:474.94999999999999pt;height:35.5pt;z-index:-188744031;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1408A"/>
                        <w:spacing w:val="0"/>
                        <w:w w:val="100"/>
                        <w:position w:val="0"/>
                        <w:sz w:val="42"/>
                        <w:szCs w:val="42"/>
                      </w:rPr>
                      <w:t>Nation</w:t>
                    </w:r>
                    <w:r>
                      <w:rPr>
                        <w:rFonts w:ascii="SimSun" w:eastAsia="SimSun" w:hAnsi="SimSun" w:cs="SimSun"/>
                        <w:b/>
                        <w:bCs/>
                        <w:i/>
                        <w:iCs/>
                        <w:color w:val="01408A"/>
                        <w:spacing w:val="0"/>
                        <w:w w:val="100"/>
                        <w:position w:val="0"/>
                        <w:sz w:val="50"/>
                        <w:szCs w:val="50"/>
                      </w:rPr>
                      <w:t>。</w:t>
                    </w:r>
                  </w:p>
                  <w:p>
                    <w:pPr>
                      <w:pStyle w:val="Style6"/>
                      <w:keepNext w:val="0"/>
                      <w:keepLines w:val="0"/>
                      <w:widowControl w:val="0"/>
                      <w:shd w:val="clear" w:color="auto" w:fill="auto"/>
                      <w:tabs>
                        <w:tab w:pos="8875"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802005</wp:posOffset>
              </wp:positionH>
              <wp:positionV relativeFrom="page">
                <wp:posOffset>727075</wp:posOffset>
              </wp:positionV>
              <wp:extent cx="6071870" cy="0"/>
              <wp:wrapNone/>
              <wp:docPr id="47" name="Shape 47"/>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63.149999999999999pt;margin-top:57.25pt;width:478.10000000000002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698500</wp:posOffset>
              </wp:positionH>
              <wp:positionV relativeFrom="page">
                <wp:posOffset>244475</wp:posOffset>
              </wp:positionV>
              <wp:extent cx="6135370" cy="441960"/>
              <wp:wrapNone/>
              <wp:docPr id="50" name="Shape 50"/>
              <a:graphic xmlns:a="http://schemas.openxmlformats.org/drawingml/2006/main">
                <a:graphicData uri="http://schemas.microsoft.com/office/word/2010/wordprocessingShape">
                  <wps:wsp>
                    <wps:cNvSpPr txBox="1"/>
                    <wps:spPr>
                      <a:xfrm>
                        <a:ext cx="6135370" cy="44196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rFonts w:ascii="SimSun" w:eastAsia="SimSun" w:hAnsi="SimSun" w:cs="SimSun"/>
                              <w:color w:val="01408A"/>
                              <w:spacing w:val="0"/>
                              <w:w w:val="100"/>
                              <w:position w:val="0"/>
                              <w:sz w:val="240"/>
                              <w:szCs w:val="240"/>
                            </w:rPr>
                            <w:t>。</w:t>
                          </w:r>
                        </w:p>
                        <w:p>
                          <w:pPr>
                            <w:pStyle w:val="Style6"/>
                            <w:keepNext w:val="0"/>
                            <w:keepLines w:val="0"/>
                            <w:widowControl w:val="0"/>
                            <w:shd w:val="clear" w:color="auto" w:fill="auto"/>
                            <w:tabs>
                              <w:tab w:pos="9014"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076" type="#_x0000_t202" style="position:absolute;margin-left:55.pt;margin-top:19.25pt;width:483.10000000000002pt;height:34.800000000000004pt;z-index:-188744027;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rFonts w:ascii="SimSun" w:eastAsia="SimSun" w:hAnsi="SimSun" w:cs="SimSun"/>
                        <w:color w:val="01408A"/>
                        <w:spacing w:val="0"/>
                        <w:w w:val="100"/>
                        <w:position w:val="0"/>
                        <w:sz w:val="240"/>
                        <w:szCs w:val="240"/>
                      </w:rPr>
                      <w:t>。</w:t>
                    </w:r>
                  </w:p>
                  <w:p>
                    <w:pPr>
                      <w:pStyle w:val="Style6"/>
                      <w:keepNext w:val="0"/>
                      <w:keepLines w:val="0"/>
                      <w:widowControl w:val="0"/>
                      <w:shd w:val="clear" w:color="auto" w:fill="auto"/>
                      <w:tabs>
                        <w:tab w:pos="9014"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731520</wp:posOffset>
              </wp:positionV>
              <wp:extent cx="6163310" cy="0"/>
              <wp:wrapNone/>
              <wp:docPr id="52" name="Shape 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7.600000000000001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698500</wp:posOffset>
              </wp:positionH>
              <wp:positionV relativeFrom="page">
                <wp:posOffset>244475</wp:posOffset>
              </wp:positionV>
              <wp:extent cx="6135370" cy="441960"/>
              <wp:wrapNone/>
              <wp:docPr id="53" name="Shape 53"/>
              <a:graphic xmlns:a="http://schemas.openxmlformats.org/drawingml/2006/main">
                <a:graphicData uri="http://schemas.microsoft.com/office/word/2010/wordprocessingShape">
                  <wps:wsp>
                    <wps:cNvSpPr txBox="1"/>
                    <wps:spPr>
                      <a:xfrm>
                        <a:ext cx="6135370" cy="44196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rFonts w:ascii="SimSun" w:eastAsia="SimSun" w:hAnsi="SimSun" w:cs="SimSun"/>
                              <w:color w:val="01408A"/>
                              <w:spacing w:val="0"/>
                              <w:w w:val="100"/>
                              <w:position w:val="0"/>
                              <w:sz w:val="240"/>
                              <w:szCs w:val="240"/>
                            </w:rPr>
                            <w:t>。</w:t>
                          </w:r>
                        </w:p>
                        <w:p>
                          <w:pPr>
                            <w:pStyle w:val="Style6"/>
                            <w:keepNext w:val="0"/>
                            <w:keepLines w:val="0"/>
                            <w:widowControl w:val="0"/>
                            <w:shd w:val="clear" w:color="auto" w:fill="auto"/>
                            <w:tabs>
                              <w:tab w:pos="9014"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079" type="#_x0000_t202" style="position:absolute;margin-left:55.pt;margin-top:19.25pt;width:483.10000000000002pt;height:34.800000000000004pt;z-index:-188744025;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rFonts w:ascii="SimSun" w:eastAsia="SimSun" w:hAnsi="SimSun" w:cs="SimSun"/>
                        <w:color w:val="01408A"/>
                        <w:spacing w:val="0"/>
                        <w:w w:val="100"/>
                        <w:position w:val="0"/>
                        <w:sz w:val="240"/>
                        <w:szCs w:val="240"/>
                      </w:rPr>
                      <w:t>。</w:t>
                    </w:r>
                  </w:p>
                  <w:p>
                    <w:pPr>
                      <w:pStyle w:val="Style6"/>
                      <w:keepNext w:val="0"/>
                      <w:keepLines w:val="0"/>
                      <w:widowControl w:val="0"/>
                      <w:shd w:val="clear" w:color="auto" w:fill="auto"/>
                      <w:tabs>
                        <w:tab w:pos="9014"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731520</wp:posOffset>
              </wp:positionV>
              <wp:extent cx="6163310" cy="0"/>
              <wp:wrapNone/>
              <wp:docPr id="55" name="Shape 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7.600000000000001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817245</wp:posOffset>
              </wp:positionH>
              <wp:positionV relativeFrom="page">
                <wp:posOffset>236855</wp:posOffset>
              </wp:positionV>
              <wp:extent cx="6031865" cy="450850"/>
              <wp:wrapNone/>
              <wp:docPr id="56" name="Shape 56"/>
              <a:graphic xmlns:a="http://schemas.openxmlformats.org/drawingml/2006/main">
                <a:graphicData uri="http://schemas.microsoft.com/office/word/2010/wordprocessingShape">
                  <wps:wsp>
                    <wps:cNvSpPr txBox="1"/>
                    <wps:spPr>
                      <a:xfrm>
                        <a:ext cx="6031865" cy="4508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1408A"/>
                              <w:spacing w:val="0"/>
                              <w:w w:val="100"/>
                              <w:position w:val="0"/>
                              <w:sz w:val="42"/>
                              <w:szCs w:val="42"/>
                            </w:rPr>
                            <w:t>Nation</w:t>
                          </w:r>
                          <w:r>
                            <w:rPr>
                              <w:rFonts w:ascii="SimSun" w:eastAsia="SimSun" w:hAnsi="SimSun" w:cs="SimSun"/>
                              <w:b/>
                              <w:bCs/>
                              <w:i/>
                              <w:iCs/>
                              <w:color w:val="01408A"/>
                              <w:spacing w:val="0"/>
                              <w:w w:val="100"/>
                              <w:position w:val="0"/>
                              <w:sz w:val="50"/>
                              <w:szCs w:val="50"/>
                            </w:rPr>
                            <w:t>。</w:t>
                          </w:r>
                        </w:p>
                        <w:p>
                          <w:pPr>
                            <w:pStyle w:val="Style6"/>
                            <w:keepNext w:val="0"/>
                            <w:keepLines w:val="0"/>
                            <w:widowControl w:val="0"/>
                            <w:shd w:val="clear" w:color="auto" w:fill="auto"/>
                            <w:tabs>
                              <w:tab w:pos="8875"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082" type="#_x0000_t202" style="position:absolute;margin-left:64.349999999999994pt;margin-top:18.650000000000002pt;width:474.94999999999999pt;height:35.5pt;z-index:-18874402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1408A"/>
                        <w:spacing w:val="0"/>
                        <w:w w:val="100"/>
                        <w:position w:val="0"/>
                        <w:sz w:val="42"/>
                        <w:szCs w:val="42"/>
                      </w:rPr>
                      <w:t>Nation</w:t>
                    </w:r>
                    <w:r>
                      <w:rPr>
                        <w:rFonts w:ascii="SimSun" w:eastAsia="SimSun" w:hAnsi="SimSun" w:cs="SimSun"/>
                        <w:b/>
                        <w:bCs/>
                        <w:i/>
                        <w:iCs/>
                        <w:color w:val="01408A"/>
                        <w:spacing w:val="0"/>
                        <w:w w:val="100"/>
                        <w:position w:val="0"/>
                        <w:sz w:val="50"/>
                        <w:szCs w:val="50"/>
                      </w:rPr>
                      <w:t>。</w:t>
                    </w:r>
                  </w:p>
                  <w:p>
                    <w:pPr>
                      <w:pStyle w:val="Style6"/>
                      <w:keepNext w:val="0"/>
                      <w:keepLines w:val="0"/>
                      <w:widowControl w:val="0"/>
                      <w:shd w:val="clear" w:color="auto" w:fill="auto"/>
                      <w:tabs>
                        <w:tab w:pos="8875"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802005</wp:posOffset>
              </wp:positionH>
              <wp:positionV relativeFrom="page">
                <wp:posOffset>727075</wp:posOffset>
              </wp:positionV>
              <wp:extent cx="6071870" cy="0"/>
              <wp:wrapNone/>
              <wp:docPr id="58" name="Shape 58"/>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63.149999999999999pt;margin-top:57.25pt;width:478.10000000000002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817245</wp:posOffset>
              </wp:positionH>
              <wp:positionV relativeFrom="page">
                <wp:posOffset>236855</wp:posOffset>
              </wp:positionV>
              <wp:extent cx="6031865" cy="450850"/>
              <wp:wrapNone/>
              <wp:docPr id="61" name="Shape 61"/>
              <a:graphic xmlns:a="http://schemas.openxmlformats.org/drawingml/2006/main">
                <a:graphicData uri="http://schemas.microsoft.com/office/word/2010/wordprocessingShape">
                  <wps:wsp>
                    <wps:cNvSpPr txBox="1"/>
                    <wps:spPr>
                      <a:xfrm>
                        <a:ext cx="6031865" cy="4508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1408A"/>
                              <w:spacing w:val="0"/>
                              <w:w w:val="100"/>
                              <w:position w:val="0"/>
                              <w:sz w:val="42"/>
                              <w:szCs w:val="42"/>
                            </w:rPr>
                            <w:t>Nation</w:t>
                          </w:r>
                          <w:r>
                            <w:rPr>
                              <w:rFonts w:ascii="SimSun" w:eastAsia="SimSun" w:hAnsi="SimSun" w:cs="SimSun"/>
                              <w:b/>
                              <w:bCs/>
                              <w:i/>
                              <w:iCs/>
                              <w:color w:val="01408A"/>
                              <w:spacing w:val="0"/>
                              <w:w w:val="100"/>
                              <w:position w:val="0"/>
                              <w:sz w:val="50"/>
                              <w:szCs w:val="50"/>
                            </w:rPr>
                            <w:t>。</w:t>
                          </w:r>
                        </w:p>
                        <w:p>
                          <w:pPr>
                            <w:pStyle w:val="Style6"/>
                            <w:keepNext w:val="0"/>
                            <w:keepLines w:val="0"/>
                            <w:widowControl w:val="0"/>
                            <w:shd w:val="clear" w:color="auto" w:fill="auto"/>
                            <w:tabs>
                              <w:tab w:pos="8875"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087" type="#_x0000_t202" style="position:absolute;margin-left:64.349999999999994pt;margin-top:18.650000000000002pt;width:474.94999999999999pt;height:35.5pt;z-index:-18874401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1408A"/>
                        <w:spacing w:val="0"/>
                        <w:w w:val="100"/>
                        <w:position w:val="0"/>
                        <w:sz w:val="42"/>
                        <w:szCs w:val="42"/>
                      </w:rPr>
                      <w:t>Nation</w:t>
                    </w:r>
                    <w:r>
                      <w:rPr>
                        <w:rFonts w:ascii="SimSun" w:eastAsia="SimSun" w:hAnsi="SimSun" w:cs="SimSun"/>
                        <w:b/>
                        <w:bCs/>
                        <w:i/>
                        <w:iCs/>
                        <w:color w:val="01408A"/>
                        <w:spacing w:val="0"/>
                        <w:w w:val="100"/>
                        <w:position w:val="0"/>
                        <w:sz w:val="50"/>
                        <w:szCs w:val="50"/>
                      </w:rPr>
                      <w:t>。</w:t>
                    </w:r>
                  </w:p>
                  <w:p>
                    <w:pPr>
                      <w:pStyle w:val="Style6"/>
                      <w:keepNext w:val="0"/>
                      <w:keepLines w:val="0"/>
                      <w:widowControl w:val="0"/>
                      <w:shd w:val="clear" w:color="auto" w:fill="auto"/>
                      <w:tabs>
                        <w:tab w:pos="8875"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802005</wp:posOffset>
              </wp:positionH>
              <wp:positionV relativeFrom="page">
                <wp:posOffset>727075</wp:posOffset>
              </wp:positionV>
              <wp:extent cx="6071870" cy="0"/>
              <wp:wrapNone/>
              <wp:docPr id="63" name="Shape 63"/>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63.149999999999999pt;margin-top:57.25pt;width:478.10000000000002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698500</wp:posOffset>
              </wp:positionH>
              <wp:positionV relativeFrom="page">
                <wp:posOffset>244475</wp:posOffset>
              </wp:positionV>
              <wp:extent cx="6135370" cy="441960"/>
              <wp:wrapNone/>
              <wp:docPr id="72" name="Shape 72"/>
              <a:graphic xmlns:a="http://schemas.openxmlformats.org/drawingml/2006/main">
                <a:graphicData uri="http://schemas.microsoft.com/office/word/2010/wordprocessingShape">
                  <wps:wsp>
                    <wps:cNvSpPr txBox="1"/>
                    <wps:spPr>
                      <a:xfrm>
                        <a:ext cx="6135370" cy="44196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rFonts w:ascii="SimSun" w:eastAsia="SimSun" w:hAnsi="SimSun" w:cs="SimSun"/>
                              <w:color w:val="01408A"/>
                              <w:spacing w:val="0"/>
                              <w:w w:val="100"/>
                              <w:position w:val="0"/>
                              <w:sz w:val="240"/>
                              <w:szCs w:val="240"/>
                            </w:rPr>
                            <w:t>。</w:t>
                          </w:r>
                        </w:p>
                        <w:p>
                          <w:pPr>
                            <w:pStyle w:val="Style6"/>
                            <w:keepNext w:val="0"/>
                            <w:keepLines w:val="0"/>
                            <w:widowControl w:val="0"/>
                            <w:shd w:val="clear" w:color="auto" w:fill="auto"/>
                            <w:tabs>
                              <w:tab w:pos="9014"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098" type="#_x0000_t202" style="position:absolute;margin-left:55.pt;margin-top:19.25pt;width:483.10000000000002pt;height:34.800000000000004pt;z-index:-188744011;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rFonts w:ascii="SimSun" w:eastAsia="SimSun" w:hAnsi="SimSun" w:cs="SimSun"/>
                        <w:color w:val="01408A"/>
                        <w:spacing w:val="0"/>
                        <w:w w:val="100"/>
                        <w:position w:val="0"/>
                        <w:sz w:val="240"/>
                        <w:szCs w:val="240"/>
                      </w:rPr>
                      <w:t>。</w:t>
                    </w:r>
                  </w:p>
                  <w:p>
                    <w:pPr>
                      <w:pStyle w:val="Style6"/>
                      <w:keepNext w:val="0"/>
                      <w:keepLines w:val="0"/>
                      <w:widowControl w:val="0"/>
                      <w:shd w:val="clear" w:color="auto" w:fill="auto"/>
                      <w:tabs>
                        <w:tab w:pos="9014"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731520</wp:posOffset>
              </wp:positionV>
              <wp:extent cx="6163310" cy="0"/>
              <wp:wrapNone/>
              <wp:docPr id="74" name="Shape 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7.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4337685</wp:posOffset>
              </wp:positionH>
              <wp:positionV relativeFrom="page">
                <wp:posOffset>503555</wp:posOffset>
              </wp:positionV>
              <wp:extent cx="2209800" cy="106680"/>
              <wp:wrapNone/>
              <wp:docPr id="4" name="Shape 4"/>
              <a:graphic xmlns:a="http://schemas.openxmlformats.org/drawingml/2006/main">
                <a:graphicData uri="http://schemas.microsoft.com/office/word/2010/wordprocessingShape">
                  <wps:wsp>
                    <wps:cNvSpPr txBox="1"/>
                    <wps:spPr>
                      <a:xfrm>
                        <a:ext cx="220980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0" type="#_x0000_t202" style="position:absolute;margin-left:341.55000000000001pt;margin-top:39.649999999999999pt;width:174.pt;height:8.4000000000000004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988060</wp:posOffset>
              </wp:positionH>
              <wp:positionV relativeFrom="page">
                <wp:posOffset>648335</wp:posOffset>
              </wp:positionV>
              <wp:extent cx="5584190" cy="0"/>
              <wp:wrapNone/>
              <wp:docPr id="6" name="Shape 6"/>
              <a:graphic xmlns:a="http://schemas.openxmlformats.org/drawingml/2006/main">
                <a:graphicData uri="http://schemas.microsoft.com/office/word/2010/wordprocessingShape">
                  <wps:wsp>
                    <wps:cNvCnPr/>
                    <wps:spPr>
                      <a:xfrm>
                        <a:ext cx="5584190" cy="0"/>
                      </a:xfrm>
                      <a:prstGeom prst="straightConnector1"/>
                      <a:ln w="12700">
                        <a:solidFill/>
                      </a:ln>
                    </wps:spPr>
                    <wps:bodyPr/>
                  </wps:wsp>
                </a:graphicData>
              </a:graphic>
            </wp:anchor>
          </w:drawing>
        </mc:Choice>
        <mc:Fallback>
          <w:pict>
            <v:shape o:spt="32" o:oned="true" path="m,l21600,21600e" style="position:absolute;margin-left:77.799999999999997pt;margin-top:51.050000000000004pt;width:439.69999999999999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698500</wp:posOffset>
              </wp:positionH>
              <wp:positionV relativeFrom="page">
                <wp:posOffset>244475</wp:posOffset>
              </wp:positionV>
              <wp:extent cx="6135370" cy="441960"/>
              <wp:wrapNone/>
              <wp:docPr id="75" name="Shape 75"/>
              <a:graphic xmlns:a="http://schemas.openxmlformats.org/drawingml/2006/main">
                <a:graphicData uri="http://schemas.microsoft.com/office/word/2010/wordprocessingShape">
                  <wps:wsp>
                    <wps:cNvSpPr txBox="1"/>
                    <wps:spPr>
                      <a:xfrm>
                        <a:ext cx="6135370" cy="44196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rFonts w:ascii="SimSun" w:eastAsia="SimSun" w:hAnsi="SimSun" w:cs="SimSun"/>
                              <w:color w:val="01408A"/>
                              <w:spacing w:val="0"/>
                              <w:w w:val="100"/>
                              <w:position w:val="0"/>
                              <w:sz w:val="240"/>
                              <w:szCs w:val="240"/>
                            </w:rPr>
                            <w:t>。</w:t>
                          </w:r>
                        </w:p>
                        <w:p>
                          <w:pPr>
                            <w:pStyle w:val="Style6"/>
                            <w:keepNext w:val="0"/>
                            <w:keepLines w:val="0"/>
                            <w:widowControl w:val="0"/>
                            <w:shd w:val="clear" w:color="auto" w:fill="auto"/>
                            <w:tabs>
                              <w:tab w:pos="9014"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101" type="#_x0000_t202" style="position:absolute;margin-left:55.pt;margin-top:19.25pt;width:483.10000000000002pt;height:34.800000000000004pt;z-index:-18874400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rFonts w:ascii="SimSun" w:eastAsia="SimSun" w:hAnsi="SimSun" w:cs="SimSun"/>
                        <w:color w:val="01408A"/>
                        <w:spacing w:val="0"/>
                        <w:w w:val="100"/>
                        <w:position w:val="0"/>
                        <w:sz w:val="240"/>
                        <w:szCs w:val="240"/>
                      </w:rPr>
                      <w:t>。</w:t>
                    </w:r>
                  </w:p>
                  <w:p>
                    <w:pPr>
                      <w:pStyle w:val="Style6"/>
                      <w:keepNext w:val="0"/>
                      <w:keepLines w:val="0"/>
                      <w:widowControl w:val="0"/>
                      <w:shd w:val="clear" w:color="auto" w:fill="auto"/>
                      <w:tabs>
                        <w:tab w:pos="9014"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731520</wp:posOffset>
              </wp:positionV>
              <wp:extent cx="6163310" cy="0"/>
              <wp:wrapNone/>
              <wp:docPr id="77" name="Shape 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7.600000000000001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817245</wp:posOffset>
              </wp:positionH>
              <wp:positionV relativeFrom="page">
                <wp:posOffset>236855</wp:posOffset>
              </wp:positionV>
              <wp:extent cx="6031865" cy="450850"/>
              <wp:wrapNone/>
              <wp:docPr id="78" name="Shape 78"/>
              <a:graphic xmlns:a="http://schemas.openxmlformats.org/drawingml/2006/main">
                <a:graphicData uri="http://schemas.microsoft.com/office/word/2010/wordprocessingShape">
                  <wps:wsp>
                    <wps:cNvSpPr txBox="1"/>
                    <wps:spPr>
                      <a:xfrm>
                        <a:ext cx="6031865" cy="4508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1408A"/>
                              <w:spacing w:val="0"/>
                              <w:w w:val="100"/>
                              <w:position w:val="0"/>
                              <w:sz w:val="42"/>
                              <w:szCs w:val="42"/>
                            </w:rPr>
                            <w:t>Nation</w:t>
                          </w:r>
                          <w:r>
                            <w:rPr>
                              <w:rFonts w:ascii="SimSun" w:eastAsia="SimSun" w:hAnsi="SimSun" w:cs="SimSun"/>
                              <w:b/>
                              <w:bCs/>
                              <w:i/>
                              <w:iCs/>
                              <w:color w:val="01408A"/>
                              <w:spacing w:val="0"/>
                              <w:w w:val="100"/>
                              <w:position w:val="0"/>
                              <w:sz w:val="50"/>
                              <w:szCs w:val="50"/>
                            </w:rPr>
                            <w:t>。</w:t>
                          </w:r>
                        </w:p>
                        <w:p>
                          <w:pPr>
                            <w:pStyle w:val="Style6"/>
                            <w:keepNext w:val="0"/>
                            <w:keepLines w:val="0"/>
                            <w:widowControl w:val="0"/>
                            <w:shd w:val="clear" w:color="auto" w:fill="auto"/>
                            <w:tabs>
                              <w:tab w:pos="8875"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104" type="#_x0000_t202" style="position:absolute;margin-left:64.349999999999994pt;margin-top:18.650000000000002pt;width:474.94999999999999pt;height:35.5pt;z-index:-188744007;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1408A"/>
                        <w:spacing w:val="0"/>
                        <w:w w:val="100"/>
                        <w:position w:val="0"/>
                        <w:sz w:val="42"/>
                        <w:szCs w:val="42"/>
                      </w:rPr>
                      <w:t>Nation</w:t>
                    </w:r>
                    <w:r>
                      <w:rPr>
                        <w:rFonts w:ascii="SimSun" w:eastAsia="SimSun" w:hAnsi="SimSun" w:cs="SimSun"/>
                        <w:b/>
                        <w:bCs/>
                        <w:i/>
                        <w:iCs/>
                        <w:color w:val="01408A"/>
                        <w:spacing w:val="0"/>
                        <w:w w:val="100"/>
                        <w:position w:val="0"/>
                        <w:sz w:val="50"/>
                        <w:szCs w:val="50"/>
                      </w:rPr>
                      <w:t>。</w:t>
                    </w:r>
                  </w:p>
                  <w:p>
                    <w:pPr>
                      <w:pStyle w:val="Style6"/>
                      <w:keepNext w:val="0"/>
                      <w:keepLines w:val="0"/>
                      <w:widowControl w:val="0"/>
                      <w:shd w:val="clear" w:color="auto" w:fill="auto"/>
                      <w:tabs>
                        <w:tab w:pos="8875"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802005</wp:posOffset>
              </wp:positionH>
              <wp:positionV relativeFrom="page">
                <wp:posOffset>727075</wp:posOffset>
              </wp:positionV>
              <wp:extent cx="6071870" cy="0"/>
              <wp:wrapNone/>
              <wp:docPr id="80" name="Shape 80"/>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63.149999999999999pt;margin-top:57.25pt;width:478.10000000000002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817245</wp:posOffset>
              </wp:positionH>
              <wp:positionV relativeFrom="page">
                <wp:posOffset>236855</wp:posOffset>
              </wp:positionV>
              <wp:extent cx="6031865" cy="450850"/>
              <wp:wrapNone/>
              <wp:docPr id="83" name="Shape 83"/>
              <a:graphic xmlns:a="http://schemas.openxmlformats.org/drawingml/2006/main">
                <a:graphicData uri="http://schemas.microsoft.com/office/word/2010/wordprocessingShape">
                  <wps:wsp>
                    <wps:cNvSpPr txBox="1"/>
                    <wps:spPr>
                      <a:xfrm>
                        <a:ext cx="6031865" cy="4508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1408A"/>
                              <w:spacing w:val="0"/>
                              <w:w w:val="100"/>
                              <w:position w:val="0"/>
                              <w:sz w:val="42"/>
                              <w:szCs w:val="42"/>
                            </w:rPr>
                            <w:t>Nation</w:t>
                          </w:r>
                          <w:r>
                            <w:rPr>
                              <w:rFonts w:ascii="SimSun" w:eastAsia="SimSun" w:hAnsi="SimSun" w:cs="SimSun"/>
                              <w:b/>
                              <w:bCs/>
                              <w:i/>
                              <w:iCs/>
                              <w:color w:val="01408A"/>
                              <w:spacing w:val="0"/>
                              <w:w w:val="100"/>
                              <w:position w:val="0"/>
                              <w:sz w:val="50"/>
                              <w:szCs w:val="50"/>
                            </w:rPr>
                            <w:t>。</w:t>
                          </w:r>
                        </w:p>
                        <w:p>
                          <w:pPr>
                            <w:pStyle w:val="Style6"/>
                            <w:keepNext w:val="0"/>
                            <w:keepLines w:val="0"/>
                            <w:widowControl w:val="0"/>
                            <w:shd w:val="clear" w:color="auto" w:fill="auto"/>
                            <w:tabs>
                              <w:tab w:pos="8875"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109" type="#_x0000_t202" style="position:absolute;margin-left:64.349999999999994pt;margin-top:18.650000000000002pt;width:474.94999999999999pt;height:35.5pt;z-index:-18874400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1408A"/>
                        <w:spacing w:val="0"/>
                        <w:w w:val="100"/>
                        <w:position w:val="0"/>
                        <w:sz w:val="42"/>
                        <w:szCs w:val="42"/>
                      </w:rPr>
                      <w:t>Nation</w:t>
                    </w:r>
                    <w:r>
                      <w:rPr>
                        <w:rFonts w:ascii="SimSun" w:eastAsia="SimSun" w:hAnsi="SimSun" w:cs="SimSun"/>
                        <w:b/>
                        <w:bCs/>
                        <w:i/>
                        <w:iCs/>
                        <w:color w:val="01408A"/>
                        <w:spacing w:val="0"/>
                        <w:w w:val="100"/>
                        <w:position w:val="0"/>
                        <w:sz w:val="50"/>
                        <w:szCs w:val="50"/>
                      </w:rPr>
                      <w:t>。</w:t>
                    </w:r>
                  </w:p>
                  <w:p>
                    <w:pPr>
                      <w:pStyle w:val="Style6"/>
                      <w:keepNext w:val="0"/>
                      <w:keepLines w:val="0"/>
                      <w:widowControl w:val="0"/>
                      <w:shd w:val="clear" w:color="auto" w:fill="auto"/>
                      <w:tabs>
                        <w:tab w:pos="8875"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802005</wp:posOffset>
              </wp:positionH>
              <wp:positionV relativeFrom="page">
                <wp:posOffset>727075</wp:posOffset>
              </wp:positionV>
              <wp:extent cx="6071870" cy="0"/>
              <wp:wrapNone/>
              <wp:docPr id="85" name="Shape 85"/>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63.149999999999999pt;margin-top:57.25pt;width:478.10000000000002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698500</wp:posOffset>
              </wp:positionH>
              <wp:positionV relativeFrom="page">
                <wp:posOffset>244475</wp:posOffset>
              </wp:positionV>
              <wp:extent cx="6135370" cy="441960"/>
              <wp:wrapNone/>
              <wp:docPr id="88" name="Shape 88"/>
              <a:graphic xmlns:a="http://schemas.openxmlformats.org/drawingml/2006/main">
                <a:graphicData uri="http://schemas.microsoft.com/office/word/2010/wordprocessingShape">
                  <wps:wsp>
                    <wps:cNvSpPr txBox="1"/>
                    <wps:spPr>
                      <a:xfrm>
                        <a:ext cx="6135370" cy="44196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rFonts w:ascii="SimSun" w:eastAsia="SimSun" w:hAnsi="SimSun" w:cs="SimSun"/>
                              <w:color w:val="01408A"/>
                              <w:spacing w:val="0"/>
                              <w:w w:val="100"/>
                              <w:position w:val="0"/>
                              <w:sz w:val="240"/>
                              <w:szCs w:val="240"/>
                            </w:rPr>
                            <w:t>。</w:t>
                          </w:r>
                        </w:p>
                        <w:p>
                          <w:pPr>
                            <w:pStyle w:val="Style6"/>
                            <w:keepNext w:val="0"/>
                            <w:keepLines w:val="0"/>
                            <w:widowControl w:val="0"/>
                            <w:shd w:val="clear" w:color="auto" w:fill="auto"/>
                            <w:tabs>
                              <w:tab w:pos="9014"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114" type="#_x0000_t202" style="position:absolute;margin-left:55.pt;margin-top:19.25pt;width:483.10000000000002pt;height:34.800000000000004pt;z-index:-18874399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rFonts w:ascii="SimSun" w:eastAsia="SimSun" w:hAnsi="SimSun" w:cs="SimSun"/>
                        <w:color w:val="01408A"/>
                        <w:spacing w:val="0"/>
                        <w:w w:val="100"/>
                        <w:position w:val="0"/>
                        <w:sz w:val="240"/>
                        <w:szCs w:val="240"/>
                      </w:rPr>
                      <w:t>。</w:t>
                    </w:r>
                  </w:p>
                  <w:p>
                    <w:pPr>
                      <w:pStyle w:val="Style6"/>
                      <w:keepNext w:val="0"/>
                      <w:keepLines w:val="0"/>
                      <w:widowControl w:val="0"/>
                      <w:shd w:val="clear" w:color="auto" w:fill="auto"/>
                      <w:tabs>
                        <w:tab w:pos="9014"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731520</wp:posOffset>
              </wp:positionV>
              <wp:extent cx="6163310" cy="0"/>
              <wp:wrapNone/>
              <wp:docPr id="90" name="Shape 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7.600000000000001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698500</wp:posOffset>
              </wp:positionH>
              <wp:positionV relativeFrom="page">
                <wp:posOffset>244475</wp:posOffset>
              </wp:positionV>
              <wp:extent cx="6135370" cy="441960"/>
              <wp:wrapNone/>
              <wp:docPr id="91" name="Shape 91"/>
              <a:graphic xmlns:a="http://schemas.openxmlformats.org/drawingml/2006/main">
                <a:graphicData uri="http://schemas.microsoft.com/office/word/2010/wordprocessingShape">
                  <wps:wsp>
                    <wps:cNvSpPr txBox="1"/>
                    <wps:spPr>
                      <a:xfrm>
                        <a:ext cx="6135370" cy="44196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rFonts w:ascii="SimSun" w:eastAsia="SimSun" w:hAnsi="SimSun" w:cs="SimSun"/>
                              <w:color w:val="01408A"/>
                              <w:spacing w:val="0"/>
                              <w:w w:val="100"/>
                              <w:position w:val="0"/>
                              <w:sz w:val="240"/>
                              <w:szCs w:val="240"/>
                            </w:rPr>
                            <w:t>。</w:t>
                          </w:r>
                        </w:p>
                        <w:p>
                          <w:pPr>
                            <w:pStyle w:val="Style6"/>
                            <w:keepNext w:val="0"/>
                            <w:keepLines w:val="0"/>
                            <w:widowControl w:val="0"/>
                            <w:shd w:val="clear" w:color="auto" w:fill="auto"/>
                            <w:tabs>
                              <w:tab w:pos="9014"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117" type="#_x0000_t202" style="position:absolute;margin-left:55.pt;margin-top:19.25pt;width:483.10000000000002pt;height:34.800000000000004pt;z-index:-188743997;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rFonts w:ascii="SimSun" w:eastAsia="SimSun" w:hAnsi="SimSun" w:cs="SimSun"/>
                        <w:color w:val="01408A"/>
                        <w:spacing w:val="0"/>
                        <w:w w:val="100"/>
                        <w:position w:val="0"/>
                        <w:sz w:val="240"/>
                        <w:szCs w:val="240"/>
                      </w:rPr>
                      <w:t>。</w:t>
                    </w:r>
                  </w:p>
                  <w:p>
                    <w:pPr>
                      <w:pStyle w:val="Style6"/>
                      <w:keepNext w:val="0"/>
                      <w:keepLines w:val="0"/>
                      <w:widowControl w:val="0"/>
                      <w:shd w:val="clear" w:color="auto" w:fill="auto"/>
                      <w:tabs>
                        <w:tab w:pos="9014"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731520</wp:posOffset>
              </wp:positionV>
              <wp:extent cx="6163310" cy="0"/>
              <wp:wrapNone/>
              <wp:docPr id="93" name="Shape 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7.600000000000001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817245</wp:posOffset>
              </wp:positionH>
              <wp:positionV relativeFrom="page">
                <wp:posOffset>236855</wp:posOffset>
              </wp:positionV>
              <wp:extent cx="6031865" cy="450850"/>
              <wp:wrapNone/>
              <wp:docPr id="94" name="Shape 94"/>
              <a:graphic xmlns:a="http://schemas.openxmlformats.org/drawingml/2006/main">
                <a:graphicData uri="http://schemas.microsoft.com/office/word/2010/wordprocessingShape">
                  <wps:wsp>
                    <wps:cNvSpPr txBox="1"/>
                    <wps:spPr>
                      <a:xfrm>
                        <a:ext cx="6031865" cy="4508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1408A"/>
                              <w:spacing w:val="0"/>
                              <w:w w:val="100"/>
                              <w:position w:val="0"/>
                              <w:sz w:val="42"/>
                              <w:szCs w:val="42"/>
                            </w:rPr>
                            <w:t>Nation</w:t>
                          </w:r>
                          <w:r>
                            <w:rPr>
                              <w:rFonts w:ascii="SimSun" w:eastAsia="SimSun" w:hAnsi="SimSun" w:cs="SimSun"/>
                              <w:b/>
                              <w:bCs/>
                              <w:i/>
                              <w:iCs/>
                              <w:color w:val="01408A"/>
                              <w:spacing w:val="0"/>
                              <w:w w:val="100"/>
                              <w:position w:val="0"/>
                              <w:sz w:val="50"/>
                              <w:szCs w:val="50"/>
                            </w:rPr>
                            <w:t>。</w:t>
                          </w:r>
                        </w:p>
                        <w:p>
                          <w:pPr>
                            <w:pStyle w:val="Style6"/>
                            <w:keepNext w:val="0"/>
                            <w:keepLines w:val="0"/>
                            <w:widowControl w:val="0"/>
                            <w:shd w:val="clear" w:color="auto" w:fill="auto"/>
                            <w:tabs>
                              <w:tab w:pos="8875"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120" type="#_x0000_t202" style="position:absolute;margin-left:64.349999999999994pt;margin-top:18.650000000000002pt;width:474.94999999999999pt;height:35.5pt;z-index:-188743995;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1408A"/>
                        <w:spacing w:val="0"/>
                        <w:w w:val="100"/>
                        <w:position w:val="0"/>
                        <w:sz w:val="42"/>
                        <w:szCs w:val="42"/>
                      </w:rPr>
                      <w:t>Nation</w:t>
                    </w:r>
                    <w:r>
                      <w:rPr>
                        <w:rFonts w:ascii="SimSun" w:eastAsia="SimSun" w:hAnsi="SimSun" w:cs="SimSun"/>
                        <w:b/>
                        <w:bCs/>
                        <w:i/>
                        <w:iCs/>
                        <w:color w:val="01408A"/>
                        <w:spacing w:val="0"/>
                        <w:w w:val="100"/>
                        <w:position w:val="0"/>
                        <w:sz w:val="50"/>
                        <w:szCs w:val="50"/>
                      </w:rPr>
                      <w:t>。</w:t>
                    </w:r>
                  </w:p>
                  <w:p>
                    <w:pPr>
                      <w:pStyle w:val="Style6"/>
                      <w:keepNext w:val="0"/>
                      <w:keepLines w:val="0"/>
                      <w:widowControl w:val="0"/>
                      <w:shd w:val="clear" w:color="auto" w:fill="auto"/>
                      <w:tabs>
                        <w:tab w:pos="8875"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802005</wp:posOffset>
              </wp:positionH>
              <wp:positionV relativeFrom="page">
                <wp:posOffset>727075</wp:posOffset>
              </wp:positionV>
              <wp:extent cx="6071870" cy="0"/>
              <wp:wrapNone/>
              <wp:docPr id="96" name="Shape 96"/>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63.149999999999999pt;margin-top:57.25pt;width:478.10000000000002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817245</wp:posOffset>
              </wp:positionH>
              <wp:positionV relativeFrom="page">
                <wp:posOffset>236855</wp:posOffset>
              </wp:positionV>
              <wp:extent cx="6031865" cy="450850"/>
              <wp:wrapNone/>
              <wp:docPr id="99" name="Shape 99"/>
              <a:graphic xmlns:a="http://schemas.openxmlformats.org/drawingml/2006/main">
                <a:graphicData uri="http://schemas.microsoft.com/office/word/2010/wordprocessingShape">
                  <wps:wsp>
                    <wps:cNvSpPr txBox="1"/>
                    <wps:spPr>
                      <a:xfrm>
                        <a:ext cx="6031865" cy="4508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1408A"/>
                              <w:spacing w:val="0"/>
                              <w:w w:val="100"/>
                              <w:position w:val="0"/>
                              <w:sz w:val="42"/>
                              <w:szCs w:val="42"/>
                            </w:rPr>
                            <w:t>Nation</w:t>
                          </w:r>
                          <w:r>
                            <w:rPr>
                              <w:rFonts w:ascii="SimSun" w:eastAsia="SimSun" w:hAnsi="SimSun" w:cs="SimSun"/>
                              <w:b/>
                              <w:bCs/>
                              <w:i/>
                              <w:iCs/>
                              <w:color w:val="01408A"/>
                              <w:spacing w:val="0"/>
                              <w:w w:val="100"/>
                              <w:position w:val="0"/>
                              <w:sz w:val="50"/>
                              <w:szCs w:val="50"/>
                            </w:rPr>
                            <w:t>。</w:t>
                          </w:r>
                        </w:p>
                        <w:p>
                          <w:pPr>
                            <w:pStyle w:val="Style6"/>
                            <w:keepNext w:val="0"/>
                            <w:keepLines w:val="0"/>
                            <w:widowControl w:val="0"/>
                            <w:shd w:val="clear" w:color="auto" w:fill="auto"/>
                            <w:tabs>
                              <w:tab w:pos="8875"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125" type="#_x0000_t202" style="position:absolute;margin-left:64.349999999999994pt;margin-top:18.650000000000002pt;width:474.94999999999999pt;height:35.5pt;z-index:-188743991;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1408A"/>
                        <w:spacing w:val="0"/>
                        <w:w w:val="100"/>
                        <w:position w:val="0"/>
                        <w:sz w:val="42"/>
                        <w:szCs w:val="42"/>
                      </w:rPr>
                      <w:t>Nation</w:t>
                    </w:r>
                    <w:r>
                      <w:rPr>
                        <w:rFonts w:ascii="SimSun" w:eastAsia="SimSun" w:hAnsi="SimSun" w:cs="SimSun"/>
                        <w:b/>
                        <w:bCs/>
                        <w:i/>
                        <w:iCs/>
                        <w:color w:val="01408A"/>
                        <w:spacing w:val="0"/>
                        <w:w w:val="100"/>
                        <w:position w:val="0"/>
                        <w:sz w:val="50"/>
                        <w:szCs w:val="50"/>
                      </w:rPr>
                      <w:t>。</w:t>
                    </w:r>
                  </w:p>
                  <w:p>
                    <w:pPr>
                      <w:pStyle w:val="Style6"/>
                      <w:keepNext w:val="0"/>
                      <w:keepLines w:val="0"/>
                      <w:widowControl w:val="0"/>
                      <w:shd w:val="clear" w:color="auto" w:fill="auto"/>
                      <w:tabs>
                        <w:tab w:pos="8875"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802005</wp:posOffset>
              </wp:positionH>
              <wp:positionV relativeFrom="page">
                <wp:posOffset>727075</wp:posOffset>
              </wp:positionV>
              <wp:extent cx="6071870" cy="0"/>
              <wp:wrapNone/>
              <wp:docPr id="101" name="Shape 101"/>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63.149999999999999pt;margin-top:57.25pt;width:478.10000000000002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4623435</wp:posOffset>
              </wp:positionH>
              <wp:positionV relativeFrom="page">
                <wp:posOffset>588645</wp:posOffset>
              </wp:positionV>
              <wp:extent cx="2209800" cy="106680"/>
              <wp:wrapNone/>
              <wp:docPr id="110" name="Shape 110"/>
              <a:graphic xmlns:a="http://schemas.openxmlformats.org/drawingml/2006/main">
                <a:graphicData uri="http://schemas.microsoft.com/office/word/2010/wordprocessingShape">
                  <wps:wsp>
                    <wps:cNvSpPr txBox="1"/>
                    <wps:spPr>
                      <a:xfrm>
                        <a:ext cx="220980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6" type="#_x0000_t202" style="position:absolute;margin-left:364.05000000000001pt;margin-top:46.350000000000001pt;width:174.pt;height:8.4000000000000004pt;z-index:-188743987;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786130</wp:posOffset>
              </wp:positionH>
              <wp:positionV relativeFrom="page">
                <wp:posOffset>731520</wp:posOffset>
              </wp:positionV>
              <wp:extent cx="6071870" cy="0"/>
              <wp:wrapNone/>
              <wp:docPr id="112" name="Shape 112"/>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61.899999999999999pt;margin-top:57.600000000000001pt;width:478.10000000000002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4623435</wp:posOffset>
              </wp:positionH>
              <wp:positionV relativeFrom="page">
                <wp:posOffset>588645</wp:posOffset>
              </wp:positionV>
              <wp:extent cx="2209800" cy="106680"/>
              <wp:wrapNone/>
              <wp:docPr id="115" name="Shape 115"/>
              <a:graphic xmlns:a="http://schemas.openxmlformats.org/drawingml/2006/main">
                <a:graphicData uri="http://schemas.microsoft.com/office/word/2010/wordprocessingShape">
                  <wps:wsp>
                    <wps:cNvSpPr txBox="1"/>
                    <wps:spPr>
                      <a:xfrm>
                        <a:ext cx="220980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1" type="#_x0000_t202" style="position:absolute;margin-left:364.05000000000001pt;margin-top:46.350000000000001pt;width:174.pt;height:8.4000000000000004pt;z-index:-188743983;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786130</wp:posOffset>
              </wp:positionH>
              <wp:positionV relativeFrom="page">
                <wp:posOffset>731520</wp:posOffset>
              </wp:positionV>
              <wp:extent cx="6071870" cy="0"/>
              <wp:wrapNone/>
              <wp:docPr id="117" name="Shape 117"/>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61.899999999999999pt;margin-top:57.600000000000001pt;width:478.10000000000002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817245</wp:posOffset>
              </wp:positionH>
              <wp:positionV relativeFrom="page">
                <wp:posOffset>236855</wp:posOffset>
              </wp:positionV>
              <wp:extent cx="6031865" cy="450850"/>
              <wp:wrapNone/>
              <wp:docPr id="120" name="Shape 120"/>
              <a:graphic xmlns:a="http://schemas.openxmlformats.org/drawingml/2006/main">
                <a:graphicData uri="http://schemas.microsoft.com/office/word/2010/wordprocessingShape">
                  <wps:wsp>
                    <wps:cNvSpPr txBox="1"/>
                    <wps:spPr>
                      <a:xfrm>
                        <a:ext cx="6031865" cy="4508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1408A"/>
                              <w:spacing w:val="0"/>
                              <w:w w:val="100"/>
                              <w:position w:val="0"/>
                              <w:sz w:val="42"/>
                              <w:szCs w:val="42"/>
                            </w:rPr>
                            <w:t>Nation</w:t>
                          </w:r>
                          <w:r>
                            <w:rPr>
                              <w:rFonts w:ascii="SimSun" w:eastAsia="SimSun" w:hAnsi="SimSun" w:cs="SimSun"/>
                              <w:b/>
                              <w:bCs/>
                              <w:i/>
                              <w:iCs/>
                              <w:color w:val="01408A"/>
                              <w:spacing w:val="0"/>
                              <w:w w:val="100"/>
                              <w:position w:val="0"/>
                              <w:sz w:val="50"/>
                              <w:szCs w:val="50"/>
                            </w:rPr>
                            <w:t>。</w:t>
                          </w:r>
                        </w:p>
                        <w:p>
                          <w:pPr>
                            <w:pStyle w:val="Style6"/>
                            <w:keepNext w:val="0"/>
                            <w:keepLines w:val="0"/>
                            <w:widowControl w:val="0"/>
                            <w:shd w:val="clear" w:color="auto" w:fill="auto"/>
                            <w:tabs>
                              <w:tab w:pos="8875"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146" type="#_x0000_t202" style="position:absolute;margin-left:64.349999999999994pt;margin-top:18.650000000000002pt;width:474.94999999999999pt;height:35.5pt;z-index:-18874397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1408A"/>
                        <w:spacing w:val="0"/>
                        <w:w w:val="100"/>
                        <w:position w:val="0"/>
                        <w:sz w:val="42"/>
                        <w:szCs w:val="42"/>
                      </w:rPr>
                      <w:t>Nation</w:t>
                    </w:r>
                    <w:r>
                      <w:rPr>
                        <w:rFonts w:ascii="SimSun" w:eastAsia="SimSun" w:hAnsi="SimSun" w:cs="SimSun"/>
                        <w:b/>
                        <w:bCs/>
                        <w:i/>
                        <w:iCs/>
                        <w:color w:val="01408A"/>
                        <w:spacing w:val="0"/>
                        <w:w w:val="100"/>
                        <w:position w:val="0"/>
                        <w:sz w:val="50"/>
                        <w:szCs w:val="50"/>
                      </w:rPr>
                      <w:t>。</w:t>
                    </w:r>
                  </w:p>
                  <w:p>
                    <w:pPr>
                      <w:pStyle w:val="Style6"/>
                      <w:keepNext w:val="0"/>
                      <w:keepLines w:val="0"/>
                      <w:widowControl w:val="0"/>
                      <w:shd w:val="clear" w:color="auto" w:fill="auto"/>
                      <w:tabs>
                        <w:tab w:pos="8875"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802005</wp:posOffset>
              </wp:positionH>
              <wp:positionV relativeFrom="page">
                <wp:posOffset>727075</wp:posOffset>
              </wp:positionV>
              <wp:extent cx="6071870" cy="0"/>
              <wp:wrapNone/>
              <wp:docPr id="122" name="Shape 122"/>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63.149999999999999pt;margin-top:57.25pt;width:478.10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698500</wp:posOffset>
              </wp:positionH>
              <wp:positionV relativeFrom="page">
                <wp:posOffset>244475</wp:posOffset>
              </wp:positionV>
              <wp:extent cx="6135370" cy="441960"/>
              <wp:wrapNone/>
              <wp:docPr id="7" name="Shape 7"/>
              <a:graphic xmlns:a="http://schemas.openxmlformats.org/drawingml/2006/main">
                <a:graphicData uri="http://schemas.microsoft.com/office/word/2010/wordprocessingShape">
                  <wps:wsp>
                    <wps:cNvSpPr txBox="1"/>
                    <wps:spPr>
                      <a:xfrm>
                        <a:ext cx="6135370" cy="44196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rFonts w:ascii="SimSun" w:eastAsia="SimSun" w:hAnsi="SimSun" w:cs="SimSun"/>
                              <w:color w:val="01408A"/>
                              <w:spacing w:val="0"/>
                              <w:w w:val="100"/>
                              <w:position w:val="0"/>
                              <w:sz w:val="240"/>
                              <w:szCs w:val="240"/>
                            </w:rPr>
                            <w:t>。</w:t>
                          </w:r>
                        </w:p>
                        <w:p>
                          <w:pPr>
                            <w:pStyle w:val="Style6"/>
                            <w:keepNext w:val="0"/>
                            <w:keepLines w:val="0"/>
                            <w:widowControl w:val="0"/>
                            <w:shd w:val="clear" w:color="auto" w:fill="auto"/>
                            <w:tabs>
                              <w:tab w:pos="9014"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033" type="#_x0000_t202" style="position:absolute;margin-left:55.pt;margin-top:19.25pt;width:483.10000000000002pt;height:34.800000000000004pt;z-index:-18874405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rFonts w:ascii="SimSun" w:eastAsia="SimSun" w:hAnsi="SimSun" w:cs="SimSun"/>
                        <w:color w:val="01408A"/>
                        <w:spacing w:val="0"/>
                        <w:w w:val="100"/>
                        <w:position w:val="0"/>
                        <w:sz w:val="240"/>
                        <w:szCs w:val="240"/>
                      </w:rPr>
                      <w:t>。</w:t>
                    </w:r>
                  </w:p>
                  <w:p>
                    <w:pPr>
                      <w:pStyle w:val="Style6"/>
                      <w:keepNext w:val="0"/>
                      <w:keepLines w:val="0"/>
                      <w:widowControl w:val="0"/>
                      <w:shd w:val="clear" w:color="auto" w:fill="auto"/>
                      <w:tabs>
                        <w:tab w:pos="9014"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731520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7.600000000000001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817245</wp:posOffset>
              </wp:positionH>
              <wp:positionV relativeFrom="page">
                <wp:posOffset>236855</wp:posOffset>
              </wp:positionV>
              <wp:extent cx="6031865" cy="450850"/>
              <wp:wrapNone/>
              <wp:docPr id="125" name="Shape 125"/>
              <a:graphic xmlns:a="http://schemas.openxmlformats.org/drawingml/2006/main">
                <a:graphicData uri="http://schemas.microsoft.com/office/word/2010/wordprocessingShape">
                  <wps:wsp>
                    <wps:cNvSpPr txBox="1"/>
                    <wps:spPr>
                      <a:xfrm>
                        <a:ext cx="6031865" cy="4508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1408A"/>
                              <w:spacing w:val="0"/>
                              <w:w w:val="100"/>
                              <w:position w:val="0"/>
                              <w:sz w:val="42"/>
                              <w:szCs w:val="42"/>
                            </w:rPr>
                            <w:t>Nation</w:t>
                          </w:r>
                          <w:r>
                            <w:rPr>
                              <w:rFonts w:ascii="SimSun" w:eastAsia="SimSun" w:hAnsi="SimSun" w:cs="SimSun"/>
                              <w:b/>
                              <w:bCs/>
                              <w:i/>
                              <w:iCs/>
                              <w:color w:val="01408A"/>
                              <w:spacing w:val="0"/>
                              <w:w w:val="100"/>
                              <w:position w:val="0"/>
                              <w:sz w:val="50"/>
                              <w:szCs w:val="50"/>
                            </w:rPr>
                            <w:t>。</w:t>
                          </w:r>
                        </w:p>
                        <w:p>
                          <w:pPr>
                            <w:pStyle w:val="Style6"/>
                            <w:keepNext w:val="0"/>
                            <w:keepLines w:val="0"/>
                            <w:widowControl w:val="0"/>
                            <w:shd w:val="clear" w:color="auto" w:fill="auto"/>
                            <w:tabs>
                              <w:tab w:pos="8875"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151" type="#_x0000_t202" style="position:absolute;margin-left:64.349999999999994pt;margin-top:18.650000000000002pt;width:474.94999999999999pt;height:35.5pt;z-index:-188743975;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1408A"/>
                        <w:spacing w:val="0"/>
                        <w:w w:val="100"/>
                        <w:position w:val="0"/>
                        <w:sz w:val="42"/>
                        <w:szCs w:val="42"/>
                      </w:rPr>
                      <w:t>Nation</w:t>
                    </w:r>
                    <w:r>
                      <w:rPr>
                        <w:rFonts w:ascii="SimSun" w:eastAsia="SimSun" w:hAnsi="SimSun" w:cs="SimSun"/>
                        <w:b/>
                        <w:bCs/>
                        <w:i/>
                        <w:iCs/>
                        <w:color w:val="01408A"/>
                        <w:spacing w:val="0"/>
                        <w:w w:val="100"/>
                        <w:position w:val="0"/>
                        <w:sz w:val="50"/>
                        <w:szCs w:val="50"/>
                      </w:rPr>
                      <w:t>。</w:t>
                    </w:r>
                  </w:p>
                  <w:p>
                    <w:pPr>
                      <w:pStyle w:val="Style6"/>
                      <w:keepNext w:val="0"/>
                      <w:keepLines w:val="0"/>
                      <w:widowControl w:val="0"/>
                      <w:shd w:val="clear" w:color="auto" w:fill="auto"/>
                      <w:tabs>
                        <w:tab w:pos="8875"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802005</wp:posOffset>
              </wp:positionH>
              <wp:positionV relativeFrom="page">
                <wp:posOffset>727075</wp:posOffset>
              </wp:positionV>
              <wp:extent cx="6071870" cy="0"/>
              <wp:wrapNone/>
              <wp:docPr id="127" name="Shape 127"/>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63.149999999999999pt;margin-top:57.25pt;width:478.10000000000002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817245</wp:posOffset>
              </wp:positionH>
              <wp:positionV relativeFrom="page">
                <wp:posOffset>236855</wp:posOffset>
              </wp:positionV>
              <wp:extent cx="6031865" cy="450850"/>
              <wp:wrapNone/>
              <wp:docPr id="130" name="Shape 130"/>
              <a:graphic xmlns:a="http://schemas.openxmlformats.org/drawingml/2006/main">
                <a:graphicData uri="http://schemas.microsoft.com/office/word/2010/wordprocessingShape">
                  <wps:wsp>
                    <wps:cNvSpPr txBox="1"/>
                    <wps:spPr>
                      <a:xfrm>
                        <a:ext cx="6031865" cy="4508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1408A"/>
                              <w:spacing w:val="0"/>
                              <w:w w:val="100"/>
                              <w:position w:val="0"/>
                              <w:sz w:val="42"/>
                              <w:szCs w:val="42"/>
                            </w:rPr>
                            <w:t>Nation</w:t>
                          </w:r>
                          <w:r>
                            <w:rPr>
                              <w:rFonts w:ascii="SimSun" w:eastAsia="SimSun" w:hAnsi="SimSun" w:cs="SimSun"/>
                              <w:b/>
                              <w:bCs/>
                              <w:i/>
                              <w:iCs/>
                              <w:color w:val="01408A"/>
                              <w:spacing w:val="0"/>
                              <w:w w:val="100"/>
                              <w:position w:val="0"/>
                              <w:sz w:val="50"/>
                              <w:szCs w:val="50"/>
                            </w:rPr>
                            <w:t>。</w:t>
                          </w:r>
                        </w:p>
                        <w:p>
                          <w:pPr>
                            <w:pStyle w:val="Style6"/>
                            <w:keepNext w:val="0"/>
                            <w:keepLines w:val="0"/>
                            <w:widowControl w:val="0"/>
                            <w:shd w:val="clear" w:color="auto" w:fill="auto"/>
                            <w:tabs>
                              <w:tab w:pos="8875"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156" type="#_x0000_t202" style="position:absolute;margin-left:64.349999999999994pt;margin-top:18.650000000000002pt;width:474.94999999999999pt;height:35.5pt;z-index:-188743971;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1408A"/>
                        <w:spacing w:val="0"/>
                        <w:w w:val="100"/>
                        <w:position w:val="0"/>
                        <w:sz w:val="42"/>
                        <w:szCs w:val="42"/>
                      </w:rPr>
                      <w:t>Nation</w:t>
                    </w:r>
                    <w:r>
                      <w:rPr>
                        <w:rFonts w:ascii="SimSun" w:eastAsia="SimSun" w:hAnsi="SimSun" w:cs="SimSun"/>
                        <w:b/>
                        <w:bCs/>
                        <w:i/>
                        <w:iCs/>
                        <w:color w:val="01408A"/>
                        <w:spacing w:val="0"/>
                        <w:w w:val="100"/>
                        <w:position w:val="0"/>
                        <w:sz w:val="50"/>
                        <w:szCs w:val="50"/>
                      </w:rPr>
                      <w:t>。</w:t>
                    </w:r>
                  </w:p>
                  <w:p>
                    <w:pPr>
                      <w:pStyle w:val="Style6"/>
                      <w:keepNext w:val="0"/>
                      <w:keepLines w:val="0"/>
                      <w:widowControl w:val="0"/>
                      <w:shd w:val="clear" w:color="auto" w:fill="auto"/>
                      <w:tabs>
                        <w:tab w:pos="8875"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802005</wp:posOffset>
              </wp:positionH>
              <wp:positionV relativeFrom="page">
                <wp:posOffset>727075</wp:posOffset>
              </wp:positionV>
              <wp:extent cx="6071870" cy="0"/>
              <wp:wrapNone/>
              <wp:docPr id="132" name="Shape 132"/>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63.149999999999999pt;margin-top:57.25pt;width:478.10000000000002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730885</wp:posOffset>
              </wp:positionH>
              <wp:positionV relativeFrom="page">
                <wp:posOffset>244475</wp:posOffset>
              </wp:positionV>
              <wp:extent cx="1228090" cy="405130"/>
              <wp:wrapNone/>
              <wp:docPr id="135" name="Shape 135"/>
              <a:graphic xmlns:a="http://schemas.openxmlformats.org/drawingml/2006/main">
                <a:graphicData uri="http://schemas.microsoft.com/office/word/2010/wordprocessingShape">
                  <wps:wsp>
                    <wps:cNvSpPr txBox="1"/>
                    <wps:spPr>
                      <a:xfrm>
                        <a:ext cx="1228090" cy="4051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xbxContent>
                    </wps:txbx>
                    <wps:bodyPr wrap="none" lIns="0" tIns="0" rIns="0" bIns="0">
                      <a:spAutoFit/>
                    </wps:bodyPr>
                  </wps:wsp>
                </a:graphicData>
              </a:graphic>
            </wp:anchor>
          </w:drawing>
        </mc:Choice>
        <mc:Fallback>
          <w:pict>
            <v:shape id="_x0000_s1161" type="#_x0000_t202" style="position:absolute;margin-left:57.550000000000004pt;margin-top:19.25pt;width:96.700000000000003pt;height:31.900000000000002pt;z-index:-188743967;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xbxContent>
              </v:textbox>
              <w10:wrap anchorx="page" anchory="page"/>
            </v:shape>
          </w:pict>
        </mc:Fallback>
      </mc:AlternateContent>
    </w:r>
    <w:r>
      <mc:AlternateContent>
        <mc:Choice Requires="wps">
          <w:drawing>
            <wp:anchor distT="0" distB="0" distL="0" distR="0" simplePos="0" relativeHeight="62914788" behindDoc="1" locked="0" layoutInCell="1" allowOverlap="1">
              <wp:simplePos x="0" y="0"/>
              <wp:positionH relativeFrom="page">
                <wp:posOffset>4644390</wp:posOffset>
              </wp:positionH>
              <wp:positionV relativeFrom="page">
                <wp:posOffset>588645</wp:posOffset>
              </wp:positionV>
              <wp:extent cx="2209800" cy="106680"/>
              <wp:wrapNone/>
              <wp:docPr id="137" name="Shape 137"/>
              <a:graphic xmlns:a="http://schemas.openxmlformats.org/drawingml/2006/main">
                <a:graphicData uri="http://schemas.microsoft.com/office/word/2010/wordprocessingShape">
                  <wps:wsp>
                    <wps:cNvSpPr txBox="1"/>
                    <wps:spPr>
                      <a:xfrm>
                        <a:ext cx="220980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63" type="#_x0000_t202" style="position:absolute;margin-left:365.69999999999999pt;margin-top:46.350000000000001pt;width:174.pt;height:8.4000000000000004pt;z-index:-188743965;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731520</wp:posOffset>
              </wp:positionV>
              <wp:extent cx="6163310" cy="0"/>
              <wp:wrapNone/>
              <wp:docPr id="139" name="Shape 1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50000000000001pt;margin-top:57.600000000000001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817245</wp:posOffset>
              </wp:positionH>
              <wp:positionV relativeFrom="page">
                <wp:posOffset>236855</wp:posOffset>
              </wp:positionV>
              <wp:extent cx="6031865" cy="450850"/>
              <wp:wrapNone/>
              <wp:docPr id="142" name="Shape 142"/>
              <a:graphic xmlns:a="http://schemas.openxmlformats.org/drawingml/2006/main">
                <a:graphicData uri="http://schemas.microsoft.com/office/word/2010/wordprocessingShape">
                  <wps:wsp>
                    <wps:cNvSpPr txBox="1"/>
                    <wps:spPr>
                      <a:xfrm>
                        <a:ext cx="6031865" cy="4508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1408A"/>
                              <w:spacing w:val="0"/>
                              <w:w w:val="100"/>
                              <w:position w:val="0"/>
                              <w:sz w:val="42"/>
                              <w:szCs w:val="42"/>
                            </w:rPr>
                            <w:t>Nation</w:t>
                          </w:r>
                          <w:r>
                            <w:rPr>
                              <w:rFonts w:ascii="SimSun" w:eastAsia="SimSun" w:hAnsi="SimSun" w:cs="SimSun"/>
                              <w:b/>
                              <w:bCs/>
                              <w:i/>
                              <w:iCs/>
                              <w:color w:val="01408A"/>
                              <w:spacing w:val="0"/>
                              <w:w w:val="100"/>
                              <w:position w:val="0"/>
                              <w:sz w:val="50"/>
                              <w:szCs w:val="50"/>
                            </w:rPr>
                            <w:t>。</w:t>
                          </w:r>
                        </w:p>
                        <w:p>
                          <w:pPr>
                            <w:pStyle w:val="Style6"/>
                            <w:keepNext w:val="0"/>
                            <w:keepLines w:val="0"/>
                            <w:widowControl w:val="0"/>
                            <w:shd w:val="clear" w:color="auto" w:fill="auto"/>
                            <w:tabs>
                              <w:tab w:pos="8875"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168" type="#_x0000_t202" style="position:absolute;margin-left:64.349999999999994pt;margin-top:18.650000000000002pt;width:474.94999999999999pt;height:35.5pt;z-index:-188743961;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1408A"/>
                        <w:spacing w:val="0"/>
                        <w:w w:val="100"/>
                        <w:position w:val="0"/>
                        <w:sz w:val="42"/>
                        <w:szCs w:val="42"/>
                      </w:rPr>
                      <w:t>Nation</w:t>
                    </w:r>
                    <w:r>
                      <w:rPr>
                        <w:rFonts w:ascii="SimSun" w:eastAsia="SimSun" w:hAnsi="SimSun" w:cs="SimSun"/>
                        <w:b/>
                        <w:bCs/>
                        <w:i/>
                        <w:iCs/>
                        <w:color w:val="01408A"/>
                        <w:spacing w:val="0"/>
                        <w:w w:val="100"/>
                        <w:position w:val="0"/>
                        <w:sz w:val="50"/>
                        <w:szCs w:val="50"/>
                      </w:rPr>
                      <w:t>。</w:t>
                    </w:r>
                  </w:p>
                  <w:p>
                    <w:pPr>
                      <w:pStyle w:val="Style6"/>
                      <w:keepNext w:val="0"/>
                      <w:keepLines w:val="0"/>
                      <w:widowControl w:val="0"/>
                      <w:shd w:val="clear" w:color="auto" w:fill="auto"/>
                      <w:tabs>
                        <w:tab w:pos="8875"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802005</wp:posOffset>
              </wp:positionH>
              <wp:positionV relativeFrom="page">
                <wp:posOffset>727075</wp:posOffset>
              </wp:positionV>
              <wp:extent cx="6071870" cy="0"/>
              <wp:wrapNone/>
              <wp:docPr id="144" name="Shape 144"/>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63.149999999999999pt;margin-top:57.25pt;width:478.10000000000002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817245</wp:posOffset>
              </wp:positionH>
              <wp:positionV relativeFrom="page">
                <wp:posOffset>236855</wp:posOffset>
              </wp:positionV>
              <wp:extent cx="6031865" cy="450850"/>
              <wp:wrapNone/>
              <wp:docPr id="147" name="Shape 147"/>
              <a:graphic xmlns:a="http://schemas.openxmlformats.org/drawingml/2006/main">
                <a:graphicData uri="http://schemas.microsoft.com/office/word/2010/wordprocessingShape">
                  <wps:wsp>
                    <wps:cNvSpPr txBox="1"/>
                    <wps:spPr>
                      <a:xfrm>
                        <a:ext cx="6031865" cy="4508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1408A"/>
                              <w:spacing w:val="0"/>
                              <w:w w:val="100"/>
                              <w:position w:val="0"/>
                              <w:sz w:val="42"/>
                              <w:szCs w:val="42"/>
                            </w:rPr>
                            <w:t>Nation</w:t>
                          </w:r>
                          <w:r>
                            <w:rPr>
                              <w:rFonts w:ascii="SimSun" w:eastAsia="SimSun" w:hAnsi="SimSun" w:cs="SimSun"/>
                              <w:b/>
                              <w:bCs/>
                              <w:i/>
                              <w:iCs/>
                              <w:color w:val="01408A"/>
                              <w:spacing w:val="0"/>
                              <w:w w:val="100"/>
                              <w:position w:val="0"/>
                              <w:sz w:val="50"/>
                              <w:szCs w:val="50"/>
                            </w:rPr>
                            <w:t>。</w:t>
                          </w:r>
                        </w:p>
                        <w:p>
                          <w:pPr>
                            <w:pStyle w:val="Style6"/>
                            <w:keepNext w:val="0"/>
                            <w:keepLines w:val="0"/>
                            <w:widowControl w:val="0"/>
                            <w:shd w:val="clear" w:color="auto" w:fill="auto"/>
                            <w:tabs>
                              <w:tab w:pos="8875"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173" type="#_x0000_t202" style="position:absolute;margin-left:64.349999999999994pt;margin-top:18.650000000000002pt;width:474.94999999999999pt;height:35.5pt;z-index:-188743957;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1408A"/>
                        <w:spacing w:val="0"/>
                        <w:w w:val="100"/>
                        <w:position w:val="0"/>
                        <w:sz w:val="42"/>
                        <w:szCs w:val="42"/>
                      </w:rPr>
                      <w:t>Nation</w:t>
                    </w:r>
                    <w:r>
                      <w:rPr>
                        <w:rFonts w:ascii="SimSun" w:eastAsia="SimSun" w:hAnsi="SimSun" w:cs="SimSun"/>
                        <w:b/>
                        <w:bCs/>
                        <w:i/>
                        <w:iCs/>
                        <w:color w:val="01408A"/>
                        <w:spacing w:val="0"/>
                        <w:w w:val="100"/>
                        <w:position w:val="0"/>
                        <w:sz w:val="50"/>
                        <w:szCs w:val="50"/>
                      </w:rPr>
                      <w:t>。</w:t>
                    </w:r>
                  </w:p>
                  <w:p>
                    <w:pPr>
                      <w:pStyle w:val="Style6"/>
                      <w:keepNext w:val="0"/>
                      <w:keepLines w:val="0"/>
                      <w:widowControl w:val="0"/>
                      <w:shd w:val="clear" w:color="auto" w:fill="auto"/>
                      <w:tabs>
                        <w:tab w:pos="8875"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802005</wp:posOffset>
              </wp:positionH>
              <wp:positionV relativeFrom="page">
                <wp:posOffset>727075</wp:posOffset>
              </wp:positionV>
              <wp:extent cx="6071870" cy="0"/>
              <wp:wrapNone/>
              <wp:docPr id="149" name="Shape 149"/>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63.149999999999999pt;margin-top:57.25pt;width:478.10000000000002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698500</wp:posOffset>
              </wp:positionH>
              <wp:positionV relativeFrom="page">
                <wp:posOffset>244475</wp:posOffset>
              </wp:positionV>
              <wp:extent cx="6135370" cy="441960"/>
              <wp:wrapNone/>
              <wp:docPr id="152" name="Shape 152"/>
              <a:graphic xmlns:a="http://schemas.openxmlformats.org/drawingml/2006/main">
                <a:graphicData uri="http://schemas.microsoft.com/office/word/2010/wordprocessingShape">
                  <wps:wsp>
                    <wps:cNvSpPr txBox="1"/>
                    <wps:spPr>
                      <a:xfrm>
                        <a:ext cx="6135370" cy="44196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rFonts w:ascii="SimSun" w:eastAsia="SimSun" w:hAnsi="SimSun" w:cs="SimSun"/>
                              <w:color w:val="01408A"/>
                              <w:spacing w:val="0"/>
                              <w:w w:val="100"/>
                              <w:position w:val="0"/>
                              <w:sz w:val="240"/>
                              <w:szCs w:val="240"/>
                            </w:rPr>
                            <w:t>。</w:t>
                          </w:r>
                        </w:p>
                        <w:p>
                          <w:pPr>
                            <w:pStyle w:val="Style6"/>
                            <w:keepNext w:val="0"/>
                            <w:keepLines w:val="0"/>
                            <w:widowControl w:val="0"/>
                            <w:shd w:val="clear" w:color="auto" w:fill="auto"/>
                            <w:tabs>
                              <w:tab w:pos="9014"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178" type="#_x0000_t202" style="position:absolute;margin-left:55.pt;margin-top:19.25pt;width:483.10000000000002pt;height:34.800000000000004pt;z-index:-18874395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rFonts w:ascii="SimSun" w:eastAsia="SimSun" w:hAnsi="SimSun" w:cs="SimSun"/>
                        <w:color w:val="01408A"/>
                        <w:spacing w:val="0"/>
                        <w:w w:val="100"/>
                        <w:position w:val="0"/>
                        <w:sz w:val="240"/>
                        <w:szCs w:val="240"/>
                      </w:rPr>
                      <w:t>。</w:t>
                    </w:r>
                  </w:p>
                  <w:p>
                    <w:pPr>
                      <w:pStyle w:val="Style6"/>
                      <w:keepNext w:val="0"/>
                      <w:keepLines w:val="0"/>
                      <w:widowControl w:val="0"/>
                      <w:shd w:val="clear" w:color="auto" w:fill="auto"/>
                      <w:tabs>
                        <w:tab w:pos="9014"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731520</wp:posOffset>
              </wp:positionV>
              <wp:extent cx="6163310" cy="0"/>
              <wp:wrapNone/>
              <wp:docPr id="154" name="Shape 1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7.600000000000001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698500</wp:posOffset>
              </wp:positionH>
              <wp:positionV relativeFrom="page">
                <wp:posOffset>244475</wp:posOffset>
              </wp:positionV>
              <wp:extent cx="6135370" cy="441960"/>
              <wp:wrapNone/>
              <wp:docPr id="155" name="Shape 155"/>
              <a:graphic xmlns:a="http://schemas.openxmlformats.org/drawingml/2006/main">
                <a:graphicData uri="http://schemas.microsoft.com/office/word/2010/wordprocessingShape">
                  <wps:wsp>
                    <wps:cNvSpPr txBox="1"/>
                    <wps:spPr>
                      <a:xfrm>
                        <a:ext cx="6135370" cy="44196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rFonts w:ascii="SimSun" w:eastAsia="SimSun" w:hAnsi="SimSun" w:cs="SimSun"/>
                              <w:color w:val="01408A"/>
                              <w:spacing w:val="0"/>
                              <w:w w:val="100"/>
                              <w:position w:val="0"/>
                              <w:sz w:val="240"/>
                              <w:szCs w:val="240"/>
                            </w:rPr>
                            <w:t>。</w:t>
                          </w:r>
                        </w:p>
                        <w:p>
                          <w:pPr>
                            <w:pStyle w:val="Style6"/>
                            <w:keepNext w:val="0"/>
                            <w:keepLines w:val="0"/>
                            <w:widowControl w:val="0"/>
                            <w:shd w:val="clear" w:color="auto" w:fill="auto"/>
                            <w:tabs>
                              <w:tab w:pos="9014"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181" type="#_x0000_t202" style="position:absolute;margin-left:55.pt;margin-top:19.25pt;width:483.10000000000002pt;height:34.800000000000004pt;z-index:-188743951;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rFonts w:ascii="SimSun" w:eastAsia="SimSun" w:hAnsi="SimSun" w:cs="SimSun"/>
                        <w:color w:val="01408A"/>
                        <w:spacing w:val="0"/>
                        <w:w w:val="100"/>
                        <w:position w:val="0"/>
                        <w:sz w:val="240"/>
                        <w:szCs w:val="240"/>
                      </w:rPr>
                      <w:t>。</w:t>
                    </w:r>
                  </w:p>
                  <w:p>
                    <w:pPr>
                      <w:pStyle w:val="Style6"/>
                      <w:keepNext w:val="0"/>
                      <w:keepLines w:val="0"/>
                      <w:widowControl w:val="0"/>
                      <w:shd w:val="clear" w:color="auto" w:fill="auto"/>
                      <w:tabs>
                        <w:tab w:pos="9014"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731520</wp:posOffset>
              </wp:positionV>
              <wp:extent cx="6163310" cy="0"/>
              <wp:wrapNone/>
              <wp:docPr id="157" name="Shape 1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7.600000000000001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817245</wp:posOffset>
              </wp:positionH>
              <wp:positionV relativeFrom="page">
                <wp:posOffset>236855</wp:posOffset>
              </wp:positionV>
              <wp:extent cx="6031865" cy="450850"/>
              <wp:wrapNone/>
              <wp:docPr id="158" name="Shape 158"/>
              <a:graphic xmlns:a="http://schemas.openxmlformats.org/drawingml/2006/main">
                <a:graphicData uri="http://schemas.microsoft.com/office/word/2010/wordprocessingShape">
                  <wps:wsp>
                    <wps:cNvSpPr txBox="1"/>
                    <wps:spPr>
                      <a:xfrm>
                        <a:ext cx="6031865" cy="4508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1408A"/>
                              <w:spacing w:val="0"/>
                              <w:w w:val="100"/>
                              <w:position w:val="0"/>
                              <w:sz w:val="42"/>
                              <w:szCs w:val="42"/>
                            </w:rPr>
                            <w:t>Nation</w:t>
                          </w:r>
                          <w:r>
                            <w:rPr>
                              <w:rFonts w:ascii="SimSun" w:eastAsia="SimSun" w:hAnsi="SimSun" w:cs="SimSun"/>
                              <w:b/>
                              <w:bCs/>
                              <w:i/>
                              <w:iCs/>
                              <w:color w:val="01408A"/>
                              <w:spacing w:val="0"/>
                              <w:w w:val="100"/>
                              <w:position w:val="0"/>
                              <w:sz w:val="50"/>
                              <w:szCs w:val="50"/>
                            </w:rPr>
                            <w:t>。</w:t>
                          </w:r>
                        </w:p>
                        <w:p>
                          <w:pPr>
                            <w:pStyle w:val="Style6"/>
                            <w:keepNext w:val="0"/>
                            <w:keepLines w:val="0"/>
                            <w:widowControl w:val="0"/>
                            <w:shd w:val="clear" w:color="auto" w:fill="auto"/>
                            <w:tabs>
                              <w:tab w:pos="8875"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184" type="#_x0000_t202" style="position:absolute;margin-left:64.349999999999994pt;margin-top:18.650000000000002pt;width:474.94999999999999pt;height:35.5pt;z-index:-18874394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1408A"/>
                        <w:spacing w:val="0"/>
                        <w:w w:val="100"/>
                        <w:position w:val="0"/>
                        <w:sz w:val="42"/>
                        <w:szCs w:val="42"/>
                      </w:rPr>
                      <w:t>Nation</w:t>
                    </w:r>
                    <w:r>
                      <w:rPr>
                        <w:rFonts w:ascii="SimSun" w:eastAsia="SimSun" w:hAnsi="SimSun" w:cs="SimSun"/>
                        <w:b/>
                        <w:bCs/>
                        <w:i/>
                        <w:iCs/>
                        <w:color w:val="01408A"/>
                        <w:spacing w:val="0"/>
                        <w:w w:val="100"/>
                        <w:position w:val="0"/>
                        <w:sz w:val="50"/>
                        <w:szCs w:val="50"/>
                      </w:rPr>
                      <w:t>。</w:t>
                    </w:r>
                  </w:p>
                  <w:p>
                    <w:pPr>
                      <w:pStyle w:val="Style6"/>
                      <w:keepNext w:val="0"/>
                      <w:keepLines w:val="0"/>
                      <w:widowControl w:val="0"/>
                      <w:shd w:val="clear" w:color="auto" w:fill="auto"/>
                      <w:tabs>
                        <w:tab w:pos="8875"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802005</wp:posOffset>
              </wp:positionH>
              <wp:positionV relativeFrom="page">
                <wp:posOffset>727075</wp:posOffset>
              </wp:positionV>
              <wp:extent cx="6071870" cy="0"/>
              <wp:wrapNone/>
              <wp:docPr id="160" name="Shape 160"/>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63.149999999999999pt;margin-top:57.25pt;width:478.10000000000002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730885</wp:posOffset>
              </wp:positionH>
              <wp:positionV relativeFrom="page">
                <wp:posOffset>244475</wp:posOffset>
              </wp:positionV>
              <wp:extent cx="1228090" cy="405130"/>
              <wp:wrapNone/>
              <wp:docPr id="163" name="Shape 163"/>
              <a:graphic xmlns:a="http://schemas.openxmlformats.org/drawingml/2006/main">
                <a:graphicData uri="http://schemas.microsoft.com/office/word/2010/wordprocessingShape">
                  <wps:wsp>
                    <wps:cNvSpPr txBox="1"/>
                    <wps:spPr>
                      <a:xfrm>
                        <a:ext cx="1228090" cy="4051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xbxContent>
                    </wps:txbx>
                    <wps:bodyPr wrap="none" lIns="0" tIns="0" rIns="0" bIns="0">
                      <a:spAutoFit/>
                    </wps:bodyPr>
                  </wps:wsp>
                </a:graphicData>
              </a:graphic>
            </wp:anchor>
          </w:drawing>
        </mc:Choice>
        <mc:Fallback>
          <w:pict>
            <v:shape id="_x0000_s1189" type="#_x0000_t202" style="position:absolute;margin-left:57.550000000000004pt;margin-top:19.25pt;width:96.700000000000003pt;height:31.900000000000002pt;z-index:-188743945;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xbxContent>
              </v:textbox>
              <w10:wrap anchorx="page" anchory="page"/>
            </v:shape>
          </w:pict>
        </mc:Fallback>
      </mc:AlternateContent>
    </w:r>
    <w:r>
      <mc:AlternateContent>
        <mc:Choice Requires="wps">
          <w:drawing>
            <wp:anchor distT="0" distB="0" distL="0" distR="0" simplePos="0" relativeHeight="62914810" behindDoc="1" locked="0" layoutInCell="1" allowOverlap="1">
              <wp:simplePos x="0" y="0"/>
              <wp:positionH relativeFrom="page">
                <wp:posOffset>4644390</wp:posOffset>
              </wp:positionH>
              <wp:positionV relativeFrom="page">
                <wp:posOffset>588645</wp:posOffset>
              </wp:positionV>
              <wp:extent cx="2209800" cy="106680"/>
              <wp:wrapNone/>
              <wp:docPr id="165" name="Shape 165"/>
              <a:graphic xmlns:a="http://schemas.openxmlformats.org/drawingml/2006/main">
                <a:graphicData uri="http://schemas.microsoft.com/office/word/2010/wordprocessingShape">
                  <wps:wsp>
                    <wps:cNvSpPr txBox="1"/>
                    <wps:spPr>
                      <a:xfrm>
                        <a:ext cx="220980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91" type="#_x0000_t202" style="position:absolute;margin-left:365.69999999999999pt;margin-top:46.350000000000001pt;width:174.pt;height:8.4000000000000004pt;z-index:-188743943;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731520</wp:posOffset>
              </wp:positionV>
              <wp:extent cx="6163310" cy="0"/>
              <wp:wrapNone/>
              <wp:docPr id="167" name="Shape 1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50000000000001pt;margin-top:57.600000000000001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730885</wp:posOffset>
              </wp:positionH>
              <wp:positionV relativeFrom="page">
                <wp:posOffset>244475</wp:posOffset>
              </wp:positionV>
              <wp:extent cx="1228090" cy="405130"/>
              <wp:wrapNone/>
              <wp:docPr id="170" name="Shape 170"/>
              <a:graphic xmlns:a="http://schemas.openxmlformats.org/drawingml/2006/main">
                <a:graphicData uri="http://schemas.microsoft.com/office/word/2010/wordprocessingShape">
                  <wps:wsp>
                    <wps:cNvSpPr txBox="1"/>
                    <wps:spPr>
                      <a:xfrm>
                        <a:ext cx="1228090" cy="4051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xbxContent>
                    </wps:txbx>
                    <wps:bodyPr wrap="none" lIns="0" tIns="0" rIns="0" bIns="0">
                      <a:spAutoFit/>
                    </wps:bodyPr>
                  </wps:wsp>
                </a:graphicData>
              </a:graphic>
            </wp:anchor>
          </w:drawing>
        </mc:Choice>
        <mc:Fallback>
          <w:pict>
            <v:shape id="_x0000_s1196" type="#_x0000_t202" style="position:absolute;margin-left:57.550000000000004pt;margin-top:19.25pt;width:96.700000000000003pt;height:31.900000000000002pt;z-index:-188743939;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xbxContent>
              </v:textbox>
              <w10:wrap anchorx="page" anchory="page"/>
            </v:shape>
          </w:pict>
        </mc:Fallback>
      </mc:AlternateContent>
    </w:r>
    <w:r>
      <mc:AlternateContent>
        <mc:Choice Requires="wps">
          <w:drawing>
            <wp:anchor distT="0" distB="0" distL="0" distR="0" simplePos="0" relativeHeight="62914816" behindDoc="1" locked="0" layoutInCell="1" allowOverlap="1">
              <wp:simplePos x="0" y="0"/>
              <wp:positionH relativeFrom="page">
                <wp:posOffset>4644390</wp:posOffset>
              </wp:positionH>
              <wp:positionV relativeFrom="page">
                <wp:posOffset>588645</wp:posOffset>
              </wp:positionV>
              <wp:extent cx="2209800" cy="106680"/>
              <wp:wrapNone/>
              <wp:docPr id="172" name="Shape 172"/>
              <a:graphic xmlns:a="http://schemas.openxmlformats.org/drawingml/2006/main">
                <a:graphicData uri="http://schemas.microsoft.com/office/word/2010/wordprocessingShape">
                  <wps:wsp>
                    <wps:cNvSpPr txBox="1"/>
                    <wps:spPr>
                      <a:xfrm>
                        <a:ext cx="220980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98" type="#_x0000_t202" style="position:absolute;margin-left:365.69999999999999pt;margin-top:46.350000000000001pt;width:174.pt;height:8.4000000000000004pt;z-index:-188743937;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731520</wp:posOffset>
              </wp:positionV>
              <wp:extent cx="6163310" cy="0"/>
              <wp:wrapNone/>
              <wp:docPr id="174" name="Shape 1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50000000000001pt;margin-top:57.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698500</wp:posOffset>
              </wp:positionH>
              <wp:positionV relativeFrom="page">
                <wp:posOffset>244475</wp:posOffset>
              </wp:positionV>
              <wp:extent cx="6135370" cy="441960"/>
              <wp:wrapNone/>
              <wp:docPr id="10" name="Shape 10"/>
              <a:graphic xmlns:a="http://schemas.openxmlformats.org/drawingml/2006/main">
                <a:graphicData uri="http://schemas.microsoft.com/office/word/2010/wordprocessingShape">
                  <wps:wsp>
                    <wps:cNvSpPr txBox="1"/>
                    <wps:spPr>
                      <a:xfrm>
                        <a:ext cx="6135370" cy="44196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rFonts w:ascii="SimSun" w:eastAsia="SimSun" w:hAnsi="SimSun" w:cs="SimSun"/>
                              <w:color w:val="01408A"/>
                              <w:spacing w:val="0"/>
                              <w:w w:val="100"/>
                              <w:position w:val="0"/>
                              <w:sz w:val="240"/>
                              <w:szCs w:val="240"/>
                            </w:rPr>
                            <w:t>。</w:t>
                          </w:r>
                        </w:p>
                        <w:p>
                          <w:pPr>
                            <w:pStyle w:val="Style6"/>
                            <w:keepNext w:val="0"/>
                            <w:keepLines w:val="0"/>
                            <w:widowControl w:val="0"/>
                            <w:shd w:val="clear" w:color="auto" w:fill="auto"/>
                            <w:tabs>
                              <w:tab w:pos="9014"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036" type="#_x0000_t202" style="position:absolute;margin-left:55.pt;margin-top:19.25pt;width:483.10000000000002pt;height:34.800000000000004pt;z-index:-188744057;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rFonts w:ascii="SimSun" w:eastAsia="SimSun" w:hAnsi="SimSun" w:cs="SimSun"/>
                        <w:color w:val="01408A"/>
                        <w:spacing w:val="0"/>
                        <w:w w:val="100"/>
                        <w:position w:val="0"/>
                        <w:sz w:val="240"/>
                        <w:szCs w:val="240"/>
                      </w:rPr>
                      <w:t>。</w:t>
                    </w:r>
                  </w:p>
                  <w:p>
                    <w:pPr>
                      <w:pStyle w:val="Style6"/>
                      <w:keepNext w:val="0"/>
                      <w:keepLines w:val="0"/>
                      <w:widowControl w:val="0"/>
                      <w:shd w:val="clear" w:color="auto" w:fill="auto"/>
                      <w:tabs>
                        <w:tab w:pos="9014"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731520</wp:posOffset>
              </wp:positionV>
              <wp:extent cx="6163310" cy="0"/>
              <wp:wrapNone/>
              <wp:docPr id="12" name="Shape 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7.600000000000001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730885</wp:posOffset>
              </wp:positionH>
              <wp:positionV relativeFrom="page">
                <wp:posOffset>244475</wp:posOffset>
              </wp:positionV>
              <wp:extent cx="1228090" cy="405130"/>
              <wp:wrapNone/>
              <wp:docPr id="177" name="Shape 177"/>
              <a:graphic xmlns:a="http://schemas.openxmlformats.org/drawingml/2006/main">
                <a:graphicData uri="http://schemas.microsoft.com/office/word/2010/wordprocessingShape">
                  <wps:wsp>
                    <wps:cNvSpPr txBox="1"/>
                    <wps:spPr>
                      <a:xfrm>
                        <a:ext cx="1228090" cy="4051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xbxContent>
                    </wps:txbx>
                    <wps:bodyPr wrap="none" lIns="0" tIns="0" rIns="0" bIns="0">
                      <a:spAutoFit/>
                    </wps:bodyPr>
                  </wps:wsp>
                </a:graphicData>
              </a:graphic>
            </wp:anchor>
          </w:drawing>
        </mc:Choice>
        <mc:Fallback>
          <w:pict>
            <v:shape id="_x0000_s1203" type="#_x0000_t202" style="position:absolute;margin-left:57.550000000000004pt;margin-top:19.25pt;width:96.700000000000003pt;height:31.900000000000002pt;z-index:-188743933;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xbxContent>
              </v:textbox>
              <w10:wrap anchorx="page" anchory="page"/>
            </v:shape>
          </w:pict>
        </mc:Fallback>
      </mc:AlternateContent>
    </w:r>
    <w:r>
      <mc:AlternateContent>
        <mc:Choice Requires="wps">
          <w:drawing>
            <wp:anchor distT="0" distB="0" distL="0" distR="0" simplePos="0" relativeHeight="62914822" behindDoc="1" locked="0" layoutInCell="1" allowOverlap="1">
              <wp:simplePos x="0" y="0"/>
              <wp:positionH relativeFrom="page">
                <wp:posOffset>4644390</wp:posOffset>
              </wp:positionH>
              <wp:positionV relativeFrom="page">
                <wp:posOffset>588645</wp:posOffset>
              </wp:positionV>
              <wp:extent cx="2209800" cy="106680"/>
              <wp:wrapNone/>
              <wp:docPr id="179" name="Shape 179"/>
              <a:graphic xmlns:a="http://schemas.openxmlformats.org/drawingml/2006/main">
                <a:graphicData uri="http://schemas.microsoft.com/office/word/2010/wordprocessingShape">
                  <wps:wsp>
                    <wps:cNvSpPr txBox="1"/>
                    <wps:spPr>
                      <a:xfrm>
                        <a:ext cx="220980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05" type="#_x0000_t202" style="position:absolute;margin-left:365.69999999999999pt;margin-top:46.350000000000001pt;width:174.pt;height:8.4000000000000004pt;z-index:-188743931;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731520</wp:posOffset>
              </wp:positionV>
              <wp:extent cx="6163310" cy="0"/>
              <wp:wrapNone/>
              <wp:docPr id="181" name="Shape 1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50000000000001pt;margin-top:57.600000000000001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698500</wp:posOffset>
              </wp:positionH>
              <wp:positionV relativeFrom="page">
                <wp:posOffset>244475</wp:posOffset>
              </wp:positionV>
              <wp:extent cx="6135370" cy="441960"/>
              <wp:wrapNone/>
              <wp:docPr id="184" name="Shape 184"/>
              <a:graphic xmlns:a="http://schemas.openxmlformats.org/drawingml/2006/main">
                <a:graphicData uri="http://schemas.microsoft.com/office/word/2010/wordprocessingShape">
                  <wps:wsp>
                    <wps:cNvSpPr txBox="1"/>
                    <wps:spPr>
                      <a:xfrm>
                        <a:ext cx="6135370" cy="44196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rFonts w:ascii="SimSun" w:eastAsia="SimSun" w:hAnsi="SimSun" w:cs="SimSun"/>
                              <w:color w:val="01408A"/>
                              <w:spacing w:val="0"/>
                              <w:w w:val="100"/>
                              <w:position w:val="0"/>
                              <w:sz w:val="240"/>
                              <w:szCs w:val="240"/>
                            </w:rPr>
                            <w:t>。</w:t>
                          </w:r>
                        </w:p>
                        <w:p>
                          <w:pPr>
                            <w:pStyle w:val="Style6"/>
                            <w:keepNext w:val="0"/>
                            <w:keepLines w:val="0"/>
                            <w:widowControl w:val="0"/>
                            <w:shd w:val="clear" w:color="auto" w:fill="auto"/>
                            <w:tabs>
                              <w:tab w:pos="9014"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210" type="#_x0000_t202" style="position:absolute;margin-left:55.pt;margin-top:19.25pt;width:483.10000000000002pt;height:34.800000000000004pt;z-index:-188743927;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rFonts w:ascii="SimSun" w:eastAsia="SimSun" w:hAnsi="SimSun" w:cs="SimSun"/>
                        <w:color w:val="01408A"/>
                        <w:spacing w:val="0"/>
                        <w:w w:val="100"/>
                        <w:position w:val="0"/>
                        <w:sz w:val="240"/>
                        <w:szCs w:val="240"/>
                      </w:rPr>
                      <w:t>。</w:t>
                    </w:r>
                  </w:p>
                  <w:p>
                    <w:pPr>
                      <w:pStyle w:val="Style6"/>
                      <w:keepNext w:val="0"/>
                      <w:keepLines w:val="0"/>
                      <w:widowControl w:val="0"/>
                      <w:shd w:val="clear" w:color="auto" w:fill="auto"/>
                      <w:tabs>
                        <w:tab w:pos="9014"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731520</wp:posOffset>
              </wp:positionV>
              <wp:extent cx="6163310" cy="0"/>
              <wp:wrapNone/>
              <wp:docPr id="186" name="Shape 1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7.600000000000001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698500</wp:posOffset>
              </wp:positionH>
              <wp:positionV relativeFrom="page">
                <wp:posOffset>244475</wp:posOffset>
              </wp:positionV>
              <wp:extent cx="6135370" cy="441960"/>
              <wp:wrapNone/>
              <wp:docPr id="187" name="Shape 187"/>
              <a:graphic xmlns:a="http://schemas.openxmlformats.org/drawingml/2006/main">
                <a:graphicData uri="http://schemas.microsoft.com/office/word/2010/wordprocessingShape">
                  <wps:wsp>
                    <wps:cNvSpPr txBox="1"/>
                    <wps:spPr>
                      <a:xfrm>
                        <a:ext cx="6135370" cy="44196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rFonts w:ascii="SimSun" w:eastAsia="SimSun" w:hAnsi="SimSun" w:cs="SimSun"/>
                              <w:color w:val="01408A"/>
                              <w:spacing w:val="0"/>
                              <w:w w:val="100"/>
                              <w:position w:val="0"/>
                              <w:sz w:val="240"/>
                              <w:szCs w:val="240"/>
                            </w:rPr>
                            <w:t>。</w:t>
                          </w:r>
                        </w:p>
                        <w:p>
                          <w:pPr>
                            <w:pStyle w:val="Style6"/>
                            <w:keepNext w:val="0"/>
                            <w:keepLines w:val="0"/>
                            <w:widowControl w:val="0"/>
                            <w:shd w:val="clear" w:color="auto" w:fill="auto"/>
                            <w:tabs>
                              <w:tab w:pos="9014"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213" type="#_x0000_t202" style="position:absolute;margin-left:55.pt;margin-top:19.25pt;width:483.10000000000002pt;height:34.800000000000004pt;z-index:-188743925;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rFonts w:ascii="SimSun" w:eastAsia="SimSun" w:hAnsi="SimSun" w:cs="SimSun"/>
                        <w:color w:val="01408A"/>
                        <w:spacing w:val="0"/>
                        <w:w w:val="100"/>
                        <w:position w:val="0"/>
                        <w:sz w:val="240"/>
                        <w:szCs w:val="240"/>
                      </w:rPr>
                      <w:t>。</w:t>
                    </w:r>
                  </w:p>
                  <w:p>
                    <w:pPr>
                      <w:pStyle w:val="Style6"/>
                      <w:keepNext w:val="0"/>
                      <w:keepLines w:val="0"/>
                      <w:widowControl w:val="0"/>
                      <w:shd w:val="clear" w:color="auto" w:fill="auto"/>
                      <w:tabs>
                        <w:tab w:pos="9014"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731520</wp:posOffset>
              </wp:positionV>
              <wp:extent cx="6163310" cy="0"/>
              <wp:wrapNone/>
              <wp:docPr id="189" name="Shape 1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7.600000000000001pt;width:485.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893445</wp:posOffset>
              </wp:positionH>
              <wp:positionV relativeFrom="page">
                <wp:posOffset>244475</wp:posOffset>
              </wp:positionV>
              <wp:extent cx="6031865" cy="450850"/>
              <wp:wrapNone/>
              <wp:docPr id="190" name="Shape 190"/>
              <a:graphic xmlns:a="http://schemas.openxmlformats.org/drawingml/2006/main">
                <a:graphicData uri="http://schemas.microsoft.com/office/word/2010/wordprocessingShape">
                  <wps:wsp>
                    <wps:cNvSpPr txBox="1"/>
                    <wps:spPr>
                      <a:xfrm>
                        <a:ext cx="6031865" cy="4508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8789"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u w:val="single"/>
                            </w:rPr>
                            <w:t>国民技术股份有限公司</w:t>
                          </w:r>
                          <w:r>
                            <w:rPr>
                              <w:rFonts w:ascii="Times New Roman" w:eastAsia="Times New Roman" w:hAnsi="Times New Roman" w:cs="Times New Roman"/>
                              <w:color w:val="000000"/>
                              <w:spacing w:val="0"/>
                              <w:w w:val="100"/>
                              <w:position w:val="0"/>
                              <w:u w:val="single"/>
                            </w:rPr>
                            <w:t>2020</w:t>
                          </w:r>
                          <w:r>
                            <w:rPr>
                              <w:color w:val="000000"/>
                              <w:spacing w:val="0"/>
                              <w:w w:val="100"/>
                              <w:position w:val="0"/>
                              <w:u w:val="single"/>
                            </w:rPr>
                            <w:t>年年度报告全文</w:t>
                          </w:r>
                        </w:p>
                      </w:txbxContent>
                    </wps:txbx>
                    <wps:bodyPr lIns="0" tIns="0" rIns="0" bIns="0">
                      <a:spAutoFit/>
                    </wps:bodyPr>
                  </wps:wsp>
                </a:graphicData>
              </a:graphic>
            </wp:anchor>
          </w:drawing>
        </mc:Choice>
        <mc:Fallback>
          <w:pict>
            <v:shape id="_x0000_s1216" type="#_x0000_t202" style="position:absolute;margin-left:70.350000000000009pt;margin-top:19.25pt;width:474.94999999999999pt;height:35.5pt;z-index:-188743923;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8789"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u w:val="single"/>
                      </w:rPr>
                      <w:t>国民技术股份有限公司</w:t>
                    </w:r>
                    <w:r>
                      <w:rPr>
                        <w:rFonts w:ascii="Times New Roman" w:eastAsia="Times New Roman" w:hAnsi="Times New Roman" w:cs="Times New Roman"/>
                        <w:color w:val="000000"/>
                        <w:spacing w:val="0"/>
                        <w:w w:val="100"/>
                        <w:position w:val="0"/>
                        <w:u w:val="single"/>
                      </w:rPr>
                      <w:t>2020</w:t>
                    </w:r>
                    <w:r>
                      <w:rPr>
                        <w:color w:val="000000"/>
                        <w:spacing w:val="0"/>
                        <w:w w:val="100"/>
                        <w:position w:val="0"/>
                        <w:u w:val="singl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878205</wp:posOffset>
              </wp:positionH>
              <wp:positionV relativeFrom="page">
                <wp:posOffset>731520</wp:posOffset>
              </wp:positionV>
              <wp:extent cx="6071870" cy="0"/>
              <wp:wrapNone/>
              <wp:docPr id="192" name="Shape 192"/>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69.150000000000006pt;margin-top:57.600000000000001pt;width:478.10000000000002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893445</wp:posOffset>
              </wp:positionH>
              <wp:positionV relativeFrom="page">
                <wp:posOffset>244475</wp:posOffset>
              </wp:positionV>
              <wp:extent cx="6031865" cy="450850"/>
              <wp:wrapNone/>
              <wp:docPr id="195" name="Shape 195"/>
              <a:graphic xmlns:a="http://schemas.openxmlformats.org/drawingml/2006/main">
                <a:graphicData uri="http://schemas.microsoft.com/office/word/2010/wordprocessingShape">
                  <wps:wsp>
                    <wps:cNvSpPr txBox="1"/>
                    <wps:spPr>
                      <a:xfrm>
                        <a:ext cx="6031865" cy="4508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8789"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u w:val="single"/>
                            </w:rPr>
                            <w:t>国民技术股份有限公司</w:t>
                          </w:r>
                          <w:r>
                            <w:rPr>
                              <w:rFonts w:ascii="Times New Roman" w:eastAsia="Times New Roman" w:hAnsi="Times New Roman" w:cs="Times New Roman"/>
                              <w:color w:val="000000"/>
                              <w:spacing w:val="0"/>
                              <w:w w:val="100"/>
                              <w:position w:val="0"/>
                              <w:u w:val="single"/>
                            </w:rPr>
                            <w:t>2020</w:t>
                          </w:r>
                          <w:r>
                            <w:rPr>
                              <w:color w:val="000000"/>
                              <w:spacing w:val="0"/>
                              <w:w w:val="100"/>
                              <w:position w:val="0"/>
                              <w:u w:val="single"/>
                            </w:rPr>
                            <w:t>年年度报告全文</w:t>
                          </w:r>
                        </w:p>
                      </w:txbxContent>
                    </wps:txbx>
                    <wps:bodyPr lIns="0" tIns="0" rIns="0" bIns="0">
                      <a:spAutoFit/>
                    </wps:bodyPr>
                  </wps:wsp>
                </a:graphicData>
              </a:graphic>
            </wp:anchor>
          </w:drawing>
        </mc:Choice>
        <mc:Fallback>
          <w:pict>
            <v:shape id="_x0000_s1221" type="#_x0000_t202" style="position:absolute;margin-left:70.350000000000009pt;margin-top:19.25pt;width:474.94999999999999pt;height:35.5pt;z-index:-188743919;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8789"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u w:val="single"/>
                      </w:rPr>
                      <w:t>国民技术股份有限公司</w:t>
                    </w:r>
                    <w:r>
                      <w:rPr>
                        <w:rFonts w:ascii="Times New Roman" w:eastAsia="Times New Roman" w:hAnsi="Times New Roman" w:cs="Times New Roman"/>
                        <w:color w:val="000000"/>
                        <w:spacing w:val="0"/>
                        <w:w w:val="100"/>
                        <w:position w:val="0"/>
                        <w:u w:val="single"/>
                      </w:rPr>
                      <w:t>2020</w:t>
                    </w:r>
                    <w:r>
                      <w:rPr>
                        <w:color w:val="000000"/>
                        <w:spacing w:val="0"/>
                        <w:w w:val="100"/>
                        <w:position w:val="0"/>
                        <w:u w:val="singl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878205</wp:posOffset>
              </wp:positionH>
              <wp:positionV relativeFrom="page">
                <wp:posOffset>731520</wp:posOffset>
              </wp:positionV>
              <wp:extent cx="6071870" cy="0"/>
              <wp:wrapNone/>
              <wp:docPr id="197" name="Shape 197"/>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69.150000000000006pt;margin-top:57.600000000000001pt;width:478.10000000000002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700405</wp:posOffset>
              </wp:positionH>
              <wp:positionV relativeFrom="page">
                <wp:posOffset>244475</wp:posOffset>
              </wp:positionV>
              <wp:extent cx="6123305" cy="450850"/>
              <wp:wrapNone/>
              <wp:docPr id="200" name="Shape 200"/>
              <a:graphic xmlns:a="http://schemas.openxmlformats.org/drawingml/2006/main">
                <a:graphicData uri="http://schemas.microsoft.com/office/word/2010/wordprocessingShape">
                  <wps:wsp>
                    <wps:cNvSpPr txBox="1"/>
                    <wps:spPr>
                      <a:xfrm>
                        <a:ext cx="6123305" cy="4508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226" type="#_x0000_t202" style="position:absolute;margin-left:55.149999999999999pt;margin-top:19.25pt;width:482.15000000000003pt;height:35.5pt;z-index:-188743915;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731520</wp:posOffset>
              </wp:positionV>
              <wp:extent cx="6163310" cy="0"/>
              <wp:wrapNone/>
              <wp:docPr id="202" name="Shape 2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7.600000000000001pt;width:485.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700405</wp:posOffset>
              </wp:positionH>
              <wp:positionV relativeFrom="page">
                <wp:posOffset>244475</wp:posOffset>
              </wp:positionV>
              <wp:extent cx="6123305" cy="450850"/>
              <wp:wrapNone/>
              <wp:docPr id="205" name="Shape 205"/>
              <a:graphic xmlns:a="http://schemas.openxmlformats.org/drawingml/2006/main">
                <a:graphicData uri="http://schemas.microsoft.com/office/word/2010/wordprocessingShape">
                  <wps:wsp>
                    <wps:cNvSpPr txBox="1"/>
                    <wps:spPr>
                      <a:xfrm>
                        <a:ext cx="6123305" cy="4508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231" type="#_x0000_t202" style="position:absolute;margin-left:55.149999999999999pt;margin-top:19.25pt;width:482.15000000000003pt;height:35.5pt;z-index:-188743911;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731520</wp:posOffset>
              </wp:positionV>
              <wp:extent cx="6163310" cy="0"/>
              <wp:wrapNone/>
              <wp:docPr id="207" name="Shape 2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7.600000000000001pt;width:485.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908685</wp:posOffset>
              </wp:positionH>
              <wp:positionV relativeFrom="page">
                <wp:posOffset>239395</wp:posOffset>
              </wp:positionV>
              <wp:extent cx="8866505" cy="450850"/>
              <wp:wrapNone/>
              <wp:docPr id="210" name="Shape 210"/>
              <a:graphic xmlns:a="http://schemas.openxmlformats.org/drawingml/2006/main">
                <a:graphicData uri="http://schemas.microsoft.com/office/word/2010/wordprocessingShape">
                  <wps:wsp>
                    <wps:cNvSpPr txBox="1"/>
                    <wps:spPr>
                      <a:xfrm>
                        <a:ext cx="8866505" cy="4508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1334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u w:val="single"/>
                            </w:rPr>
                            <w:t>国民技术股份有限公司</w:t>
                          </w:r>
                          <w:r>
                            <w:rPr>
                              <w:rFonts w:ascii="Times New Roman" w:eastAsia="Times New Roman" w:hAnsi="Times New Roman" w:cs="Times New Roman"/>
                              <w:color w:val="000000"/>
                              <w:spacing w:val="0"/>
                              <w:w w:val="100"/>
                              <w:position w:val="0"/>
                              <w:u w:val="single"/>
                            </w:rPr>
                            <w:t>2020</w:t>
                          </w:r>
                          <w:r>
                            <w:rPr>
                              <w:color w:val="000000"/>
                              <w:spacing w:val="0"/>
                              <w:w w:val="100"/>
                              <w:position w:val="0"/>
                              <w:u w:val="single"/>
                            </w:rPr>
                            <w:t>年年度报告全文</w:t>
                          </w:r>
                        </w:p>
                      </w:txbxContent>
                    </wps:txbx>
                    <wps:bodyPr lIns="0" tIns="0" rIns="0" bIns="0">
                      <a:spAutoFit/>
                    </wps:bodyPr>
                  </wps:wsp>
                </a:graphicData>
              </a:graphic>
            </wp:anchor>
          </w:drawing>
        </mc:Choice>
        <mc:Fallback>
          <w:pict>
            <v:shape id="_x0000_s1236" type="#_x0000_t202" style="position:absolute;margin-left:71.549999999999997pt;margin-top:18.850000000000001pt;width:698.14999999999998pt;height:35.5pt;z-index:-188743907;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1334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u w:val="single"/>
                      </w:rPr>
                      <w:t>国民技术股份有限公司</w:t>
                    </w:r>
                    <w:r>
                      <w:rPr>
                        <w:rFonts w:ascii="Times New Roman" w:eastAsia="Times New Roman" w:hAnsi="Times New Roman" w:cs="Times New Roman"/>
                        <w:color w:val="000000"/>
                        <w:spacing w:val="0"/>
                        <w:w w:val="100"/>
                        <w:position w:val="0"/>
                        <w:u w:val="single"/>
                      </w:rPr>
                      <w:t>2020</w:t>
                    </w:r>
                    <w:r>
                      <w:rPr>
                        <w:color w:val="000000"/>
                        <w:spacing w:val="0"/>
                        <w:w w:val="100"/>
                        <w:position w:val="0"/>
                        <w:u w:val="singl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726440</wp:posOffset>
              </wp:positionV>
              <wp:extent cx="8906510" cy="0"/>
              <wp:wrapNone/>
              <wp:docPr id="212" name="Shape 21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7.200000000000003pt;width:701.30000000000007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908685</wp:posOffset>
              </wp:positionH>
              <wp:positionV relativeFrom="page">
                <wp:posOffset>239395</wp:posOffset>
              </wp:positionV>
              <wp:extent cx="8866505" cy="450850"/>
              <wp:wrapNone/>
              <wp:docPr id="215" name="Shape 215"/>
              <a:graphic xmlns:a="http://schemas.openxmlformats.org/drawingml/2006/main">
                <a:graphicData uri="http://schemas.microsoft.com/office/word/2010/wordprocessingShape">
                  <wps:wsp>
                    <wps:cNvSpPr txBox="1"/>
                    <wps:spPr>
                      <a:xfrm>
                        <a:ext cx="8866505" cy="4508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1334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u w:val="single"/>
                            </w:rPr>
                            <w:t>国民技术股份有限公司</w:t>
                          </w:r>
                          <w:r>
                            <w:rPr>
                              <w:rFonts w:ascii="Times New Roman" w:eastAsia="Times New Roman" w:hAnsi="Times New Roman" w:cs="Times New Roman"/>
                              <w:color w:val="000000"/>
                              <w:spacing w:val="0"/>
                              <w:w w:val="100"/>
                              <w:position w:val="0"/>
                              <w:u w:val="single"/>
                            </w:rPr>
                            <w:t>2020</w:t>
                          </w:r>
                          <w:r>
                            <w:rPr>
                              <w:color w:val="000000"/>
                              <w:spacing w:val="0"/>
                              <w:w w:val="100"/>
                              <w:position w:val="0"/>
                              <w:u w:val="single"/>
                            </w:rPr>
                            <w:t>年年度报告全文</w:t>
                          </w:r>
                        </w:p>
                      </w:txbxContent>
                    </wps:txbx>
                    <wps:bodyPr lIns="0" tIns="0" rIns="0" bIns="0">
                      <a:spAutoFit/>
                    </wps:bodyPr>
                  </wps:wsp>
                </a:graphicData>
              </a:graphic>
            </wp:anchor>
          </w:drawing>
        </mc:Choice>
        <mc:Fallback>
          <w:pict>
            <v:shape id="_x0000_s1241" type="#_x0000_t202" style="position:absolute;margin-left:71.549999999999997pt;margin-top:18.850000000000001pt;width:698.14999999999998pt;height:35.5pt;z-index:-188743903;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1334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u w:val="single"/>
                      </w:rPr>
                      <w:t>国民技术股份有限公司</w:t>
                    </w:r>
                    <w:r>
                      <w:rPr>
                        <w:rFonts w:ascii="Times New Roman" w:eastAsia="Times New Roman" w:hAnsi="Times New Roman" w:cs="Times New Roman"/>
                        <w:color w:val="000000"/>
                        <w:spacing w:val="0"/>
                        <w:w w:val="100"/>
                        <w:position w:val="0"/>
                        <w:u w:val="single"/>
                      </w:rPr>
                      <w:t>2020</w:t>
                    </w:r>
                    <w:r>
                      <w:rPr>
                        <w:color w:val="000000"/>
                        <w:spacing w:val="0"/>
                        <w:w w:val="100"/>
                        <w:position w:val="0"/>
                        <w:u w:val="singl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726440</wp:posOffset>
              </wp:positionV>
              <wp:extent cx="8906510" cy="0"/>
              <wp:wrapNone/>
              <wp:docPr id="217" name="Shape 217"/>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7.200000000000003pt;width:701.30000000000007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725170</wp:posOffset>
              </wp:positionH>
              <wp:positionV relativeFrom="page">
                <wp:posOffset>206375</wp:posOffset>
              </wp:positionV>
              <wp:extent cx="6123305" cy="450850"/>
              <wp:wrapNone/>
              <wp:docPr id="220" name="Shape 220"/>
              <a:graphic xmlns:a="http://schemas.openxmlformats.org/drawingml/2006/main">
                <a:graphicData uri="http://schemas.microsoft.com/office/word/2010/wordprocessingShape">
                  <wps:wsp>
                    <wps:cNvSpPr txBox="1"/>
                    <wps:spPr>
                      <a:xfrm>
                        <a:ext cx="6123305" cy="4508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8986"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246" type="#_x0000_t202" style="position:absolute;margin-left:57.100000000000001pt;margin-top:16.25pt;width:482.15000000000003pt;height:35.5pt;z-index:-188743899;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8986"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735965</wp:posOffset>
              </wp:positionV>
              <wp:extent cx="6163310" cy="0"/>
              <wp:wrapNone/>
              <wp:docPr id="222" name="Shape 2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99999999999999pt;margin-top:57.95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4646295</wp:posOffset>
              </wp:positionH>
              <wp:positionV relativeFrom="page">
                <wp:posOffset>581025</wp:posOffset>
              </wp:positionV>
              <wp:extent cx="2209800" cy="106680"/>
              <wp:wrapNone/>
              <wp:docPr id="13" name="Shape 13"/>
              <a:graphic xmlns:a="http://schemas.openxmlformats.org/drawingml/2006/main">
                <a:graphicData uri="http://schemas.microsoft.com/office/word/2010/wordprocessingShape">
                  <wps:wsp>
                    <wps:cNvSpPr txBox="1"/>
                    <wps:spPr>
                      <a:xfrm>
                        <a:ext cx="220980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9" type="#_x0000_t202" style="position:absolute;margin-left:365.85000000000002pt;margin-top:45.75pt;width:174.pt;height:8.4000000000000004pt;z-index:-18874405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723900</wp:posOffset>
              </wp:positionV>
              <wp:extent cx="6163310" cy="0"/>
              <wp:wrapNone/>
              <wp:docPr id="15" name="Shape 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pt;margin-top:57.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725170</wp:posOffset>
              </wp:positionH>
              <wp:positionV relativeFrom="page">
                <wp:posOffset>206375</wp:posOffset>
              </wp:positionV>
              <wp:extent cx="6123305" cy="450850"/>
              <wp:wrapNone/>
              <wp:docPr id="225" name="Shape 225"/>
              <a:graphic xmlns:a="http://schemas.openxmlformats.org/drawingml/2006/main">
                <a:graphicData uri="http://schemas.microsoft.com/office/word/2010/wordprocessingShape">
                  <wps:wsp>
                    <wps:cNvSpPr txBox="1"/>
                    <wps:spPr>
                      <a:xfrm>
                        <a:ext cx="6123305" cy="4508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8986"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251" type="#_x0000_t202" style="position:absolute;margin-left:57.100000000000001pt;margin-top:16.25pt;width:482.15000000000003pt;height:35.5pt;z-index:-188743895;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8986"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735965</wp:posOffset>
              </wp:positionV>
              <wp:extent cx="6163310" cy="0"/>
              <wp:wrapNone/>
              <wp:docPr id="227" name="Shape 2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99999999999999pt;margin-top:57.950000000000003pt;width:485.3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725170</wp:posOffset>
              </wp:positionH>
              <wp:positionV relativeFrom="page">
                <wp:posOffset>206375</wp:posOffset>
              </wp:positionV>
              <wp:extent cx="6123305" cy="450850"/>
              <wp:wrapNone/>
              <wp:docPr id="234" name="Shape 234"/>
              <a:graphic xmlns:a="http://schemas.openxmlformats.org/drawingml/2006/main">
                <a:graphicData uri="http://schemas.microsoft.com/office/word/2010/wordprocessingShape">
                  <wps:wsp>
                    <wps:cNvSpPr txBox="1"/>
                    <wps:spPr>
                      <a:xfrm>
                        <a:ext cx="6123305" cy="4508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8986"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260" type="#_x0000_t202" style="position:absolute;margin-left:57.100000000000001pt;margin-top:16.25pt;width:482.15000000000003pt;height:35.5pt;z-index:-188743887;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8986"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735965</wp:posOffset>
              </wp:positionV>
              <wp:extent cx="6163310" cy="0"/>
              <wp:wrapNone/>
              <wp:docPr id="236" name="Shape 2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99999999999999pt;margin-top:57.950000000000003pt;width:485.3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725170</wp:posOffset>
              </wp:positionH>
              <wp:positionV relativeFrom="page">
                <wp:posOffset>206375</wp:posOffset>
              </wp:positionV>
              <wp:extent cx="6123305" cy="450850"/>
              <wp:wrapNone/>
              <wp:docPr id="239" name="Shape 239"/>
              <a:graphic xmlns:a="http://schemas.openxmlformats.org/drawingml/2006/main">
                <a:graphicData uri="http://schemas.microsoft.com/office/word/2010/wordprocessingShape">
                  <wps:wsp>
                    <wps:cNvSpPr txBox="1"/>
                    <wps:spPr>
                      <a:xfrm>
                        <a:ext cx="6123305" cy="4508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8986"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265" type="#_x0000_t202" style="position:absolute;margin-left:57.100000000000001pt;margin-top:16.25pt;width:482.15000000000003pt;height:35.5pt;z-index:-188743883;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8986"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735965</wp:posOffset>
              </wp:positionV>
              <wp:extent cx="6163310" cy="0"/>
              <wp:wrapNone/>
              <wp:docPr id="241" name="Shape 2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99999999999999pt;margin-top:57.950000000000003pt;width:485.30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695960</wp:posOffset>
              </wp:positionH>
              <wp:positionV relativeFrom="page">
                <wp:posOffset>244475</wp:posOffset>
              </wp:positionV>
              <wp:extent cx="1228090" cy="405130"/>
              <wp:wrapNone/>
              <wp:docPr id="260" name="Shape 260"/>
              <a:graphic xmlns:a="http://schemas.openxmlformats.org/drawingml/2006/main">
                <a:graphicData uri="http://schemas.microsoft.com/office/word/2010/wordprocessingShape">
                  <wps:wsp>
                    <wps:cNvSpPr txBox="1"/>
                    <wps:spPr>
                      <a:xfrm>
                        <a:ext cx="1228090" cy="4051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xbxContent>
                    </wps:txbx>
                    <wps:bodyPr wrap="none" lIns="0" tIns="0" rIns="0" bIns="0">
                      <a:spAutoFit/>
                    </wps:bodyPr>
                  </wps:wsp>
                </a:graphicData>
              </a:graphic>
            </wp:anchor>
          </w:drawing>
        </mc:Choice>
        <mc:Fallback>
          <w:pict>
            <v:shape id="_x0000_s1286" type="#_x0000_t202" style="position:absolute;margin-left:54.800000000000004pt;margin-top:19.25pt;width:96.700000000000003pt;height:31.900000000000002pt;z-index:-188743879;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xbxContent>
              </v:textbox>
              <w10:wrap anchorx="page" anchory="page"/>
            </v:shape>
          </w:pict>
        </mc:Fallback>
      </mc:AlternateContent>
    </w:r>
    <w:r>
      <mc:AlternateContent>
        <mc:Choice Requires="wps">
          <w:drawing>
            <wp:anchor distT="0" distB="0" distL="0" distR="0" simplePos="0" relativeHeight="62914876" behindDoc="1" locked="0" layoutInCell="1" allowOverlap="1">
              <wp:simplePos x="0" y="0"/>
              <wp:positionH relativeFrom="page">
                <wp:posOffset>4609465</wp:posOffset>
              </wp:positionH>
              <wp:positionV relativeFrom="page">
                <wp:posOffset>588645</wp:posOffset>
              </wp:positionV>
              <wp:extent cx="2209800" cy="106680"/>
              <wp:wrapNone/>
              <wp:docPr id="262" name="Shape 262"/>
              <a:graphic xmlns:a="http://schemas.openxmlformats.org/drawingml/2006/main">
                <a:graphicData uri="http://schemas.microsoft.com/office/word/2010/wordprocessingShape">
                  <wps:wsp>
                    <wps:cNvSpPr txBox="1"/>
                    <wps:spPr>
                      <a:xfrm>
                        <a:ext cx="220980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88" type="#_x0000_t202" style="position:absolute;margin-left:362.94999999999999pt;margin-top:46.350000000000001pt;width:174.pt;height:8.4000000000000004pt;z-index:-188743877;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680720</wp:posOffset>
              </wp:positionH>
              <wp:positionV relativeFrom="page">
                <wp:posOffset>731520</wp:posOffset>
              </wp:positionV>
              <wp:extent cx="6163310" cy="0"/>
              <wp:wrapNone/>
              <wp:docPr id="264" name="Shape 2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00000000000001pt;margin-top:57.600000000000001pt;width:485.30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695960</wp:posOffset>
              </wp:positionH>
              <wp:positionV relativeFrom="page">
                <wp:posOffset>244475</wp:posOffset>
              </wp:positionV>
              <wp:extent cx="1228090" cy="405130"/>
              <wp:wrapNone/>
              <wp:docPr id="267" name="Shape 267"/>
              <a:graphic xmlns:a="http://schemas.openxmlformats.org/drawingml/2006/main">
                <a:graphicData uri="http://schemas.microsoft.com/office/word/2010/wordprocessingShape">
                  <wps:wsp>
                    <wps:cNvSpPr txBox="1"/>
                    <wps:spPr>
                      <a:xfrm>
                        <a:ext cx="1228090" cy="4051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xbxContent>
                    </wps:txbx>
                    <wps:bodyPr wrap="none" lIns="0" tIns="0" rIns="0" bIns="0">
                      <a:spAutoFit/>
                    </wps:bodyPr>
                  </wps:wsp>
                </a:graphicData>
              </a:graphic>
            </wp:anchor>
          </w:drawing>
        </mc:Choice>
        <mc:Fallback>
          <w:pict>
            <v:shape id="_x0000_s1293" type="#_x0000_t202" style="position:absolute;margin-left:54.800000000000004pt;margin-top:19.25pt;width:96.700000000000003pt;height:31.900000000000002pt;z-index:-188743873;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xbxContent>
              </v:textbox>
              <w10:wrap anchorx="page" anchory="page"/>
            </v:shape>
          </w:pict>
        </mc:Fallback>
      </mc:AlternateContent>
    </w:r>
    <w:r>
      <mc:AlternateContent>
        <mc:Choice Requires="wps">
          <w:drawing>
            <wp:anchor distT="0" distB="0" distL="0" distR="0" simplePos="0" relativeHeight="62914882" behindDoc="1" locked="0" layoutInCell="1" allowOverlap="1">
              <wp:simplePos x="0" y="0"/>
              <wp:positionH relativeFrom="page">
                <wp:posOffset>4609465</wp:posOffset>
              </wp:positionH>
              <wp:positionV relativeFrom="page">
                <wp:posOffset>588645</wp:posOffset>
              </wp:positionV>
              <wp:extent cx="2209800" cy="106680"/>
              <wp:wrapNone/>
              <wp:docPr id="269" name="Shape 269"/>
              <a:graphic xmlns:a="http://schemas.openxmlformats.org/drawingml/2006/main">
                <a:graphicData uri="http://schemas.microsoft.com/office/word/2010/wordprocessingShape">
                  <wps:wsp>
                    <wps:cNvSpPr txBox="1"/>
                    <wps:spPr>
                      <a:xfrm>
                        <a:ext cx="220980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95" type="#_x0000_t202" style="position:absolute;margin-left:362.94999999999999pt;margin-top:46.350000000000001pt;width:174.pt;height:8.4000000000000004pt;z-index:-188743871;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680720</wp:posOffset>
              </wp:positionH>
              <wp:positionV relativeFrom="page">
                <wp:posOffset>731520</wp:posOffset>
              </wp:positionV>
              <wp:extent cx="6163310" cy="0"/>
              <wp:wrapNone/>
              <wp:docPr id="271" name="Shape 2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00000000000001pt;margin-top:57.600000000000001pt;width:485.3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695960</wp:posOffset>
              </wp:positionH>
              <wp:positionV relativeFrom="page">
                <wp:posOffset>244475</wp:posOffset>
              </wp:positionV>
              <wp:extent cx="1228090" cy="405130"/>
              <wp:wrapNone/>
              <wp:docPr id="274" name="Shape 274"/>
              <a:graphic xmlns:a="http://schemas.openxmlformats.org/drawingml/2006/main">
                <a:graphicData uri="http://schemas.microsoft.com/office/word/2010/wordprocessingShape">
                  <wps:wsp>
                    <wps:cNvSpPr txBox="1"/>
                    <wps:spPr>
                      <a:xfrm>
                        <a:ext cx="1228090" cy="4051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xbxContent>
                    </wps:txbx>
                    <wps:bodyPr wrap="none" lIns="0" tIns="0" rIns="0" bIns="0">
                      <a:spAutoFit/>
                    </wps:bodyPr>
                  </wps:wsp>
                </a:graphicData>
              </a:graphic>
            </wp:anchor>
          </w:drawing>
        </mc:Choice>
        <mc:Fallback>
          <w:pict>
            <v:shape id="_x0000_s1300" type="#_x0000_t202" style="position:absolute;margin-left:54.800000000000004pt;margin-top:19.25pt;width:96.700000000000003pt;height:31.900000000000002pt;z-index:-188743867;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xbxContent>
              </v:textbox>
              <w10:wrap anchorx="page" anchory="page"/>
            </v:shape>
          </w:pict>
        </mc:Fallback>
      </mc:AlternateContent>
    </w:r>
    <w:r>
      <mc:AlternateContent>
        <mc:Choice Requires="wps">
          <w:drawing>
            <wp:anchor distT="0" distB="0" distL="0" distR="0" simplePos="0" relativeHeight="62914888" behindDoc="1" locked="0" layoutInCell="1" allowOverlap="1">
              <wp:simplePos x="0" y="0"/>
              <wp:positionH relativeFrom="page">
                <wp:posOffset>4609465</wp:posOffset>
              </wp:positionH>
              <wp:positionV relativeFrom="page">
                <wp:posOffset>588645</wp:posOffset>
              </wp:positionV>
              <wp:extent cx="2209800" cy="106680"/>
              <wp:wrapNone/>
              <wp:docPr id="276" name="Shape 276"/>
              <a:graphic xmlns:a="http://schemas.openxmlformats.org/drawingml/2006/main">
                <a:graphicData uri="http://schemas.microsoft.com/office/word/2010/wordprocessingShape">
                  <wps:wsp>
                    <wps:cNvSpPr txBox="1"/>
                    <wps:spPr>
                      <a:xfrm>
                        <a:ext cx="220980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02" type="#_x0000_t202" style="position:absolute;margin-left:362.94999999999999pt;margin-top:46.350000000000001pt;width:174.pt;height:8.4000000000000004pt;z-index:-188743865;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680720</wp:posOffset>
              </wp:positionH>
              <wp:positionV relativeFrom="page">
                <wp:posOffset>731520</wp:posOffset>
              </wp:positionV>
              <wp:extent cx="6163310" cy="0"/>
              <wp:wrapNone/>
              <wp:docPr id="278" name="Shape 2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00000000000001pt;margin-top:57.600000000000001pt;width:485.3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725170</wp:posOffset>
              </wp:positionH>
              <wp:positionV relativeFrom="page">
                <wp:posOffset>206375</wp:posOffset>
              </wp:positionV>
              <wp:extent cx="6123305" cy="450850"/>
              <wp:wrapNone/>
              <wp:docPr id="281" name="Shape 281"/>
              <a:graphic xmlns:a="http://schemas.openxmlformats.org/drawingml/2006/main">
                <a:graphicData uri="http://schemas.microsoft.com/office/word/2010/wordprocessingShape">
                  <wps:wsp>
                    <wps:cNvSpPr txBox="1"/>
                    <wps:spPr>
                      <a:xfrm>
                        <a:ext cx="6123305" cy="4508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8986"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07" type="#_x0000_t202" style="position:absolute;margin-left:57.100000000000001pt;margin-top:16.25pt;width:482.15000000000003pt;height:35.5pt;z-index:-188743861;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8986"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735965</wp:posOffset>
              </wp:positionV>
              <wp:extent cx="6163310" cy="0"/>
              <wp:wrapNone/>
              <wp:docPr id="283" name="Shape 2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99999999999999pt;margin-top:57.950000000000003pt;width:485.30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695960</wp:posOffset>
              </wp:positionH>
              <wp:positionV relativeFrom="page">
                <wp:posOffset>244475</wp:posOffset>
              </wp:positionV>
              <wp:extent cx="1228090" cy="405130"/>
              <wp:wrapNone/>
              <wp:docPr id="298" name="Shape 298"/>
              <a:graphic xmlns:a="http://schemas.openxmlformats.org/drawingml/2006/main">
                <a:graphicData uri="http://schemas.microsoft.com/office/word/2010/wordprocessingShape">
                  <wps:wsp>
                    <wps:cNvSpPr txBox="1"/>
                    <wps:spPr>
                      <a:xfrm>
                        <a:ext cx="1228090" cy="4051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xbxContent>
                    </wps:txbx>
                    <wps:bodyPr wrap="none" lIns="0" tIns="0" rIns="0" bIns="0">
                      <a:spAutoFit/>
                    </wps:bodyPr>
                  </wps:wsp>
                </a:graphicData>
              </a:graphic>
            </wp:anchor>
          </w:drawing>
        </mc:Choice>
        <mc:Fallback>
          <w:pict>
            <v:shape id="_x0000_s1324" type="#_x0000_t202" style="position:absolute;margin-left:54.800000000000004pt;margin-top:19.25pt;width:96.700000000000003pt;height:31.900000000000002pt;z-index:-188743857;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xbxContent>
              </v:textbox>
              <w10:wrap anchorx="page" anchory="page"/>
            </v:shape>
          </w:pict>
        </mc:Fallback>
      </mc:AlternateContent>
    </w:r>
    <w:r>
      <mc:AlternateContent>
        <mc:Choice Requires="wps">
          <w:drawing>
            <wp:anchor distT="0" distB="0" distL="0" distR="0" simplePos="0" relativeHeight="62914898" behindDoc="1" locked="0" layoutInCell="1" allowOverlap="1">
              <wp:simplePos x="0" y="0"/>
              <wp:positionH relativeFrom="page">
                <wp:posOffset>4609465</wp:posOffset>
              </wp:positionH>
              <wp:positionV relativeFrom="page">
                <wp:posOffset>588645</wp:posOffset>
              </wp:positionV>
              <wp:extent cx="2209800" cy="106680"/>
              <wp:wrapNone/>
              <wp:docPr id="300" name="Shape 300"/>
              <a:graphic xmlns:a="http://schemas.openxmlformats.org/drawingml/2006/main">
                <a:graphicData uri="http://schemas.microsoft.com/office/word/2010/wordprocessingShape">
                  <wps:wsp>
                    <wps:cNvSpPr txBox="1"/>
                    <wps:spPr>
                      <a:xfrm>
                        <a:ext cx="220980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26" type="#_x0000_t202" style="position:absolute;margin-left:362.94999999999999pt;margin-top:46.350000000000001pt;width:174.pt;height:8.4000000000000004pt;z-index:-188743855;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680720</wp:posOffset>
              </wp:positionH>
              <wp:positionV relativeFrom="page">
                <wp:posOffset>731520</wp:posOffset>
              </wp:positionV>
              <wp:extent cx="6163310" cy="0"/>
              <wp:wrapNone/>
              <wp:docPr id="302" name="Shape 3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00000000000001pt;margin-top:57.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817245</wp:posOffset>
              </wp:positionH>
              <wp:positionV relativeFrom="page">
                <wp:posOffset>236855</wp:posOffset>
              </wp:positionV>
              <wp:extent cx="6031865" cy="450850"/>
              <wp:wrapNone/>
              <wp:docPr id="18" name="Shape 18"/>
              <a:graphic xmlns:a="http://schemas.openxmlformats.org/drawingml/2006/main">
                <a:graphicData uri="http://schemas.microsoft.com/office/word/2010/wordprocessingShape">
                  <wps:wsp>
                    <wps:cNvSpPr txBox="1"/>
                    <wps:spPr>
                      <a:xfrm>
                        <a:ext cx="6031865" cy="4508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1408A"/>
                              <w:spacing w:val="0"/>
                              <w:w w:val="100"/>
                              <w:position w:val="0"/>
                              <w:sz w:val="42"/>
                              <w:szCs w:val="42"/>
                            </w:rPr>
                            <w:t>Nation</w:t>
                          </w:r>
                          <w:r>
                            <w:rPr>
                              <w:rFonts w:ascii="SimSun" w:eastAsia="SimSun" w:hAnsi="SimSun" w:cs="SimSun"/>
                              <w:b/>
                              <w:bCs/>
                              <w:i/>
                              <w:iCs/>
                              <w:color w:val="01408A"/>
                              <w:spacing w:val="0"/>
                              <w:w w:val="100"/>
                              <w:position w:val="0"/>
                              <w:sz w:val="50"/>
                              <w:szCs w:val="50"/>
                            </w:rPr>
                            <w:t>。</w:t>
                          </w:r>
                        </w:p>
                        <w:p>
                          <w:pPr>
                            <w:pStyle w:val="Style6"/>
                            <w:keepNext w:val="0"/>
                            <w:keepLines w:val="0"/>
                            <w:widowControl w:val="0"/>
                            <w:shd w:val="clear" w:color="auto" w:fill="auto"/>
                            <w:tabs>
                              <w:tab w:pos="8875"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044" type="#_x0000_t202" style="position:absolute;margin-left:64.349999999999994pt;margin-top:18.650000000000002pt;width:474.94999999999999pt;height:35.5pt;z-index:-188744051;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1408A"/>
                        <w:spacing w:val="0"/>
                        <w:w w:val="100"/>
                        <w:position w:val="0"/>
                        <w:sz w:val="42"/>
                        <w:szCs w:val="42"/>
                      </w:rPr>
                      <w:t>Nation</w:t>
                    </w:r>
                    <w:r>
                      <w:rPr>
                        <w:rFonts w:ascii="SimSun" w:eastAsia="SimSun" w:hAnsi="SimSun" w:cs="SimSun"/>
                        <w:b/>
                        <w:bCs/>
                        <w:i/>
                        <w:iCs/>
                        <w:color w:val="01408A"/>
                        <w:spacing w:val="0"/>
                        <w:w w:val="100"/>
                        <w:position w:val="0"/>
                        <w:sz w:val="50"/>
                        <w:szCs w:val="50"/>
                      </w:rPr>
                      <w:t>。</w:t>
                    </w:r>
                  </w:p>
                  <w:p>
                    <w:pPr>
                      <w:pStyle w:val="Style6"/>
                      <w:keepNext w:val="0"/>
                      <w:keepLines w:val="0"/>
                      <w:widowControl w:val="0"/>
                      <w:shd w:val="clear" w:color="auto" w:fill="auto"/>
                      <w:tabs>
                        <w:tab w:pos="8875"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802005</wp:posOffset>
              </wp:positionH>
              <wp:positionV relativeFrom="page">
                <wp:posOffset>727075</wp:posOffset>
              </wp:positionV>
              <wp:extent cx="6071870" cy="0"/>
              <wp:wrapNone/>
              <wp:docPr id="20" name="Shape 20"/>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63.149999999999999pt;margin-top:57.25pt;width:478.10000000000002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695960</wp:posOffset>
              </wp:positionH>
              <wp:positionV relativeFrom="page">
                <wp:posOffset>244475</wp:posOffset>
              </wp:positionV>
              <wp:extent cx="1228090" cy="405130"/>
              <wp:wrapNone/>
              <wp:docPr id="305" name="Shape 305"/>
              <a:graphic xmlns:a="http://schemas.openxmlformats.org/drawingml/2006/main">
                <a:graphicData uri="http://schemas.microsoft.com/office/word/2010/wordprocessingShape">
                  <wps:wsp>
                    <wps:cNvSpPr txBox="1"/>
                    <wps:spPr>
                      <a:xfrm>
                        <a:ext cx="1228090" cy="4051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xbxContent>
                    </wps:txbx>
                    <wps:bodyPr wrap="none" lIns="0" tIns="0" rIns="0" bIns="0">
                      <a:spAutoFit/>
                    </wps:bodyPr>
                  </wps:wsp>
                </a:graphicData>
              </a:graphic>
            </wp:anchor>
          </w:drawing>
        </mc:Choice>
        <mc:Fallback>
          <w:pict>
            <v:shape id="_x0000_s1331" type="#_x0000_t202" style="position:absolute;margin-left:54.800000000000004pt;margin-top:19.25pt;width:96.700000000000003pt;height:31.900000000000002pt;z-index:-188743851;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xbxContent>
              </v:textbox>
              <w10:wrap anchorx="page" anchory="page"/>
            </v:shape>
          </w:pict>
        </mc:Fallback>
      </mc:AlternateContent>
    </w:r>
    <w:r>
      <mc:AlternateContent>
        <mc:Choice Requires="wps">
          <w:drawing>
            <wp:anchor distT="0" distB="0" distL="0" distR="0" simplePos="0" relativeHeight="62914904" behindDoc="1" locked="0" layoutInCell="1" allowOverlap="1">
              <wp:simplePos x="0" y="0"/>
              <wp:positionH relativeFrom="page">
                <wp:posOffset>4609465</wp:posOffset>
              </wp:positionH>
              <wp:positionV relativeFrom="page">
                <wp:posOffset>588645</wp:posOffset>
              </wp:positionV>
              <wp:extent cx="2209800" cy="106680"/>
              <wp:wrapNone/>
              <wp:docPr id="307" name="Shape 307"/>
              <a:graphic xmlns:a="http://schemas.openxmlformats.org/drawingml/2006/main">
                <a:graphicData uri="http://schemas.microsoft.com/office/word/2010/wordprocessingShape">
                  <wps:wsp>
                    <wps:cNvSpPr txBox="1"/>
                    <wps:spPr>
                      <a:xfrm>
                        <a:ext cx="220980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33" type="#_x0000_t202" style="position:absolute;margin-left:362.94999999999999pt;margin-top:46.350000000000001pt;width:174.pt;height:8.4000000000000004pt;z-index:-188743849;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680720</wp:posOffset>
              </wp:positionH>
              <wp:positionV relativeFrom="page">
                <wp:posOffset>731520</wp:posOffset>
              </wp:positionV>
              <wp:extent cx="6163310" cy="0"/>
              <wp:wrapNone/>
              <wp:docPr id="309" name="Shape 3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00000000000001pt;margin-top:57.600000000000001pt;width:485.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690245</wp:posOffset>
              </wp:positionH>
              <wp:positionV relativeFrom="page">
                <wp:posOffset>205105</wp:posOffset>
              </wp:positionV>
              <wp:extent cx="6123305" cy="450850"/>
              <wp:wrapNone/>
              <wp:docPr id="318" name="Shape 318"/>
              <a:graphic xmlns:a="http://schemas.openxmlformats.org/drawingml/2006/main">
                <a:graphicData uri="http://schemas.microsoft.com/office/word/2010/wordprocessingShape">
                  <wps:wsp>
                    <wps:cNvSpPr txBox="1"/>
                    <wps:spPr>
                      <a:xfrm>
                        <a:ext cx="6123305" cy="4508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44" type="#_x0000_t202" style="position:absolute;margin-left:54.350000000000001pt;margin-top:16.149999999999999pt;width:482.15000000000003pt;height:35.5pt;z-index:-188743845;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690245</wp:posOffset>
              </wp:positionH>
              <wp:positionV relativeFrom="page">
                <wp:posOffset>205105</wp:posOffset>
              </wp:positionV>
              <wp:extent cx="6123305" cy="450850"/>
              <wp:wrapNone/>
              <wp:docPr id="322" name="Shape 322"/>
              <a:graphic xmlns:a="http://schemas.openxmlformats.org/drawingml/2006/main">
                <a:graphicData uri="http://schemas.microsoft.com/office/word/2010/wordprocessingShape">
                  <wps:wsp>
                    <wps:cNvSpPr txBox="1"/>
                    <wps:spPr>
                      <a:xfrm>
                        <a:ext cx="6123305" cy="4508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48" type="#_x0000_t202" style="position:absolute;margin-left:54.350000000000001pt;margin-top:16.149999999999999pt;width:482.15000000000003pt;height:35.5pt;z-index:-188743841;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695960</wp:posOffset>
              </wp:positionH>
              <wp:positionV relativeFrom="page">
                <wp:posOffset>244475</wp:posOffset>
              </wp:positionV>
              <wp:extent cx="1228090" cy="405130"/>
              <wp:wrapNone/>
              <wp:docPr id="344" name="Shape 344"/>
              <a:graphic xmlns:a="http://schemas.openxmlformats.org/drawingml/2006/main">
                <a:graphicData uri="http://schemas.microsoft.com/office/word/2010/wordprocessingShape">
                  <wps:wsp>
                    <wps:cNvSpPr txBox="1"/>
                    <wps:spPr>
                      <a:xfrm>
                        <a:ext cx="1228090" cy="4051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xbxContent>
                    </wps:txbx>
                    <wps:bodyPr wrap="none" lIns="0" tIns="0" rIns="0" bIns="0">
                      <a:spAutoFit/>
                    </wps:bodyPr>
                  </wps:wsp>
                </a:graphicData>
              </a:graphic>
            </wp:anchor>
          </w:drawing>
        </mc:Choice>
        <mc:Fallback>
          <w:pict>
            <v:shape id="_x0000_s1370" type="#_x0000_t202" style="position:absolute;margin-left:54.800000000000004pt;margin-top:19.25pt;width:96.700000000000003pt;height:31.900000000000002pt;z-index:-188743837;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xbxContent>
              </v:textbox>
              <w10:wrap anchorx="page" anchory="page"/>
            </v:shape>
          </w:pict>
        </mc:Fallback>
      </mc:AlternateContent>
    </w:r>
    <w:r>
      <mc:AlternateContent>
        <mc:Choice Requires="wps">
          <w:drawing>
            <wp:anchor distT="0" distB="0" distL="0" distR="0" simplePos="0" relativeHeight="62914918" behindDoc="1" locked="0" layoutInCell="1" allowOverlap="1">
              <wp:simplePos x="0" y="0"/>
              <wp:positionH relativeFrom="page">
                <wp:posOffset>4609465</wp:posOffset>
              </wp:positionH>
              <wp:positionV relativeFrom="page">
                <wp:posOffset>588645</wp:posOffset>
              </wp:positionV>
              <wp:extent cx="2209800" cy="106680"/>
              <wp:wrapNone/>
              <wp:docPr id="346" name="Shape 346"/>
              <a:graphic xmlns:a="http://schemas.openxmlformats.org/drawingml/2006/main">
                <a:graphicData uri="http://schemas.microsoft.com/office/word/2010/wordprocessingShape">
                  <wps:wsp>
                    <wps:cNvSpPr txBox="1"/>
                    <wps:spPr>
                      <a:xfrm>
                        <a:ext cx="220980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72" type="#_x0000_t202" style="position:absolute;margin-left:362.94999999999999pt;margin-top:46.350000000000001pt;width:174.pt;height:8.4000000000000004pt;z-index:-188743835;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680720</wp:posOffset>
              </wp:positionH>
              <wp:positionV relativeFrom="page">
                <wp:posOffset>731520</wp:posOffset>
              </wp:positionV>
              <wp:extent cx="6163310" cy="0"/>
              <wp:wrapNone/>
              <wp:docPr id="348" name="Shape 3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00000000000001pt;margin-top:57.600000000000001pt;width:485.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695960</wp:posOffset>
              </wp:positionH>
              <wp:positionV relativeFrom="page">
                <wp:posOffset>244475</wp:posOffset>
              </wp:positionV>
              <wp:extent cx="1228090" cy="405130"/>
              <wp:wrapNone/>
              <wp:docPr id="351" name="Shape 351"/>
              <a:graphic xmlns:a="http://schemas.openxmlformats.org/drawingml/2006/main">
                <a:graphicData uri="http://schemas.microsoft.com/office/word/2010/wordprocessingShape">
                  <wps:wsp>
                    <wps:cNvSpPr txBox="1"/>
                    <wps:spPr>
                      <a:xfrm>
                        <a:ext cx="1228090" cy="4051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xbxContent>
                    </wps:txbx>
                    <wps:bodyPr wrap="none" lIns="0" tIns="0" rIns="0" bIns="0">
                      <a:spAutoFit/>
                    </wps:bodyPr>
                  </wps:wsp>
                </a:graphicData>
              </a:graphic>
            </wp:anchor>
          </w:drawing>
        </mc:Choice>
        <mc:Fallback>
          <w:pict>
            <v:shape id="_x0000_s1377" type="#_x0000_t202" style="position:absolute;margin-left:54.800000000000004pt;margin-top:19.25pt;width:96.700000000000003pt;height:31.900000000000002pt;z-index:-188743831;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xbxContent>
              </v:textbox>
              <w10:wrap anchorx="page" anchory="page"/>
            </v:shape>
          </w:pict>
        </mc:Fallback>
      </mc:AlternateContent>
    </w:r>
    <w:r>
      <mc:AlternateContent>
        <mc:Choice Requires="wps">
          <w:drawing>
            <wp:anchor distT="0" distB="0" distL="0" distR="0" simplePos="0" relativeHeight="62914924" behindDoc="1" locked="0" layoutInCell="1" allowOverlap="1">
              <wp:simplePos x="0" y="0"/>
              <wp:positionH relativeFrom="page">
                <wp:posOffset>4609465</wp:posOffset>
              </wp:positionH>
              <wp:positionV relativeFrom="page">
                <wp:posOffset>588645</wp:posOffset>
              </wp:positionV>
              <wp:extent cx="2209800" cy="106680"/>
              <wp:wrapNone/>
              <wp:docPr id="353" name="Shape 353"/>
              <a:graphic xmlns:a="http://schemas.openxmlformats.org/drawingml/2006/main">
                <a:graphicData uri="http://schemas.microsoft.com/office/word/2010/wordprocessingShape">
                  <wps:wsp>
                    <wps:cNvSpPr txBox="1"/>
                    <wps:spPr>
                      <a:xfrm>
                        <a:ext cx="220980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79" type="#_x0000_t202" style="position:absolute;margin-left:362.94999999999999pt;margin-top:46.350000000000001pt;width:174.pt;height:8.4000000000000004pt;z-index:-188743829;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680720</wp:posOffset>
              </wp:positionH>
              <wp:positionV relativeFrom="page">
                <wp:posOffset>731520</wp:posOffset>
              </wp:positionV>
              <wp:extent cx="6163310" cy="0"/>
              <wp:wrapNone/>
              <wp:docPr id="355" name="Shape 3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00000000000001pt;margin-top:57.600000000000001pt;width:485.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690245</wp:posOffset>
              </wp:positionH>
              <wp:positionV relativeFrom="page">
                <wp:posOffset>205105</wp:posOffset>
              </wp:positionV>
              <wp:extent cx="6123305" cy="450850"/>
              <wp:wrapNone/>
              <wp:docPr id="370" name="Shape 370"/>
              <a:graphic xmlns:a="http://schemas.openxmlformats.org/drawingml/2006/main">
                <a:graphicData uri="http://schemas.microsoft.com/office/word/2010/wordprocessingShape">
                  <wps:wsp>
                    <wps:cNvSpPr txBox="1"/>
                    <wps:spPr>
                      <a:xfrm>
                        <a:ext cx="6123305" cy="4508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96" type="#_x0000_t202" style="position:absolute;margin-left:54.350000000000001pt;margin-top:16.149999999999999pt;width:482.15000000000003pt;height:35.5pt;z-index:-188743825;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690245</wp:posOffset>
              </wp:positionH>
              <wp:positionV relativeFrom="page">
                <wp:posOffset>205105</wp:posOffset>
              </wp:positionV>
              <wp:extent cx="6123305" cy="450850"/>
              <wp:wrapNone/>
              <wp:docPr id="374" name="Shape 374"/>
              <a:graphic xmlns:a="http://schemas.openxmlformats.org/drawingml/2006/main">
                <a:graphicData uri="http://schemas.microsoft.com/office/word/2010/wordprocessingShape">
                  <wps:wsp>
                    <wps:cNvSpPr txBox="1"/>
                    <wps:spPr>
                      <a:xfrm>
                        <a:ext cx="6123305" cy="4508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00" type="#_x0000_t202" style="position:absolute;margin-left:54.350000000000001pt;margin-top:16.149999999999999pt;width:482.15000000000003pt;height:35.5pt;z-index:-188743821;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690245</wp:posOffset>
              </wp:positionH>
              <wp:positionV relativeFrom="page">
                <wp:posOffset>205105</wp:posOffset>
              </wp:positionV>
              <wp:extent cx="6123305" cy="450850"/>
              <wp:wrapNone/>
              <wp:docPr id="382" name="Shape 382"/>
              <a:graphic xmlns:a="http://schemas.openxmlformats.org/drawingml/2006/main">
                <a:graphicData uri="http://schemas.microsoft.com/office/word/2010/wordprocessingShape">
                  <wps:wsp>
                    <wps:cNvSpPr txBox="1"/>
                    <wps:spPr>
                      <a:xfrm>
                        <a:ext cx="6123305" cy="4508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08" type="#_x0000_t202" style="position:absolute;margin-left:54.350000000000001pt;margin-top:16.149999999999999pt;width:482.15000000000003pt;height:35.5pt;z-index:-188743817;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690245</wp:posOffset>
              </wp:positionH>
              <wp:positionV relativeFrom="page">
                <wp:posOffset>205105</wp:posOffset>
              </wp:positionV>
              <wp:extent cx="6123305" cy="450850"/>
              <wp:wrapNone/>
              <wp:docPr id="386" name="Shape 386"/>
              <a:graphic xmlns:a="http://schemas.openxmlformats.org/drawingml/2006/main">
                <a:graphicData uri="http://schemas.microsoft.com/office/word/2010/wordprocessingShape">
                  <wps:wsp>
                    <wps:cNvSpPr txBox="1"/>
                    <wps:spPr>
                      <a:xfrm>
                        <a:ext cx="6123305" cy="4508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12" type="#_x0000_t202" style="position:absolute;margin-left:54.350000000000001pt;margin-top:16.149999999999999pt;width:482.15000000000003pt;height:35.5pt;z-index:-188743813;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767715</wp:posOffset>
              </wp:positionH>
              <wp:positionV relativeFrom="page">
                <wp:posOffset>244475</wp:posOffset>
              </wp:positionV>
              <wp:extent cx="1228090" cy="405130"/>
              <wp:wrapNone/>
              <wp:docPr id="390" name="Shape 390"/>
              <a:graphic xmlns:a="http://schemas.openxmlformats.org/drawingml/2006/main">
                <a:graphicData uri="http://schemas.microsoft.com/office/word/2010/wordprocessingShape">
                  <wps:wsp>
                    <wps:cNvSpPr txBox="1"/>
                    <wps:spPr>
                      <a:xfrm>
                        <a:ext cx="1228090" cy="4051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xbxContent>
                    </wps:txbx>
                    <wps:bodyPr wrap="none" lIns="0" tIns="0" rIns="0" bIns="0">
                      <a:spAutoFit/>
                    </wps:bodyPr>
                  </wps:wsp>
                </a:graphicData>
              </a:graphic>
            </wp:anchor>
          </w:drawing>
        </mc:Choice>
        <mc:Fallback>
          <w:pict>
            <v:shape id="_x0000_s1416" type="#_x0000_t202" style="position:absolute;margin-left:60.450000000000003pt;margin-top:19.25pt;width:96.700000000000003pt;height:31.900000000000002pt;z-index:-188743809;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xbxContent>
              </v:textbox>
              <w10:wrap anchorx="page" anchory="page"/>
            </v:shape>
          </w:pict>
        </mc:Fallback>
      </mc:AlternateContent>
    </w:r>
    <w:r>
      <mc:AlternateContent>
        <mc:Choice Requires="wps">
          <w:drawing>
            <wp:anchor distT="0" distB="0" distL="0" distR="0" simplePos="0" relativeHeight="62914946" behindDoc="1" locked="0" layoutInCell="1" allowOverlap="1">
              <wp:simplePos x="0" y="0"/>
              <wp:positionH relativeFrom="page">
                <wp:posOffset>4681220</wp:posOffset>
              </wp:positionH>
              <wp:positionV relativeFrom="page">
                <wp:posOffset>588645</wp:posOffset>
              </wp:positionV>
              <wp:extent cx="2209800" cy="106680"/>
              <wp:wrapNone/>
              <wp:docPr id="392" name="Shape 392"/>
              <a:graphic xmlns:a="http://schemas.openxmlformats.org/drawingml/2006/main">
                <a:graphicData uri="http://schemas.microsoft.com/office/word/2010/wordprocessingShape">
                  <wps:wsp>
                    <wps:cNvSpPr txBox="1"/>
                    <wps:spPr>
                      <a:xfrm>
                        <a:ext cx="220980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18" type="#_x0000_t202" style="position:absolute;margin-left:368.60000000000002pt;margin-top:46.350000000000001pt;width:174.pt;height:8.4000000000000004pt;z-index:-188743807;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752475</wp:posOffset>
              </wp:positionH>
              <wp:positionV relativeFrom="page">
                <wp:posOffset>731520</wp:posOffset>
              </wp:positionV>
              <wp:extent cx="6163310" cy="0"/>
              <wp:wrapNone/>
              <wp:docPr id="394" name="Shape 3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25pt;margin-top:57.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817245</wp:posOffset>
              </wp:positionH>
              <wp:positionV relativeFrom="page">
                <wp:posOffset>236855</wp:posOffset>
              </wp:positionV>
              <wp:extent cx="6031865" cy="450850"/>
              <wp:wrapNone/>
              <wp:docPr id="24" name="Shape 24"/>
              <a:graphic xmlns:a="http://schemas.openxmlformats.org/drawingml/2006/main">
                <a:graphicData uri="http://schemas.microsoft.com/office/word/2010/wordprocessingShape">
                  <wps:wsp>
                    <wps:cNvSpPr txBox="1"/>
                    <wps:spPr>
                      <a:xfrm>
                        <a:ext cx="6031865" cy="4508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1408A"/>
                              <w:spacing w:val="0"/>
                              <w:w w:val="100"/>
                              <w:position w:val="0"/>
                              <w:sz w:val="42"/>
                              <w:szCs w:val="42"/>
                            </w:rPr>
                            <w:t>Nation</w:t>
                          </w:r>
                          <w:r>
                            <w:rPr>
                              <w:rFonts w:ascii="SimSun" w:eastAsia="SimSun" w:hAnsi="SimSun" w:cs="SimSun"/>
                              <w:b/>
                              <w:bCs/>
                              <w:i/>
                              <w:iCs/>
                              <w:color w:val="01408A"/>
                              <w:spacing w:val="0"/>
                              <w:w w:val="100"/>
                              <w:position w:val="0"/>
                              <w:sz w:val="50"/>
                              <w:szCs w:val="50"/>
                            </w:rPr>
                            <w:t>。</w:t>
                          </w:r>
                        </w:p>
                        <w:p>
                          <w:pPr>
                            <w:pStyle w:val="Style6"/>
                            <w:keepNext w:val="0"/>
                            <w:keepLines w:val="0"/>
                            <w:widowControl w:val="0"/>
                            <w:shd w:val="clear" w:color="auto" w:fill="auto"/>
                            <w:tabs>
                              <w:tab w:pos="8875"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050" type="#_x0000_t202" style="position:absolute;margin-left:64.349999999999994pt;margin-top:18.650000000000002pt;width:474.94999999999999pt;height:35.5pt;z-index:-188744047;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1408A"/>
                        <w:spacing w:val="0"/>
                        <w:w w:val="100"/>
                        <w:position w:val="0"/>
                        <w:sz w:val="42"/>
                        <w:szCs w:val="42"/>
                      </w:rPr>
                      <w:t>Nation</w:t>
                    </w:r>
                    <w:r>
                      <w:rPr>
                        <w:rFonts w:ascii="SimSun" w:eastAsia="SimSun" w:hAnsi="SimSun" w:cs="SimSun"/>
                        <w:b/>
                        <w:bCs/>
                        <w:i/>
                        <w:iCs/>
                        <w:color w:val="01408A"/>
                        <w:spacing w:val="0"/>
                        <w:w w:val="100"/>
                        <w:position w:val="0"/>
                        <w:sz w:val="50"/>
                        <w:szCs w:val="50"/>
                      </w:rPr>
                      <w:t>。</w:t>
                    </w:r>
                  </w:p>
                  <w:p>
                    <w:pPr>
                      <w:pStyle w:val="Style6"/>
                      <w:keepNext w:val="0"/>
                      <w:keepLines w:val="0"/>
                      <w:widowControl w:val="0"/>
                      <w:shd w:val="clear" w:color="auto" w:fill="auto"/>
                      <w:tabs>
                        <w:tab w:pos="8875"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802005</wp:posOffset>
              </wp:positionH>
              <wp:positionV relativeFrom="page">
                <wp:posOffset>727075</wp:posOffset>
              </wp:positionV>
              <wp:extent cx="6071870" cy="0"/>
              <wp:wrapNone/>
              <wp:docPr id="26" name="Shape 26"/>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63.149999999999999pt;margin-top:57.25pt;width:478.10000000000002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690245</wp:posOffset>
              </wp:positionH>
              <wp:positionV relativeFrom="page">
                <wp:posOffset>205105</wp:posOffset>
              </wp:positionV>
              <wp:extent cx="6123305" cy="450850"/>
              <wp:wrapNone/>
              <wp:docPr id="397" name="Shape 397"/>
              <a:graphic xmlns:a="http://schemas.openxmlformats.org/drawingml/2006/main">
                <a:graphicData uri="http://schemas.microsoft.com/office/word/2010/wordprocessingShape">
                  <wps:wsp>
                    <wps:cNvSpPr txBox="1"/>
                    <wps:spPr>
                      <a:xfrm>
                        <a:ext cx="6123305" cy="4508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23" type="#_x0000_t202" style="position:absolute;margin-left:54.350000000000001pt;margin-top:16.149999999999999pt;width:482.15000000000003pt;height:35.5pt;z-index:-188743803;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690245</wp:posOffset>
              </wp:positionH>
              <wp:positionV relativeFrom="page">
                <wp:posOffset>205105</wp:posOffset>
              </wp:positionV>
              <wp:extent cx="6123305" cy="450850"/>
              <wp:wrapNone/>
              <wp:docPr id="401" name="Shape 401"/>
              <a:graphic xmlns:a="http://schemas.openxmlformats.org/drawingml/2006/main">
                <a:graphicData uri="http://schemas.microsoft.com/office/word/2010/wordprocessingShape">
                  <wps:wsp>
                    <wps:cNvSpPr txBox="1"/>
                    <wps:spPr>
                      <a:xfrm>
                        <a:ext cx="6123305" cy="4508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27" type="#_x0000_t202" style="position:absolute;margin-left:54.350000000000001pt;margin-top:16.149999999999999pt;width:482.15000000000003pt;height:35.5pt;z-index:-188743799;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767715</wp:posOffset>
              </wp:positionH>
              <wp:positionV relativeFrom="page">
                <wp:posOffset>244475</wp:posOffset>
              </wp:positionV>
              <wp:extent cx="1228090" cy="405130"/>
              <wp:wrapNone/>
              <wp:docPr id="405" name="Shape 405"/>
              <a:graphic xmlns:a="http://schemas.openxmlformats.org/drawingml/2006/main">
                <a:graphicData uri="http://schemas.microsoft.com/office/word/2010/wordprocessingShape">
                  <wps:wsp>
                    <wps:cNvSpPr txBox="1"/>
                    <wps:spPr>
                      <a:xfrm>
                        <a:ext cx="1228090" cy="4051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xbxContent>
                    </wps:txbx>
                    <wps:bodyPr wrap="none" lIns="0" tIns="0" rIns="0" bIns="0">
                      <a:spAutoFit/>
                    </wps:bodyPr>
                  </wps:wsp>
                </a:graphicData>
              </a:graphic>
            </wp:anchor>
          </w:drawing>
        </mc:Choice>
        <mc:Fallback>
          <w:pict>
            <v:shape id="_x0000_s1431" type="#_x0000_t202" style="position:absolute;margin-left:60.450000000000003pt;margin-top:19.25pt;width:96.700000000000003pt;height:31.900000000000002pt;z-index:-188743795;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xbxContent>
              </v:textbox>
              <w10:wrap anchorx="page" anchory="page"/>
            </v:shape>
          </w:pict>
        </mc:Fallback>
      </mc:AlternateContent>
    </w:r>
    <w:r>
      <mc:AlternateContent>
        <mc:Choice Requires="wps">
          <w:drawing>
            <wp:anchor distT="0" distB="0" distL="0" distR="0" simplePos="0" relativeHeight="62914960" behindDoc="1" locked="0" layoutInCell="1" allowOverlap="1">
              <wp:simplePos x="0" y="0"/>
              <wp:positionH relativeFrom="page">
                <wp:posOffset>4681220</wp:posOffset>
              </wp:positionH>
              <wp:positionV relativeFrom="page">
                <wp:posOffset>588645</wp:posOffset>
              </wp:positionV>
              <wp:extent cx="2209800" cy="106680"/>
              <wp:wrapNone/>
              <wp:docPr id="407" name="Shape 407"/>
              <a:graphic xmlns:a="http://schemas.openxmlformats.org/drawingml/2006/main">
                <a:graphicData uri="http://schemas.microsoft.com/office/word/2010/wordprocessingShape">
                  <wps:wsp>
                    <wps:cNvSpPr txBox="1"/>
                    <wps:spPr>
                      <a:xfrm>
                        <a:ext cx="220980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33" type="#_x0000_t202" style="position:absolute;margin-left:368.60000000000002pt;margin-top:46.350000000000001pt;width:174.pt;height:8.4000000000000004pt;z-index:-188743793;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752475</wp:posOffset>
              </wp:positionH>
              <wp:positionV relativeFrom="page">
                <wp:posOffset>731520</wp:posOffset>
              </wp:positionV>
              <wp:extent cx="6163310" cy="0"/>
              <wp:wrapNone/>
              <wp:docPr id="409" name="Shape 4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25pt;margin-top:57.600000000000001pt;width:485.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690245</wp:posOffset>
              </wp:positionH>
              <wp:positionV relativeFrom="page">
                <wp:posOffset>205105</wp:posOffset>
              </wp:positionV>
              <wp:extent cx="6123305" cy="450850"/>
              <wp:wrapNone/>
              <wp:docPr id="414" name="Shape 414"/>
              <a:graphic xmlns:a="http://schemas.openxmlformats.org/drawingml/2006/main">
                <a:graphicData uri="http://schemas.microsoft.com/office/word/2010/wordprocessingShape">
                  <wps:wsp>
                    <wps:cNvSpPr txBox="1"/>
                    <wps:spPr>
                      <a:xfrm>
                        <a:ext cx="6123305" cy="4508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40" type="#_x0000_t202" style="position:absolute;margin-left:54.350000000000001pt;margin-top:16.149999999999999pt;width:482.15000000000003pt;height:35.5pt;z-index:-188743789;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767715</wp:posOffset>
              </wp:positionH>
              <wp:positionV relativeFrom="page">
                <wp:posOffset>244475</wp:posOffset>
              </wp:positionV>
              <wp:extent cx="1228090" cy="405130"/>
              <wp:wrapNone/>
              <wp:docPr id="418" name="Shape 418"/>
              <a:graphic xmlns:a="http://schemas.openxmlformats.org/drawingml/2006/main">
                <a:graphicData uri="http://schemas.microsoft.com/office/word/2010/wordprocessingShape">
                  <wps:wsp>
                    <wps:cNvSpPr txBox="1"/>
                    <wps:spPr>
                      <a:xfrm>
                        <a:ext cx="1228090" cy="4051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xbxContent>
                    </wps:txbx>
                    <wps:bodyPr wrap="none" lIns="0" tIns="0" rIns="0" bIns="0">
                      <a:spAutoFit/>
                    </wps:bodyPr>
                  </wps:wsp>
                </a:graphicData>
              </a:graphic>
            </wp:anchor>
          </w:drawing>
        </mc:Choice>
        <mc:Fallback>
          <w:pict>
            <v:shape id="_x0000_s1444" type="#_x0000_t202" style="position:absolute;margin-left:60.450000000000003pt;margin-top:19.25pt;width:96.700000000000003pt;height:31.900000000000002pt;z-index:-188743785;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xbxContent>
              </v:textbox>
              <w10:wrap anchorx="page" anchory="page"/>
            </v:shape>
          </w:pict>
        </mc:Fallback>
      </mc:AlternateContent>
    </w:r>
    <w:r>
      <mc:AlternateContent>
        <mc:Choice Requires="wps">
          <w:drawing>
            <wp:anchor distT="0" distB="0" distL="0" distR="0" simplePos="0" relativeHeight="62914970" behindDoc="1" locked="0" layoutInCell="1" allowOverlap="1">
              <wp:simplePos x="0" y="0"/>
              <wp:positionH relativeFrom="page">
                <wp:posOffset>4681220</wp:posOffset>
              </wp:positionH>
              <wp:positionV relativeFrom="page">
                <wp:posOffset>588645</wp:posOffset>
              </wp:positionV>
              <wp:extent cx="2209800" cy="106680"/>
              <wp:wrapNone/>
              <wp:docPr id="420" name="Shape 420"/>
              <a:graphic xmlns:a="http://schemas.openxmlformats.org/drawingml/2006/main">
                <a:graphicData uri="http://schemas.microsoft.com/office/word/2010/wordprocessingShape">
                  <wps:wsp>
                    <wps:cNvSpPr txBox="1"/>
                    <wps:spPr>
                      <a:xfrm>
                        <a:ext cx="220980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46" type="#_x0000_t202" style="position:absolute;margin-left:368.60000000000002pt;margin-top:46.350000000000001pt;width:174.pt;height:8.4000000000000004pt;z-index:-188743783;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752475</wp:posOffset>
              </wp:positionH>
              <wp:positionV relativeFrom="page">
                <wp:posOffset>731520</wp:posOffset>
              </wp:positionV>
              <wp:extent cx="6163310" cy="0"/>
              <wp:wrapNone/>
              <wp:docPr id="422" name="Shape 4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25pt;margin-top:57.600000000000001pt;width:485.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690245</wp:posOffset>
              </wp:positionH>
              <wp:positionV relativeFrom="page">
                <wp:posOffset>205105</wp:posOffset>
              </wp:positionV>
              <wp:extent cx="6123305" cy="450850"/>
              <wp:wrapNone/>
              <wp:docPr id="425" name="Shape 425"/>
              <a:graphic xmlns:a="http://schemas.openxmlformats.org/drawingml/2006/main">
                <a:graphicData uri="http://schemas.microsoft.com/office/word/2010/wordprocessingShape">
                  <wps:wsp>
                    <wps:cNvSpPr txBox="1"/>
                    <wps:spPr>
                      <a:xfrm>
                        <a:ext cx="6123305" cy="4508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51" type="#_x0000_t202" style="position:absolute;margin-left:54.350000000000001pt;margin-top:16.149999999999999pt;width:482.15000000000003pt;height:35.5pt;z-index:-188743779;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690245</wp:posOffset>
              </wp:positionH>
              <wp:positionV relativeFrom="page">
                <wp:posOffset>205105</wp:posOffset>
              </wp:positionV>
              <wp:extent cx="6123305" cy="450850"/>
              <wp:wrapNone/>
              <wp:docPr id="429" name="Shape 429"/>
              <a:graphic xmlns:a="http://schemas.openxmlformats.org/drawingml/2006/main">
                <a:graphicData uri="http://schemas.microsoft.com/office/word/2010/wordprocessingShape">
                  <wps:wsp>
                    <wps:cNvSpPr txBox="1"/>
                    <wps:spPr>
                      <a:xfrm>
                        <a:ext cx="6123305" cy="4508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55" type="#_x0000_t202" style="position:absolute;margin-left:54.350000000000001pt;margin-top:16.149999999999999pt;width:482.15000000000003pt;height:35.5pt;z-index:-188743775;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690245</wp:posOffset>
              </wp:positionH>
              <wp:positionV relativeFrom="page">
                <wp:posOffset>205105</wp:posOffset>
              </wp:positionV>
              <wp:extent cx="6123305" cy="450850"/>
              <wp:wrapNone/>
              <wp:docPr id="433" name="Shape 433"/>
              <a:graphic xmlns:a="http://schemas.openxmlformats.org/drawingml/2006/main">
                <a:graphicData uri="http://schemas.microsoft.com/office/word/2010/wordprocessingShape">
                  <wps:wsp>
                    <wps:cNvSpPr txBox="1"/>
                    <wps:spPr>
                      <a:xfrm>
                        <a:ext cx="6123305" cy="4508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59" type="#_x0000_t202" style="position:absolute;margin-left:54.350000000000001pt;margin-top:16.149999999999999pt;width:482.15000000000003pt;height:35.5pt;z-index:-188743771;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690245</wp:posOffset>
              </wp:positionH>
              <wp:positionV relativeFrom="page">
                <wp:posOffset>205105</wp:posOffset>
              </wp:positionV>
              <wp:extent cx="6123305" cy="450850"/>
              <wp:wrapNone/>
              <wp:docPr id="437" name="Shape 437"/>
              <a:graphic xmlns:a="http://schemas.openxmlformats.org/drawingml/2006/main">
                <a:graphicData uri="http://schemas.microsoft.com/office/word/2010/wordprocessingShape">
                  <wps:wsp>
                    <wps:cNvSpPr txBox="1"/>
                    <wps:spPr>
                      <a:xfrm>
                        <a:ext cx="6123305" cy="4508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63" type="#_x0000_t202" style="position:absolute;margin-left:54.350000000000001pt;margin-top:16.149999999999999pt;width:482.15000000000003pt;height:35.5pt;z-index:-188743767;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725170</wp:posOffset>
              </wp:positionH>
              <wp:positionV relativeFrom="page">
                <wp:posOffset>244475</wp:posOffset>
              </wp:positionV>
              <wp:extent cx="1228090" cy="405130"/>
              <wp:wrapNone/>
              <wp:docPr id="441" name="Shape 441"/>
              <a:graphic xmlns:a="http://schemas.openxmlformats.org/drawingml/2006/main">
                <a:graphicData uri="http://schemas.microsoft.com/office/word/2010/wordprocessingShape">
                  <wps:wsp>
                    <wps:cNvSpPr txBox="1"/>
                    <wps:spPr>
                      <a:xfrm>
                        <a:ext cx="1228090" cy="4051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xbxContent>
                    </wps:txbx>
                    <wps:bodyPr wrap="none" lIns="0" tIns="0" rIns="0" bIns="0">
                      <a:spAutoFit/>
                    </wps:bodyPr>
                  </wps:wsp>
                </a:graphicData>
              </a:graphic>
            </wp:anchor>
          </w:drawing>
        </mc:Choice>
        <mc:Fallback>
          <w:pict>
            <v:shape id="_x0000_s1467" type="#_x0000_t202" style="position:absolute;margin-left:57.100000000000001pt;margin-top:19.25pt;width:96.700000000000003pt;height:31.900000000000002pt;z-index:-188743763;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xbxContent>
              </v:textbox>
              <w10:wrap anchorx="page" anchory="page"/>
            </v:shape>
          </w:pict>
        </mc:Fallback>
      </mc:AlternateContent>
    </w:r>
    <w:r>
      <mc:AlternateContent>
        <mc:Choice Requires="wps">
          <w:drawing>
            <wp:anchor distT="0" distB="0" distL="0" distR="0" simplePos="0" relativeHeight="62914992" behindDoc="1" locked="0" layoutInCell="1" allowOverlap="1">
              <wp:simplePos x="0" y="0"/>
              <wp:positionH relativeFrom="page">
                <wp:posOffset>4638675</wp:posOffset>
              </wp:positionH>
              <wp:positionV relativeFrom="page">
                <wp:posOffset>588645</wp:posOffset>
              </wp:positionV>
              <wp:extent cx="2209800" cy="106680"/>
              <wp:wrapNone/>
              <wp:docPr id="443" name="Shape 443"/>
              <a:graphic xmlns:a="http://schemas.openxmlformats.org/drawingml/2006/main">
                <a:graphicData uri="http://schemas.microsoft.com/office/word/2010/wordprocessingShape">
                  <wps:wsp>
                    <wps:cNvSpPr txBox="1"/>
                    <wps:spPr>
                      <a:xfrm>
                        <a:ext cx="220980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69" type="#_x0000_t202" style="position:absolute;margin-left:365.25pt;margin-top:46.350000000000001pt;width:174.pt;height:8.4000000000000004pt;z-index:-188743761;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731520</wp:posOffset>
              </wp:positionV>
              <wp:extent cx="6163310" cy="0"/>
              <wp:wrapNone/>
              <wp:docPr id="445" name="Shape 4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99999999999999pt;margin-top:57.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817245</wp:posOffset>
              </wp:positionH>
              <wp:positionV relativeFrom="page">
                <wp:posOffset>236855</wp:posOffset>
              </wp:positionV>
              <wp:extent cx="6031865" cy="450850"/>
              <wp:wrapNone/>
              <wp:docPr id="29" name="Shape 29"/>
              <a:graphic xmlns:a="http://schemas.openxmlformats.org/drawingml/2006/main">
                <a:graphicData uri="http://schemas.microsoft.com/office/word/2010/wordprocessingShape">
                  <wps:wsp>
                    <wps:cNvSpPr txBox="1"/>
                    <wps:spPr>
                      <a:xfrm>
                        <a:ext cx="6031865" cy="4508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1408A"/>
                              <w:spacing w:val="0"/>
                              <w:w w:val="100"/>
                              <w:position w:val="0"/>
                              <w:sz w:val="42"/>
                              <w:szCs w:val="42"/>
                            </w:rPr>
                            <w:t>Nation</w:t>
                          </w:r>
                          <w:r>
                            <w:rPr>
                              <w:rFonts w:ascii="SimSun" w:eastAsia="SimSun" w:hAnsi="SimSun" w:cs="SimSun"/>
                              <w:b/>
                              <w:bCs/>
                              <w:i/>
                              <w:iCs/>
                              <w:color w:val="01408A"/>
                              <w:spacing w:val="0"/>
                              <w:w w:val="100"/>
                              <w:position w:val="0"/>
                              <w:sz w:val="50"/>
                              <w:szCs w:val="50"/>
                            </w:rPr>
                            <w:t>。</w:t>
                          </w:r>
                        </w:p>
                        <w:p>
                          <w:pPr>
                            <w:pStyle w:val="Style6"/>
                            <w:keepNext w:val="0"/>
                            <w:keepLines w:val="0"/>
                            <w:widowControl w:val="0"/>
                            <w:shd w:val="clear" w:color="auto" w:fill="auto"/>
                            <w:tabs>
                              <w:tab w:pos="8875"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055" type="#_x0000_t202" style="position:absolute;margin-left:64.349999999999994pt;margin-top:18.650000000000002pt;width:474.94999999999999pt;height:35.5pt;z-index:-18874404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1408A"/>
                        <w:spacing w:val="0"/>
                        <w:w w:val="100"/>
                        <w:position w:val="0"/>
                        <w:sz w:val="42"/>
                        <w:szCs w:val="42"/>
                      </w:rPr>
                      <w:t>Nation</w:t>
                    </w:r>
                    <w:r>
                      <w:rPr>
                        <w:rFonts w:ascii="SimSun" w:eastAsia="SimSun" w:hAnsi="SimSun" w:cs="SimSun"/>
                        <w:b/>
                        <w:bCs/>
                        <w:i/>
                        <w:iCs/>
                        <w:color w:val="01408A"/>
                        <w:spacing w:val="0"/>
                        <w:w w:val="100"/>
                        <w:position w:val="0"/>
                        <w:sz w:val="50"/>
                        <w:szCs w:val="50"/>
                      </w:rPr>
                      <w:t>。</w:t>
                    </w:r>
                  </w:p>
                  <w:p>
                    <w:pPr>
                      <w:pStyle w:val="Style6"/>
                      <w:keepNext w:val="0"/>
                      <w:keepLines w:val="0"/>
                      <w:widowControl w:val="0"/>
                      <w:shd w:val="clear" w:color="auto" w:fill="auto"/>
                      <w:tabs>
                        <w:tab w:pos="8875"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802005</wp:posOffset>
              </wp:positionH>
              <wp:positionV relativeFrom="page">
                <wp:posOffset>727075</wp:posOffset>
              </wp:positionV>
              <wp:extent cx="6071870" cy="0"/>
              <wp:wrapNone/>
              <wp:docPr id="31" name="Shape 31"/>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63.149999999999999pt;margin-top:57.25pt;width:478.10000000000002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710565</wp:posOffset>
              </wp:positionH>
              <wp:positionV relativeFrom="page">
                <wp:posOffset>244475</wp:posOffset>
              </wp:positionV>
              <wp:extent cx="6123305" cy="450850"/>
              <wp:wrapNone/>
              <wp:docPr id="448" name="Shape 448"/>
              <a:graphic xmlns:a="http://schemas.openxmlformats.org/drawingml/2006/main">
                <a:graphicData uri="http://schemas.microsoft.com/office/word/2010/wordprocessingShape">
                  <wps:wsp>
                    <wps:cNvSpPr txBox="1"/>
                    <wps:spPr>
                      <a:xfrm>
                        <a:ext cx="6123305" cy="4508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74" type="#_x0000_t202" style="position:absolute;margin-left:55.950000000000003pt;margin-top:19.25pt;width:482.15000000000003pt;height:35.5pt;z-index:-188743757;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731520</wp:posOffset>
              </wp:positionV>
              <wp:extent cx="6163310" cy="0"/>
              <wp:wrapNone/>
              <wp:docPr id="450" name="Shape 4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7.600000000000001pt;width:485.3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710565</wp:posOffset>
              </wp:positionH>
              <wp:positionV relativeFrom="page">
                <wp:posOffset>244475</wp:posOffset>
              </wp:positionV>
              <wp:extent cx="6123305" cy="450850"/>
              <wp:wrapNone/>
              <wp:docPr id="451" name="Shape 451"/>
              <a:graphic xmlns:a="http://schemas.openxmlformats.org/drawingml/2006/main">
                <a:graphicData uri="http://schemas.microsoft.com/office/word/2010/wordprocessingShape">
                  <wps:wsp>
                    <wps:cNvSpPr txBox="1"/>
                    <wps:spPr>
                      <a:xfrm>
                        <a:ext cx="6123305" cy="4508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77" type="#_x0000_t202" style="position:absolute;margin-left:55.950000000000003pt;margin-top:19.25pt;width:482.15000000000003pt;height:35.5pt;z-index:-188743755;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731520</wp:posOffset>
              </wp:positionV>
              <wp:extent cx="6163310" cy="0"/>
              <wp:wrapNone/>
              <wp:docPr id="453" name="Shape 4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7.600000000000001pt;width:485.3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690245</wp:posOffset>
              </wp:positionH>
              <wp:positionV relativeFrom="page">
                <wp:posOffset>205105</wp:posOffset>
              </wp:positionV>
              <wp:extent cx="6123305" cy="450850"/>
              <wp:wrapNone/>
              <wp:docPr id="454" name="Shape 454"/>
              <a:graphic xmlns:a="http://schemas.openxmlformats.org/drawingml/2006/main">
                <a:graphicData uri="http://schemas.microsoft.com/office/word/2010/wordprocessingShape">
                  <wps:wsp>
                    <wps:cNvSpPr txBox="1"/>
                    <wps:spPr>
                      <a:xfrm>
                        <a:ext cx="6123305" cy="4508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80" type="#_x0000_t202" style="position:absolute;margin-left:54.350000000000001pt;margin-top:16.149999999999999pt;width:482.15000000000003pt;height:35.5pt;z-index:-188743753;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690245</wp:posOffset>
              </wp:positionH>
              <wp:positionV relativeFrom="page">
                <wp:posOffset>205105</wp:posOffset>
              </wp:positionV>
              <wp:extent cx="6123305" cy="450850"/>
              <wp:wrapNone/>
              <wp:docPr id="458" name="Shape 458"/>
              <a:graphic xmlns:a="http://schemas.openxmlformats.org/drawingml/2006/main">
                <a:graphicData uri="http://schemas.microsoft.com/office/word/2010/wordprocessingShape">
                  <wps:wsp>
                    <wps:cNvSpPr txBox="1"/>
                    <wps:spPr>
                      <a:xfrm>
                        <a:ext cx="6123305" cy="4508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84" type="#_x0000_t202" style="position:absolute;margin-left:54.350000000000001pt;margin-top:16.149999999999999pt;width:482.15000000000003pt;height:35.5pt;z-index:-188743749;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710565</wp:posOffset>
              </wp:positionH>
              <wp:positionV relativeFrom="page">
                <wp:posOffset>244475</wp:posOffset>
              </wp:positionV>
              <wp:extent cx="6123305" cy="450850"/>
              <wp:wrapNone/>
              <wp:docPr id="462" name="Shape 462"/>
              <a:graphic xmlns:a="http://schemas.openxmlformats.org/drawingml/2006/main">
                <a:graphicData uri="http://schemas.microsoft.com/office/word/2010/wordprocessingShape">
                  <wps:wsp>
                    <wps:cNvSpPr txBox="1"/>
                    <wps:spPr>
                      <a:xfrm>
                        <a:ext cx="6123305" cy="4508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88" type="#_x0000_t202" style="position:absolute;margin-left:55.950000000000003pt;margin-top:19.25pt;width:482.15000000000003pt;height:35.5pt;z-index:-188743745;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731520</wp:posOffset>
              </wp:positionV>
              <wp:extent cx="6163310" cy="0"/>
              <wp:wrapNone/>
              <wp:docPr id="464" name="Shape 4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7.600000000000001pt;width:485.3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710565</wp:posOffset>
              </wp:positionH>
              <wp:positionV relativeFrom="page">
                <wp:posOffset>244475</wp:posOffset>
              </wp:positionV>
              <wp:extent cx="6123305" cy="450850"/>
              <wp:wrapNone/>
              <wp:docPr id="465" name="Shape 465"/>
              <a:graphic xmlns:a="http://schemas.openxmlformats.org/drawingml/2006/main">
                <a:graphicData uri="http://schemas.microsoft.com/office/word/2010/wordprocessingShape">
                  <wps:wsp>
                    <wps:cNvSpPr txBox="1"/>
                    <wps:spPr>
                      <a:xfrm>
                        <a:ext cx="6123305" cy="4508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91" type="#_x0000_t202" style="position:absolute;margin-left:55.950000000000003pt;margin-top:19.25pt;width:482.15000000000003pt;height:35.5pt;z-index:-188743743;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731520</wp:posOffset>
              </wp:positionV>
              <wp:extent cx="6163310" cy="0"/>
              <wp:wrapNone/>
              <wp:docPr id="467" name="Shape 4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7.600000000000001pt;width:485.3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725170</wp:posOffset>
              </wp:positionH>
              <wp:positionV relativeFrom="page">
                <wp:posOffset>244475</wp:posOffset>
              </wp:positionV>
              <wp:extent cx="1228090" cy="405130"/>
              <wp:wrapNone/>
              <wp:docPr id="468" name="Shape 468"/>
              <a:graphic xmlns:a="http://schemas.openxmlformats.org/drawingml/2006/main">
                <a:graphicData uri="http://schemas.microsoft.com/office/word/2010/wordprocessingShape">
                  <wps:wsp>
                    <wps:cNvSpPr txBox="1"/>
                    <wps:spPr>
                      <a:xfrm>
                        <a:ext cx="1228090" cy="4051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xbxContent>
                    </wps:txbx>
                    <wps:bodyPr wrap="none" lIns="0" tIns="0" rIns="0" bIns="0">
                      <a:spAutoFit/>
                    </wps:bodyPr>
                  </wps:wsp>
                </a:graphicData>
              </a:graphic>
            </wp:anchor>
          </w:drawing>
        </mc:Choice>
        <mc:Fallback>
          <w:pict>
            <v:shape id="_x0000_s1494" type="#_x0000_t202" style="position:absolute;margin-left:57.100000000000001pt;margin-top:19.25pt;width:96.700000000000003pt;height:31.900000000000002pt;z-index:-188743741;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xbxContent>
              </v:textbox>
              <w10:wrap anchorx="page" anchory="page"/>
            </v:shape>
          </w:pict>
        </mc:Fallback>
      </mc:AlternateContent>
    </w:r>
    <w:r>
      <mc:AlternateContent>
        <mc:Choice Requires="wps">
          <w:drawing>
            <wp:anchor distT="0" distB="0" distL="0" distR="0" simplePos="0" relativeHeight="62915014" behindDoc="1" locked="0" layoutInCell="1" allowOverlap="1">
              <wp:simplePos x="0" y="0"/>
              <wp:positionH relativeFrom="page">
                <wp:posOffset>4638675</wp:posOffset>
              </wp:positionH>
              <wp:positionV relativeFrom="page">
                <wp:posOffset>588645</wp:posOffset>
              </wp:positionV>
              <wp:extent cx="2209800" cy="106680"/>
              <wp:wrapNone/>
              <wp:docPr id="470" name="Shape 470"/>
              <a:graphic xmlns:a="http://schemas.openxmlformats.org/drawingml/2006/main">
                <a:graphicData uri="http://schemas.microsoft.com/office/word/2010/wordprocessingShape">
                  <wps:wsp>
                    <wps:cNvSpPr txBox="1"/>
                    <wps:spPr>
                      <a:xfrm>
                        <a:ext cx="220980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96" type="#_x0000_t202" style="position:absolute;margin-left:365.25pt;margin-top:46.350000000000001pt;width:174.pt;height:8.4000000000000004pt;z-index:-188743739;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731520</wp:posOffset>
              </wp:positionV>
              <wp:extent cx="6163310" cy="0"/>
              <wp:wrapNone/>
              <wp:docPr id="472" name="Shape 4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99999999999999pt;margin-top:57.600000000000001pt;width:485.3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690245</wp:posOffset>
              </wp:positionH>
              <wp:positionV relativeFrom="page">
                <wp:posOffset>205105</wp:posOffset>
              </wp:positionV>
              <wp:extent cx="6123305" cy="450850"/>
              <wp:wrapNone/>
              <wp:docPr id="475" name="Shape 475"/>
              <a:graphic xmlns:a="http://schemas.openxmlformats.org/drawingml/2006/main">
                <a:graphicData uri="http://schemas.microsoft.com/office/word/2010/wordprocessingShape">
                  <wps:wsp>
                    <wps:cNvSpPr txBox="1"/>
                    <wps:spPr>
                      <a:xfrm>
                        <a:ext cx="6123305" cy="4508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01" type="#_x0000_t202" style="position:absolute;margin-left:54.350000000000001pt;margin-top:16.149999999999999pt;width:482.15000000000003pt;height:35.5pt;z-index:-188743735;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690245</wp:posOffset>
              </wp:positionH>
              <wp:positionV relativeFrom="page">
                <wp:posOffset>205105</wp:posOffset>
              </wp:positionV>
              <wp:extent cx="6123305" cy="450850"/>
              <wp:wrapNone/>
              <wp:docPr id="491" name="Shape 491"/>
              <a:graphic xmlns:a="http://schemas.openxmlformats.org/drawingml/2006/main">
                <a:graphicData uri="http://schemas.microsoft.com/office/word/2010/wordprocessingShape">
                  <wps:wsp>
                    <wps:cNvSpPr txBox="1"/>
                    <wps:spPr>
                      <a:xfrm>
                        <a:ext cx="6123305" cy="4508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17" type="#_x0000_t202" style="position:absolute;margin-left:54.350000000000001pt;margin-top:16.149999999999999pt;width:482.15000000000003pt;height:35.5pt;z-index:-188743731;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690245</wp:posOffset>
              </wp:positionH>
              <wp:positionV relativeFrom="page">
                <wp:posOffset>205105</wp:posOffset>
              </wp:positionV>
              <wp:extent cx="6123305" cy="450850"/>
              <wp:wrapNone/>
              <wp:docPr id="495" name="Shape 495"/>
              <a:graphic xmlns:a="http://schemas.openxmlformats.org/drawingml/2006/main">
                <a:graphicData uri="http://schemas.microsoft.com/office/word/2010/wordprocessingShape">
                  <wps:wsp>
                    <wps:cNvSpPr txBox="1"/>
                    <wps:spPr>
                      <a:xfrm>
                        <a:ext cx="6123305" cy="4508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21" type="#_x0000_t202" style="position:absolute;margin-left:54.350000000000001pt;margin-top:16.149999999999999pt;width:482.15000000000003pt;height:35.5pt;z-index:-188743727;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698500</wp:posOffset>
              </wp:positionH>
              <wp:positionV relativeFrom="page">
                <wp:posOffset>244475</wp:posOffset>
              </wp:positionV>
              <wp:extent cx="6135370" cy="441960"/>
              <wp:wrapNone/>
              <wp:docPr id="34" name="Shape 34"/>
              <a:graphic xmlns:a="http://schemas.openxmlformats.org/drawingml/2006/main">
                <a:graphicData uri="http://schemas.microsoft.com/office/word/2010/wordprocessingShape">
                  <wps:wsp>
                    <wps:cNvSpPr txBox="1"/>
                    <wps:spPr>
                      <a:xfrm>
                        <a:ext cx="6135370" cy="44196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rFonts w:ascii="SimSun" w:eastAsia="SimSun" w:hAnsi="SimSun" w:cs="SimSun"/>
                              <w:color w:val="01408A"/>
                              <w:spacing w:val="0"/>
                              <w:w w:val="100"/>
                              <w:position w:val="0"/>
                              <w:sz w:val="240"/>
                              <w:szCs w:val="240"/>
                            </w:rPr>
                            <w:t>。</w:t>
                          </w:r>
                        </w:p>
                        <w:p>
                          <w:pPr>
                            <w:pStyle w:val="Style6"/>
                            <w:keepNext w:val="0"/>
                            <w:keepLines w:val="0"/>
                            <w:widowControl w:val="0"/>
                            <w:shd w:val="clear" w:color="auto" w:fill="auto"/>
                            <w:tabs>
                              <w:tab w:pos="9014"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060" type="#_x0000_t202" style="position:absolute;margin-left:55.pt;margin-top:19.25pt;width:483.10000000000002pt;height:34.800000000000004pt;z-index:-18874403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rFonts w:ascii="SimSun" w:eastAsia="SimSun" w:hAnsi="SimSun" w:cs="SimSun"/>
                        <w:color w:val="01408A"/>
                        <w:spacing w:val="0"/>
                        <w:w w:val="100"/>
                        <w:position w:val="0"/>
                        <w:sz w:val="240"/>
                        <w:szCs w:val="240"/>
                      </w:rPr>
                      <w:t>。</w:t>
                    </w:r>
                  </w:p>
                  <w:p>
                    <w:pPr>
                      <w:pStyle w:val="Style6"/>
                      <w:keepNext w:val="0"/>
                      <w:keepLines w:val="0"/>
                      <w:widowControl w:val="0"/>
                      <w:shd w:val="clear" w:color="auto" w:fill="auto"/>
                      <w:tabs>
                        <w:tab w:pos="9014" w:val="righ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国民技木</w:t>
                      <w:tab/>
                    </w:r>
                    <w:r>
                      <w:rPr>
                        <w:rFonts w:ascii="SimSun" w:eastAsia="SimSun" w:hAnsi="SimSun" w:cs="SimSun"/>
                        <w:color w:val="000000"/>
                        <w:spacing w:val="0"/>
                        <w:w w:val="100"/>
                        <w:position w:val="0"/>
                        <w:sz w:val="18"/>
                        <w:szCs w:val="18"/>
                      </w:rPr>
                      <w:t>国民技术股份有限公司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731520</wp:posOffset>
              </wp:positionV>
              <wp:extent cx="6163310" cy="0"/>
              <wp:wrapNone/>
              <wp:docPr id="36" name="Shape 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7.600000000000001pt;width:485.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756920</wp:posOffset>
              </wp:positionH>
              <wp:positionV relativeFrom="page">
                <wp:posOffset>247015</wp:posOffset>
              </wp:positionV>
              <wp:extent cx="1228090" cy="405130"/>
              <wp:wrapNone/>
              <wp:docPr id="499" name="Shape 499"/>
              <a:graphic xmlns:a="http://schemas.openxmlformats.org/drawingml/2006/main">
                <a:graphicData uri="http://schemas.microsoft.com/office/word/2010/wordprocessingShape">
                  <wps:wsp>
                    <wps:cNvSpPr txBox="1"/>
                    <wps:spPr>
                      <a:xfrm>
                        <a:ext cx="1228090" cy="4051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xbxContent>
                    </wps:txbx>
                    <wps:bodyPr wrap="none" lIns="0" tIns="0" rIns="0" bIns="0">
                      <a:spAutoFit/>
                    </wps:bodyPr>
                  </wps:wsp>
                </a:graphicData>
              </a:graphic>
            </wp:anchor>
          </w:drawing>
        </mc:Choice>
        <mc:Fallback>
          <w:pict>
            <v:shape id="_x0000_s1525" type="#_x0000_t202" style="position:absolute;margin-left:59.600000000000001pt;margin-top:19.449999999999999pt;width:96.700000000000003pt;height:31.900000000000002pt;z-index:-188743723;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xbxContent>
              </v:textbox>
              <w10:wrap anchorx="page" anchory="page"/>
            </v:shape>
          </w:pict>
        </mc:Fallback>
      </mc:AlternateContent>
    </w:r>
    <w:r>
      <mc:AlternateContent>
        <mc:Choice Requires="wps">
          <w:drawing>
            <wp:anchor distT="0" distB="0" distL="0" distR="0" simplePos="0" relativeHeight="62915032" behindDoc="1" locked="0" layoutInCell="1" allowOverlap="1">
              <wp:simplePos x="0" y="0"/>
              <wp:positionH relativeFrom="page">
                <wp:posOffset>4670425</wp:posOffset>
              </wp:positionH>
              <wp:positionV relativeFrom="page">
                <wp:posOffset>591820</wp:posOffset>
              </wp:positionV>
              <wp:extent cx="2209800" cy="106680"/>
              <wp:wrapNone/>
              <wp:docPr id="501" name="Shape 501"/>
              <a:graphic xmlns:a="http://schemas.openxmlformats.org/drawingml/2006/main">
                <a:graphicData uri="http://schemas.microsoft.com/office/word/2010/wordprocessingShape">
                  <wps:wsp>
                    <wps:cNvSpPr txBox="1"/>
                    <wps:spPr>
                      <a:xfrm>
                        <a:ext cx="220980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27" type="#_x0000_t202" style="position:absolute;margin-left:367.75pt;margin-top:46.600000000000001pt;width:174.pt;height:8.4000000000000004pt;z-index:-188743721;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741680</wp:posOffset>
              </wp:positionH>
              <wp:positionV relativeFrom="page">
                <wp:posOffset>734695</wp:posOffset>
              </wp:positionV>
              <wp:extent cx="6163310" cy="0"/>
              <wp:wrapNone/>
              <wp:docPr id="503" name="Shape 5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8.399999999999999pt;margin-top:57.850000000000001pt;width:485.30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690245</wp:posOffset>
              </wp:positionH>
              <wp:positionV relativeFrom="page">
                <wp:posOffset>205105</wp:posOffset>
              </wp:positionV>
              <wp:extent cx="6123305" cy="450850"/>
              <wp:wrapNone/>
              <wp:docPr id="506" name="Shape 506"/>
              <a:graphic xmlns:a="http://schemas.openxmlformats.org/drawingml/2006/main">
                <a:graphicData uri="http://schemas.microsoft.com/office/word/2010/wordprocessingShape">
                  <wps:wsp>
                    <wps:cNvSpPr txBox="1"/>
                    <wps:spPr>
                      <a:xfrm>
                        <a:ext cx="6123305" cy="4508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32" type="#_x0000_t202" style="position:absolute;margin-left:54.350000000000001pt;margin-top:16.149999999999999pt;width:482.15000000000003pt;height:35.5pt;z-index:-188743717;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690245</wp:posOffset>
              </wp:positionH>
              <wp:positionV relativeFrom="page">
                <wp:posOffset>205105</wp:posOffset>
              </wp:positionV>
              <wp:extent cx="6123305" cy="450850"/>
              <wp:wrapNone/>
              <wp:docPr id="510" name="Shape 510"/>
              <a:graphic xmlns:a="http://schemas.openxmlformats.org/drawingml/2006/main">
                <a:graphicData uri="http://schemas.microsoft.com/office/word/2010/wordprocessingShape">
                  <wps:wsp>
                    <wps:cNvSpPr txBox="1"/>
                    <wps:spPr>
                      <a:xfrm>
                        <a:ext cx="6123305" cy="45085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36" type="#_x0000_t202" style="position:absolute;margin-left:54.350000000000001pt;margin-top:16.149999999999999pt;width:482.15000000000003pt;height:35.5pt;z-index:-188743713;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tabs>
                        <w:tab w:pos="9014" w:val="right"/>
                      </w:tabs>
                      <w:bidi w:val="0"/>
                      <w:spacing w:before="0" w:after="0" w:line="240" w:lineRule="auto"/>
                      <w:ind w:left="0" w:right="0" w:firstLine="0"/>
                      <w:jc w:val="left"/>
                    </w:pPr>
                    <w:r>
                      <w:rPr>
                        <w:rFonts w:ascii="SimHei" w:eastAsia="SimHei" w:hAnsi="SimHei" w:cs="SimHei"/>
                        <w:color w:val="000000"/>
                        <w:spacing w:val="0"/>
                        <w:w w:val="100"/>
                        <w:position w:val="0"/>
                        <w:sz w:val="19"/>
                        <w:szCs w:val="19"/>
                      </w:rPr>
                      <w:t>国民技木</w:t>
                      <w:tab/>
                    </w: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756920</wp:posOffset>
              </wp:positionH>
              <wp:positionV relativeFrom="page">
                <wp:posOffset>247015</wp:posOffset>
              </wp:positionV>
              <wp:extent cx="1228090" cy="405130"/>
              <wp:wrapNone/>
              <wp:docPr id="514" name="Shape 514"/>
              <a:graphic xmlns:a="http://schemas.openxmlformats.org/drawingml/2006/main">
                <a:graphicData uri="http://schemas.microsoft.com/office/word/2010/wordprocessingShape">
                  <wps:wsp>
                    <wps:cNvSpPr txBox="1"/>
                    <wps:spPr>
                      <a:xfrm>
                        <a:ext cx="1228090" cy="40513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xbxContent>
                    </wps:txbx>
                    <wps:bodyPr wrap="none" lIns="0" tIns="0" rIns="0" bIns="0">
                      <a:spAutoFit/>
                    </wps:bodyPr>
                  </wps:wsp>
                </a:graphicData>
              </a:graphic>
            </wp:anchor>
          </w:drawing>
        </mc:Choice>
        <mc:Fallback>
          <w:pict>
            <v:shape id="_x0000_s1540" type="#_x0000_t202" style="position:absolute;margin-left:59.600000000000001pt;margin-top:19.449999999999999pt;width:96.700000000000003pt;height:31.900000000000002pt;z-index:-188743709;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240"/>
                        <w:szCs w:val="240"/>
                      </w:rPr>
                    </w:pPr>
                    <w:r>
                      <w:rPr>
                        <w:rFonts w:ascii="Arial" w:eastAsia="Arial" w:hAnsi="Arial" w:cs="Arial"/>
                        <w:b/>
                        <w:bCs/>
                        <w:color w:val="01408A"/>
                        <w:spacing w:val="0"/>
                        <w:w w:val="100"/>
                        <w:position w:val="0"/>
                        <w:sz w:val="42"/>
                        <w:szCs w:val="42"/>
                      </w:rPr>
                      <w:t>Nation</w:t>
                    </w:r>
                    <w:r>
                      <w:rPr>
                        <w:color w:val="01408A"/>
                        <w:spacing w:val="0"/>
                        <w:w w:val="100"/>
                        <w:position w:val="0"/>
                        <w:sz w:val="240"/>
                        <w:szCs w:val="240"/>
                      </w:rPr>
                      <w:t>。</w:t>
                    </w:r>
                  </w:p>
                  <w:p>
                    <w:pPr>
                      <w:pStyle w:val="Style9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国民技术</w:t>
                    </w:r>
                    <w:r>
                      <w:rPr>
                        <w:b/>
                        <w:bCs/>
                        <w:color w:val="01408A"/>
                        <w:spacing w:val="0"/>
                        <w:w w:val="100"/>
                        <w:position w:val="0"/>
                        <w:sz w:val="19"/>
                        <w:szCs w:val="19"/>
                      </w:rPr>
                      <w:t>〜</w:t>
                    </w:r>
                  </w:p>
                </w:txbxContent>
              </v:textbox>
              <w10:wrap anchorx="page" anchory="page"/>
            </v:shape>
          </w:pict>
        </mc:Fallback>
      </mc:AlternateContent>
    </w:r>
    <w:r>
      <mc:AlternateContent>
        <mc:Choice Requires="wps">
          <w:drawing>
            <wp:anchor distT="0" distB="0" distL="0" distR="0" simplePos="0" relativeHeight="62915046" behindDoc="1" locked="0" layoutInCell="1" allowOverlap="1">
              <wp:simplePos x="0" y="0"/>
              <wp:positionH relativeFrom="page">
                <wp:posOffset>4670425</wp:posOffset>
              </wp:positionH>
              <wp:positionV relativeFrom="page">
                <wp:posOffset>591820</wp:posOffset>
              </wp:positionV>
              <wp:extent cx="2209800" cy="106680"/>
              <wp:wrapNone/>
              <wp:docPr id="516" name="Shape 516"/>
              <a:graphic xmlns:a="http://schemas.openxmlformats.org/drawingml/2006/main">
                <a:graphicData uri="http://schemas.microsoft.com/office/word/2010/wordprocessingShape">
                  <wps:wsp>
                    <wps:cNvSpPr txBox="1"/>
                    <wps:spPr>
                      <a:xfrm>
                        <a:ext cx="220980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42" type="#_x0000_t202" style="position:absolute;margin-left:367.75pt;margin-top:46.600000000000001pt;width:174.pt;height:8.4000000000000004pt;z-index:-188743707;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741680</wp:posOffset>
              </wp:positionH>
              <wp:positionV relativeFrom="page">
                <wp:posOffset>734695</wp:posOffset>
              </wp:positionV>
              <wp:extent cx="6163310" cy="0"/>
              <wp:wrapNone/>
              <wp:docPr id="518" name="Shape 5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8.399999999999999pt;margin-top:57.85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018"/>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6">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0">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6">
    <w:multiLevelType w:val="multilevel"/>
    <w:lvl w:ilvl="0">
      <w:start w:val="100"/>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58">
    <w:multiLevelType w:val="multilevel"/>
    <w:lvl w:ilvl="0">
      <w:start w:val="4"/>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60">
    <w:multiLevelType w:val="multilevel"/>
    <w:lvl w:ilvl="0">
      <w:start w:val="25"/>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6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64">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22"/>
      <w:szCs w:val="22"/>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8">
    <w:name w:val="正文文本 (2)_"/>
    <w:basedOn w:val="DefaultParagraphFont"/>
    <w:link w:val="Style17"/>
    <w:rPr>
      <w:rFonts w:ascii="SimSun" w:eastAsia="SimSun" w:hAnsi="SimSun" w:cs="SimSun"/>
      <w:b/>
      <w:bCs/>
      <w:i w:val="0"/>
      <w:iCs w:val="0"/>
      <w:smallCaps w:val="0"/>
      <w:strike w:val="0"/>
      <w:sz w:val="26"/>
      <w:szCs w:val="26"/>
      <w:u w:val="none"/>
      <w:shd w:val="clear" w:color="auto" w:fill="auto"/>
    </w:rPr>
  </w:style>
  <w:style w:type="character" w:customStyle="1" w:styleId="CharStyle23">
    <w:name w:val="标题 #1_"/>
    <w:basedOn w:val="DefaultParagraphFont"/>
    <w:link w:val="Style22"/>
    <w:rPr>
      <w:rFonts w:ascii="SimSun" w:eastAsia="SimSun" w:hAnsi="SimSun" w:cs="SimSun"/>
      <w:b/>
      <w:bCs/>
      <w:i w:val="0"/>
      <w:iCs w:val="0"/>
      <w:smallCaps w:val="0"/>
      <w:strike w:val="0"/>
      <w:sz w:val="32"/>
      <w:szCs w:val="32"/>
      <w:u w:val="none"/>
      <w:shd w:val="clear" w:color="auto" w:fill="auto"/>
    </w:rPr>
  </w:style>
  <w:style w:type="character" w:customStyle="1" w:styleId="CharStyle29">
    <w:name w:val="正文文本 (3)_"/>
    <w:basedOn w:val="DefaultParagraphFont"/>
    <w:link w:val="Style2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32">
    <w:name w:val="目录_"/>
    <w:basedOn w:val="DefaultParagraphFont"/>
    <w:link w:val="Style31"/>
    <w:rPr>
      <w:rFonts w:ascii="SimSun" w:eastAsia="SimSun" w:hAnsi="SimSun" w:cs="SimSun"/>
      <w:b/>
      <w:bCs/>
      <w:i w:val="0"/>
      <w:iCs w:val="0"/>
      <w:smallCaps w:val="0"/>
      <w:strike w:val="0"/>
      <w:sz w:val="26"/>
      <w:szCs w:val="26"/>
      <w:u w:val="none"/>
      <w:shd w:val="clear" w:color="auto" w:fill="auto"/>
    </w:rPr>
  </w:style>
  <w:style w:type="character" w:customStyle="1" w:styleId="CharStyle39">
    <w:name w:val="表格标题_"/>
    <w:basedOn w:val="DefaultParagraphFont"/>
    <w:link w:val="Style38"/>
    <w:rPr>
      <w:rFonts w:ascii="SimSun" w:eastAsia="SimSun" w:hAnsi="SimSun" w:cs="SimSun"/>
      <w:b w:val="0"/>
      <w:bCs w:val="0"/>
      <w:i w:val="0"/>
      <w:iCs w:val="0"/>
      <w:smallCaps w:val="0"/>
      <w:strike w:val="0"/>
      <w:sz w:val="22"/>
      <w:szCs w:val="22"/>
      <w:u w:val="none"/>
      <w:shd w:val="clear" w:color="auto" w:fill="auto"/>
    </w:rPr>
  </w:style>
  <w:style w:type="character" w:customStyle="1" w:styleId="CharStyle43">
    <w:name w:val="标题 #2_"/>
    <w:basedOn w:val="DefaultParagraphFont"/>
    <w:link w:val="Style42"/>
    <w:rPr>
      <w:rFonts w:ascii="SimSun" w:eastAsia="SimSun" w:hAnsi="SimSun" w:cs="SimSun"/>
      <w:b/>
      <w:bCs/>
      <w:i w:val="0"/>
      <w:iCs w:val="0"/>
      <w:smallCaps w:val="0"/>
      <w:strike w:val="0"/>
      <w:sz w:val="22"/>
      <w:szCs w:val="22"/>
      <w:u w:val="none"/>
      <w:shd w:val="clear" w:color="auto" w:fill="auto"/>
    </w:rPr>
  </w:style>
  <w:style w:type="character" w:customStyle="1" w:styleId="CharStyle45">
    <w:name w:val="正文文本_"/>
    <w:basedOn w:val="DefaultParagraphFont"/>
    <w:link w:val="Style44"/>
    <w:rPr>
      <w:rFonts w:ascii="SimSun" w:eastAsia="SimSun" w:hAnsi="SimSun" w:cs="SimSun"/>
      <w:b w:val="0"/>
      <w:bCs w:val="0"/>
      <w:i w:val="0"/>
      <w:iCs w:val="0"/>
      <w:smallCaps w:val="0"/>
      <w:strike w:val="0"/>
      <w:sz w:val="22"/>
      <w:szCs w:val="22"/>
      <w:u w:val="none"/>
      <w:shd w:val="clear" w:color="auto" w:fill="auto"/>
    </w:rPr>
  </w:style>
  <w:style w:type="character" w:customStyle="1" w:styleId="CharStyle53">
    <w:name w:val="标题 #3_"/>
    <w:basedOn w:val="DefaultParagraphFont"/>
    <w:link w:val="Style52"/>
    <w:rPr>
      <w:rFonts w:ascii="SimSun" w:eastAsia="SimSun" w:hAnsi="SimSun" w:cs="SimSun"/>
      <w:b/>
      <w:bCs/>
      <w:i w:val="0"/>
      <w:iCs w:val="0"/>
      <w:smallCaps w:val="0"/>
      <w:strike w:val="0"/>
      <w:sz w:val="22"/>
      <w:szCs w:val="22"/>
      <w:u w:val="none"/>
      <w:shd w:val="clear" w:color="auto" w:fill="auto"/>
    </w:rPr>
  </w:style>
  <w:style w:type="character" w:customStyle="1" w:styleId="CharStyle63">
    <w:name w:val="正文文本 (6)_"/>
    <w:basedOn w:val="DefaultParagraphFont"/>
    <w:link w:val="Style62"/>
    <w:rPr>
      <w:rFonts w:ascii="Arial" w:eastAsia="Arial" w:hAnsi="Arial" w:cs="Arial"/>
      <w:b/>
      <w:bCs/>
      <w:i w:val="0"/>
      <w:iCs w:val="0"/>
      <w:smallCaps w:val="0"/>
      <w:strike w:val="0"/>
      <w:color w:val="01408A"/>
      <w:sz w:val="42"/>
      <w:szCs w:val="42"/>
      <w:u w:val="none"/>
      <w:shd w:val="clear" w:color="auto" w:fill="auto"/>
    </w:rPr>
  </w:style>
  <w:style w:type="character" w:customStyle="1" w:styleId="CharStyle66">
    <w:name w:val="正文文本 (7)_"/>
    <w:basedOn w:val="DefaultParagraphFont"/>
    <w:link w:val="Style65"/>
    <w:rPr>
      <w:rFonts w:ascii="SimHei" w:eastAsia="SimHei" w:hAnsi="SimHei" w:cs="SimHei"/>
      <w:b w:val="0"/>
      <w:bCs w:val="0"/>
      <w:i w:val="0"/>
      <w:iCs w:val="0"/>
      <w:smallCaps w:val="0"/>
      <w:strike w:val="0"/>
      <w:sz w:val="19"/>
      <w:szCs w:val="19"/>
      <w:u w:val="none"/>
      <w:shd w:val="clear" w:color="auto" w:fill="auto"/>
    </w:rPr>
  </w:style>
  <w:style w:type="character" w:customStyle="1" w:styleId="CharStyle72">
    <w:name w:val="标题 #4_"/>
    <w:basedOn w:val="DefaultParagraphFont"/>
    <w:link w:val="Style71"/>
    <w:rPr>
      <w:rFonts w:ascii="SimSun" w:eastAsia="SimSun" w:hAnsi="SimSun" w:cs="SimSun"/>
      <w:b/>
      <w:bCs/>
      <w:i w:val="0"/>
      <w:iCs w:val="0"/>
      <w:smallCaps w:val="0"/>
      <w:strike w:val="0"/>
      <w:sz w:val="22"/>
      <w:szCs w:val="22"/>
      <w:u w:val="none"/>
      <w:shd w:val="clear" w:color="auto" w:fill="auto"/>
    </w:rPr>
  </w:style>
  <w:style w:type="character" w:customStyle="1" w:styleId="CharStyle85">
    <w:name w:val="正文文本 (8)_"/>
    <w:basedOn w:val="DefaultParagraphFont"/>
    <w:link w:val="Style84"/>
    <w:rPr>
      <w:rFonts w:ascii="SimSun" w:eastAsia="SimSun" w:hAnsi="SimSun" w:cs="SimSun"/>
      <w:b w:val="0"/>
      <w:bCs w:val="0"/>
      <w:i w:val="0"/>
      <w:iCs w:val="0"/>
      <w:smallCaps w:val="0"/>
      <w:strike w:val="0"/>
      <w:sz w:val="18"/>
      <w:szCs w:val="18"/>
      <w:u w:val="none"/>
      <w:shd w:val="clear" w:color="auto" w:fill="auto"/>
    </w:rPr>
  </w:style>
  <w:style w:type="character" w:customStyle="1" w:styleId="CharStyle95">
    <w:name w:val="页眉或页脚_"/>
    <w:basedOn w:val="DefaultParagraphFont"/>
    <w:link w:val="Style94"/>
    <w:rPr>
      <w:rFonts w:ascii="SimSun" w:eastAsia="SimSun" w:hAnsi="SimSun" w:cs="SimSun"/>
      <w:b w:val="0"/>
      <w:bCs w:val="0"/>
      <w:i w:val="0"/>
      <w:iCs w:val="0"/>
      <w:smallCaps w:val="0"/>
      <w:strike w:val="0"/>
      <w:sz w:val="18"/>
      <w:szCs w:val="18"/>
      <w:u w:val="none"/>
      <w:shd w:val="clear" w:color="auto" w:fill="auto"/>
    </w:rPr>
  </w:style>
  <w:style w:type="character" w:customStyle="1" w:styleId="CharStyle129">
    <w:name w:val="正文文本 (9)_"/>
    <w:basedOn w:val="DefaultParagraphFont"/>
    <w:link w:val="Style128"/>
    <w:rPr>
      <w:rFonts w:ascii="Times New Roman" w:eastAsia="Times New Roman" w:hAnsi="Times New Roman" w:cs="Times New Roman"/>
      <w:b w:val="0"/>
      <w:bCs w:val="0"/>
      <w:i w:val="0"/>
      <w:iCs w:val="0"/>
      <w:smallCaps w:val="0"/>
      <w:strike w:val="0"/>
      <w:sz w:val="22"/>
      <w:szCs w:val="22"/>
      <w:u w:val="none"/>
      <w:shd w:val="clear" w:color="auto" w:fill="auto"/>
    </w:rPr>
  </w:style>
  <w:style w:type="paragraph" w:customStyle="1" w:styleId="Style2">
    <w:name w:val="其他"/>
    <w:basedOn w:val="Normal"/>
    <w:link w:val="CharStyle3"/>
    <w:pPr>
      <w:widowControl w:val="0"/>
      <w:shd w:val="clear" w:color="auto" w:fill="auto"/>
      <w:spacing w:line="442"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7">
    <w:name w:val="正文文本 (2)"/>
    <w:basedOn w:val="Normal"/>
    <w:link w:val="CharStyle18"/>
    <w:pPr>
      <w:widowControl w:val="0"/>
      <w:shd w:val="clear" w:color="auto" w:fill="auto"/>
      <w:spacing w:line="627" w:lineRule="exact"/>
      <w:ind w:firstLine="620"/>
    </w:pPr>
    <w:rPr>
      <w:rFonts w:ascii="SimSun" w:eastAsia="SimSun" w:hAnsi="SimSun" w:cs="SimSun"/>
      <w:b/>
      <w:bCs/>
      <w:i w:val="0"/>
      <w:iCs w:val="0"/>
      <w:smallCaps w:val="0"/>
      <w:strike w:val="0"/>
      <w:sz w:val="26"/>
      <w:szCs w:val="26"/>
      <w:u w:val="none"/>
      <w:shd w:val="clear" w:color="auto" w:fill="auto"/>
    </w:rPr>
  </w:style>
  <w:style w:type="paragraph" w:customStyle="1" w:styleId="Style22">
    <w:name w:val="标题 #1"/>
    <w:basedOn w:val="Normal"/>
    <w:link w:val="CharStyle23"/>
    <w:pPr>
      <w:widowControl w:val="0"/>
      <w:shd w:val="clear" w:color="auto" w:fill="auto"/>
      <w:spacing w:after="3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28">
    <w:name w:val="正文文本 (3)"/>
    <w:basedOn w:val="Normal"/>
    <w:link w:val="CharStyle29"/>
    <w:pPr>
      <w:widowControl w:val="0"/>
      <w:shd w:val="clear" w:color="auto" w:fill="auto"/>
      <w:spacing w:after="8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31">
    <w:name w:val="目录"/>
    <w:basedOn w:val="Normal"/>
    <w:link w:val="CharStyle32"/>
    <w:pPr>
      <w:widowControl w:val="0"/>
      <w:shd w:val="clear" w:color="auto" w:fill="auto"/>
      <w:spacing w:after="340"/>
    </w:pPr>
    <w:rPr>
      <w:rFonts w:ascii="SimSun" w:eastAsia="SimSun" w:hAnsi="SimSun" w:cs="SimSun"/>
      <w:b/>
      <w:bCs/>
      <w:i w:val="0"/>
      <w:iCs w:val="0"/>
      <w:smallCaps w:val="0"/>
      <w:strike w:val="0"/>
      <w:sz w:val="26"/>
      <w:szCs w:val="26"/>
      <w:u w:val="none"/>
      <w:shd w:val="clear" w:color="auto" w:fill="auto"/>
    </w:rPr>
  </w:style>
  <w:style w:type="paragraph" w:customStyle="1" w:styleId="Style38">
    <w:name w:val="表格标题"/>
    <w:basedOn w:val="Normal"/>
    <w:link w:val="CharStyle39"/>
    <w:pPr>
      <w:widowControl w:val="0"/>
      <w:shd w:val="clear" w:color="auto" w:fill="auto"/>
    </w:pPr>
    <w:rPr>
      <w:rFonts w:ascii="SimSun" w:eastAsia="SimSun" w:hAnsi="SimSun" w:cs="SimSun"/>
      <w:b w:val="0"/>
      <w:bCs w:val="0"/>
      <w:i w:val="0"/>
      <w:iCs w:val="0"/>
      <w:smallCaps w:val="0"/>
      <w:strike w:val="0"/>
      <w:sz w:val="22"/>
      <w:szCs w:val="22"/>
      <w:u w:val="none"/>
      <w:shd w:val="clear" w:color="auto" w:fill="auto"/>
    </w:rPr>
  </w:style>
  <w:style w:type="paragraph" w:customStyle="1" w:styleId="Style42">
    <w:name w:val="标题 #2"/>
    <w:basedOn w:val="Normal"/>
    <w:link w:val="CharStyle43"/>
    <w:pPr>
      <w:widowControl w:val="0"/>
      <w:shd w:val="clear" w:color="auto" w:fill="auto"/>
      <w:spacing w:after="350" w:line="396" w:lineRule="exact"/>
      <w:ind w:firstLine="20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44">
    <w:name w:val="正文文本"/>
    <w:basedOn w:val="Normal"/>
    <w:link w:val="CharStyle45"/>
    <w:pPr>
      <w:widowControl w:val="0"/>
      <w:shd w:val="clear" w:color="auto" w:fill="auto"/>
      <w:spacing w:line="442"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52">
    <w:name w:val="标题 #3"/>
    <w:basedOn w:val="Normal"/>
    <w:link w:val="CharStyle53"/>
    <w:pPr>
      <w:widowControl w:val="0"/>
      <w:shd w:val="clear" w:color="auto" w:fill="auto"/>
      <w:spacing w:after="300" w:line="343" w:lineRule="auto"/>
      <w:ind w:firstLine="22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62">
    <w:name w:val="正文文本 (6)"/>
    <w:basedOn w:val="Normal"/>
    <w:link w:val="CharStyle63"/>
    <w:pPr>
      <w:widowControl w:val="0"/>
      <w:shd w:val="clear" w:color="auto" w:fill="auto"/>
      <w:ind w:firstLine="360"/>
    </w:pPr>
    <w:rPr>
      <w:rFonts w:ascii="Arial" w:eastAsia="Arial" w:hAnsi="Arial" w:cs="Arial"/>
      <w:b/>
      <w:bCs/>
      <w:i w:val="0"/>
      <w:iCs w:val="0"/>
      <w:smallCaps w:val="0"/>
      <w:strike w:val="0"/>
      <w:color w:val="01408A"/>
      <w:sz w:val="42"/>
      <w:szCs w:val="42"/>
      <w:u w:val="none"/>
      <w:shd w:val="clear" w:color="auto" w:fill="auto"/>
    </w:rPr>
  </w:style>
  <w:style w:type="paragraph" w:customStyle="1" w:styleId="Style65">
    <w:name w:val="正文文本 (7)"/>
    <w:basedOn w:val="Normal"/>
    <w:link w:val="CharStyle66"/>
    <w:pPr>
      <w:widowControl w:val="0"/>
      <w:shd w:val="clear" w:color="auto" w:fill="auto"/>
      <w:spacing w:after="110"/>
      <w:ind w:left="650" w:firstLine="280"/>
    </w:pPr>
    <w:rPr>
      <w:rFonts w:ascii="SimHei" w:eastAsia="SimHei" w:hAnsi="SimHei" w:cs="SimHei"/>
      <w:b w:val="0"/>
      <w:bCs w:val="0"/>
      <w:i w:val="0"/>
      <w:iCs w:val="0"/>
      <w:smallCaps w:val="0"/>
      <w:strike w:val="0"/>
      <w:sz w:val="19"/>
      <w:szCs w:val="19"/>
      <w:u w:val="none"/>
      <w:shd w:val="clear" w:color="auto" w:fill="auto"/>
    </w:rPr>
  </w:style>
  <w:style w:type="paragraph" w:customStyle="1" w:styleId="Style71">
    <w:name w:val="标题 #4"/>
    <w:basedOn w:val="Normal"/>
    <w:link w:val="CharStyle72"/>
    <w:pPr>
      <w:widowControl w:val="0"/>
      <w:shd w:val="clear" w:color="auto" w:fill="auto"/>
      <w:spacing w:after="150" w:line="472" w:lineRule="exact"/>
      <w:ind w:firstLine="460"/>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84">
    <w:name w:val="正文文本 (8)"/>
    <w:basedOn w:val="Normal"/>
    <w:link w:val="CharStyle85"/>
    <w:pPr>
      <w:widowControl w:val="0"/>
      <w:shd w:val="clear" w:color="auto" w:fill="auto"/>
      <w:spacing w:after="340"/>
      <w:ind w:left="4710" w:right="280"/>
    </w:pPr>
    <w:rPr>
      <w:rFonts w:ascii="SimSun" w:eastAsia="SimSun" w:hAnsi="SimSun" w:cs="SimSun"/>
      <w:b w:val="0"/>
      <w:bCs w:val="0"/>
      <w:i w:val="0"/>
      <w:iCs w:val="0"/>
      <w:smallCaps w:val="0"/>
      <w:strike w:val="0"/>
      <w:sz w:val="18"/>
      <w:szCs w:val="18"/>
      <w:u w:val="none"/>
      <w:shd w:val="clear" w:color="auto" w:fill="auto"/>
    </w:rPr>
  </w:style>
  <w:style w:type="paragraph" w:customStyle="1" w:styleId="Style94">
    <w:name w:val="页眉或页脚"/>
    <w:basedOn w:val="Normal"/>
    <w:link w:val="CharStyle9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28">
    <w:name w:val="正文文本 (9)"/>
    <w:basedOn w:val="Normal"/>
    <w:link w:val="CharStyle129"/>
    <w:pPr>
      <w:widowControl w:val="0"/>
      <w:shd w:val="clear" w:color="auto" w:fill="auto"/>
      <w:spacing w:after="40"/>
      <w:ind w:firstLine="460"/>
    </w:pPr>
    <w:rPr>
      <w:rFonts w:ascii="Times New Roman" w:eastAsia="Times New Roman" w:hAnsi="Times New Roman" w:cs="Times New Roman"/>
      <w:b w:val="0"/>
      <w:bCs w:val="0"/>
      <w:i w:val="0"/>
      <w:iCs w:val="0"/>
      <w:smallCaps w:val="0"/>
      <w:strike w:val="0"/>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1.xml"/><Relationship Id="rId11" Type="http://schemas.openxmlformats.org/officeDocument/2006/relationships/header" Target="header6.xml"/><Relationship Id="rId12" Type="http://schemas.openxmlformats.org/officeDocument/2006/relationships/footer" Target="footer2.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header" Target="header7.xml"/><Relationship Id="rId16" Type="http://schemas.openxmlformats.org/officeDocument/2006/relationships/footer" Target="footer3.xml"/><Relationship Id="rId17" Type="http://schemas.openxmlformats.org/officeDocument/2006/relationships/header" Target="header8.xml"/><Relationship Id="rId18" Type="http://schemas.openxmlformats.org/officeDocument/2006/relationships/footer" Target="footer4.xml"/><Relationship Id="rId19" Type="http://schemas.openxmlformats.org/officeDocument/2006/relationships/header" Target="header9.xml"/><Relationship Id="rId20" Type="http://schemas.openxmlformats.org/officeDocument/2006/relationships/footer" Target="footer5.xml"/><Relationship Id="rId21" Type="http://schemas.openxmlformats.org/officeDocument/2006/relationships/header" Target="header10.xml"/><Relationship Id="rId22" Type="http://schemas.openxmlformats.org/officeDocument/2006/relationships/footer" Target="footer6.xml"/><Relationship Id="rId23" Type="http://schemas.openxmlformats.org/officeDocument/2006/relationships/header" Target="header11.xml"/><Relationship Id="rId24" Type="http://schemas.openxmlformats.org/officeDocument/2006/relationships/footer" Target="footer7.xml"/><Relationship Id="rId25" Type="http://schemas.openxmlformats.org/officeDocument/2006/relationships/header" Target="header12.xml"/><Relationship Id="rId26" Type="http://schemas.openxmlformats.org/officeDocument/2006/relationships/footer" Target="footer8.xml"/><Relationship Id="rId27" Type="http://schemas.openxmlformats.org/officeDocument/2006/relationships/header" Target="header13.xml"/><Relationship Id="rId28" Type="http://schemas.openxmlformats.org/officeDocument/2006/relationships/footer" Target="footer9.xml"/><Relationship Id="rId29" Type="http://schemas.openxmlformats.org/officeDocument/2006/relationships/header" Target="header14.xml"/><Relationship Id="rId30" Type="http://schemas.openxmlformats.org/officeDocument/2006/relationships/footer" Target="footer10.xml"/><Relationship Id="rId31" Type="http://schemas.openxmlformats.org/officeDocument/2006/relationships/header" Target="header15.xml"/><Relationship Id="rId32" Type="http://schemas.openxmlformats.org/officeDocument/2006/relationships/footer" Target="footer11.xml"/><Relationship Id="rId33" Type="http://schemas.openxmlformats.org/officeDocument/2006/relationships/header" Target="header16.xml"/><Relationship Id="rId34" Type="http://schemas.openxmlformats.org/officeDocument/2006/relationships/footer" Target="footer12.xml"/><Relationship Id="rId35" Type="http://schemas.openxmlformats.org/officeDocument/2006/relationships/header" Target="header17.xml"/><Relationship Id="rId36" Type="http://schemas.openxmlformats.org/officeDocument/2006/relationships/footer" Target="footer13.xml"/><Relationship Id="rId37" Type="http://schemas.openxmlformats.org/officeDocument/2006/relationships/header" Target="header18.xml"/><Relationship Id="rId38" Type="http://schemas.openxmlformats.org/officeDocument/2006/relationships/footer" Target="footer14.xml"/><Relationship Id="rId39" Type="http://schemas.openxmlformats.org/officeDocument/2006/relationships/header" Target="header19.xml"/><Relationship Id="rId40" Type="http://schemas.openxmlformats.org/officeDocument/2006/relationships/footer" Target="footer15.xml"/><Relationship Id="rId41" Type="http://schemas.openxmlformats.org/officeDocument/2006/relationships/header" Target="header20.xml"/><Relationship Id="rId42" Type="http://schemas.openxmlformats.org/officeDocument/2006/relationships/footer" Target="footer16.xml"/><Relationship Id="rId43" Type="http://schemas.openxmlformats.org/officeDocument/2006/relationships/header" Target="header21.xml"/><Relationship Id="rId44" Type="http://schemas.openxmlformats.org/officeDocument/2006/relationships/footer" Target="footer17.xml"/><Relationship Id="rId45" Type="http://schemas.openxmlformats.org/officeDocument/2006/relationships/header" Target="header22.xml"/><Relationship Id="rId46" Type="http://schemas.openxmlformats.org/officeDocument/2006/relationships/footer" Target="footer18.xml"/><Relationship Id="rId47" Type="http://schemas.openxmlformats.org/officeDocument/2006/relationships/header" Target="header23.xml"/><Relationship Id="rId48" Type="http://schemas.openxmlformats.org/officeDocument/2006/relationships/footer" Target="footer19.xml"/><Relationship Id="rId49" Type="http://schemas.openxmlformats.org/officeDocument/2006/relationships/header" Target="header24.xml"/><Relationship Id="rId50" Type="http://schemas.openxmlformats.org/officeDocument/2006/relationships/footer" Target="footer20.xml"/><Relationship Id="rId51" Type="http://schemas.openxmlformats.org/officeDocument/2006/relationships/header" Target="header25.xml"/><Relationship Id="rId52" Type="http://schemas.openxmlformats.org/officeDocument/2006/relationships/footer" Target="footer21.xml"/><Relationship Id="rId53" Type="http://schemas.openxmlformats.org/officeDocument/2006/relationships/header" Target="header26.xml"/><Relationship Id="rId54" Type="http://schemas.openxmlformats.org/officeDocument/2006/relationships/footer" Target="footer22.xml"/><Relationship Id="rId55" Type="http://schemas.openxmlformats.org/officeDocument/2006/relationships/header" Target="header27.xml"/><Relationship Id="rId56" Type="http://schemas.openxmlformats.org/officeDocument/2006/relationships/footer" Target="footer23.xml"/><Relationship Id="rId57" Type="http://schemas.openxmlformats.org/officeDocument/2006/relationships/header" Target="header28.xml"/><Relationship Id="rId58" Type="http://schemas.openxmlformats.org/officeDocument/2006/relationships/footer" Target="footer24.xml"/><Relationship Id="rId59" Type="http://schemas.openxmlformats.org/officeDocument/2006/relationships/header" Target="header29.xml"/><Relationship Id="rId60" Type="http://schemas.openxmlformats.org/officeDocument/2006/relationships/footer" Target="footer25.xml"/><Relationship Id="rId61" Type="http://schemas.openxmlformats.org/officeDocument/2006/relationships/header" Target="header30.xml"/><Relationship Id="rId62" Type="http://schemas.openxmlformats.org/officeDocument/2006/relationships/footer" Target="footer26.xml"/><Relationship Id="rId63" Type="http://schemas.openxmlformats.org/officeDocument/2006/relationships/header" Target="header31.xml"/><Relationship Id="rId64" Type="http://schemas.openxmlformats.org/officeDocument/2006/relationships/footer" Target="footer27.xml"/><Relationship Id="rId65" Type="http://schemas.openxmlformats.org/officeDocument/2006/relationships/header" Target="header32.xml"/><Relationship Id="rId66" Type="http://schemas.openxmlformats.org/officeDocument/2006/relationships/footer" Target="footer28.xml"/><Relationship Id="rId67" Type="http://schemas.openxmlformats.org/officeDocument/2006/relationships/header" Target="header33.xml"/><Relationship Id="rId68" Type="http://schemas.openxmlformats.org/officeDocument/2006/relationships/footer" Target="footer29.xml"/><Relationship Id="rId69" Type="http://schemas.openxmlformats.org/officeDocument/2006/relationships/header" Target="header34.xml"/><Relationship Id="rId70" Type="http://schemas.openxmlformats.org/officeDocument/2006/relationships/footer" Target="footer30.xml"/><Relationship Id="rId71" Type="http://schemas.openxmlformats.org/officeDocument/2006/relationships/header" Target="header35.xml"/><Relationship Id="rId72" Type="http://schemas.openxmlformats.org/officeDocument/2006/relationships/footer" Target="footer31.xml"/><Relationship Id="rId73" Type="http://schemas.openxmlformats.org/officeDocument/2006/relationships/header" Target="header36.xml"/><Relationship Id="rId74" Type="http://schemas.openxmlformats.org/officeDocument/2006/relationships/footer" Target="footer32.xml"/><Relationship Id="rId75" Type="http://schemas.openxmlformats.org/officeDocument/2006/relationships/header" Target="header37.xml"/><Relationship Id="rId76" Type="http://schemas.openxmlformats.org/officeDocument/2006/relationships/footer" Target="footer33.xml"/><Relationship Id="rId77" Type="http://schemas.openxmlformats.org/officeDocument/2006/relationships/header" Target="header38.xml"/><Relationship Id="rId78" Type="http://schemas.openxmlformats.org/officeDocument/2006/relationships/footer" Target="footer34.xml"/><Relationship Id="rId79" Type="http://schemas.openxmlformats.org/officeDocument/2006/relationships/header" Target="header39.xml"/><Relationship Id="rId80" Type="http://schemas.openxmlformats.org/officeDocument/2006/relationships/footer" Target="footer35.xml"/><Relationship Id="rId81" Type="http://schemas.openxmlformats.org/officeDocument/2006/relationships/header" Target="header40.xml"/><Relationship Id="rId82" Type="http://schemas.openxmlformats.org/officeDocument/2006/relationships/footer" Target="footer36.xml"/><Relationship Id="rId83" Type="http://schemas.openxmlformats.org/officeDocument/2006/relationships/header" Target="header41.xml"/><Relationship Id="rId84" Type="http://schemas.openxmlformats.org/officeDocument/2006/relationships/footer" Target="footer37.xml"/><Relationship Id="rId85" Type="http://schemas.openxmlformats.org/officeDocument/2006/relationships/header" Target="header42.xml"/><Relationship Id="rId86" Type="http://schemas.openxmlformats.org/officeDocument/2006/relationships/footer" Target="footer38.xml"/><Relationship Id="rId87" Type="http://schemas.openxmlformats.org/officeDocument/2006/relationships/header" Target="header43.xml"/><Relationship Id="rId88" Type="http://schemas.openxmlformats.org/officeDocument/2006/relationships/footer" Target="footer39.xml"/><Relationship Id="rId89" Type="http://schemas.openxmlformats.org/officeDocument/2006/relationships/header" Target="header44.xml"/><Relationship Id="rId90" Type="http://schemas.openxmlformats.org/officeDocument/2006/relationships/footer" Target="footer40.xml"/><Relationship Id="rId91" Type="http://schemas.openxmlformats.org/officeDocument/2006/relationships/header" Target="header45.xml"/><Relationship Id="rId92" Type="http://schemas.openxmlformats.org/officeDocument/2006/relationships/footer" Target="footer41.xml"/><Relationship Id="rId93" Type="http://schemas.openxmlformats.org/officeDocument/2006/relationships/header" Target="header46.xml"/><Relationship Id="rId94" Type="http://schemas.openxmlformats.org/officeDocument/2006/relationships/footer" Target="footer42.xml"/><Relationship Id="rId95" Type="http://schemas.openxmlformats.org/officeDocument/2006/relationships/header" Target="header47.xml"/><Relationship Id="rId96" Type="http://schemas.openxmlformats.org/officeDocument/2006/relationships/footer" Target="footer43.xml"/><Relationship Id="rId97" Type="http://schemas.openxmlformats.org/officeDocument/2006/relationships/header" Target="header48.xml"/><Relationship Id="rId98" Type="http://schemas.openxmlformats.org/officeDocument/2006/relationships/footer" Target="footer44.xml"/><Relationship Id="rId99" Type="http://schemas.openxmlformats.org/officeDocument/2006/relationships/header" Target="header49.xml"/><Relationship Id="rId100" Type="http://schemas.openxmlformats.org/officeDocument/2006/relationships/footer" Target="footer45.xml"/><Relationship Id="rId101" Type="http://schemas.openxmlformats.org/officeDocument/2006/relationships/header" Target="header50.xml"/><Relationship Id="rId102" Type="http://schemas.openxmlformats.org/officeDocument/2006/relationships/footer" Target="footer46.xml"/><Relationship Id="rId103" Type="http://schemas.openxmlformats.org/officeDocument/2006/relationships/header" Target="header51.xml"/><Relationship Id="rId104" Type="http://schemas.openxmlformats.org/officeDocument/2006/relationships/footer" Target="footer47.xml"/><Relationship Id="rId105" Type="http://schemas.openxmlformats.org/officeDocument/2006/relationships/header" Target="header52.xml"/><Relationship Id="rId106" Type="http://schemas.openxmlformats.org/officeDocument/2006/relationships/footer" Target="footer48.xml"/><Relationship Id="rId107" Type="http://schemas.openxmlformats.org/officeDocument/2006/relationships/header" Target="header53.xml"/><Relationship Id="rId108" Type="http://schemas.openxmlformats.org/officeDocument/2006/relationships/footer" Target="footer49.xml"/><Relationship Id="rId109" Type="http://schemas.openxmlformats.org/officeDocument/2006/relationships/header" Target="header54.xml"/><Relationship Id="rId110" Type="http://schemas.openxmlformats.org/officeDocument/2006/relationships/footer" Target="footer50.xml"/><Relationship Id="rId111" Type="http://schemas.openxmlformats.org/officeDocument/2006/relationships/header" Target="header55.xml"/><Relationship Id="rId112" Type="http://schemas.openxmlformats.org/officeDocument/2006/relationships/footer" Target="footer51.xml"/><Relationship Id="rId113" Type="http://schemas.openxmlformats.org/officeDocument/2006/relationships/header" Target="header56.xml"/><Relationship Id="rId114" Type="http://schemas.openxmlformats.org/officeDocument/2006/relationships/footer" Target="footer52.xml"/><Relationship Id="rId115" Type="http://schemas.openxmlformats.org/officeDocument/2006/relationships/header" Target="header57.xml"/><Relationship Id="rId116" Type="http://schemas.openxmlformats.org/officeDocument/2006/relationships/footer" Target="footer53.xml"/><Relationship Id="rId117" Type="http://schemas.openxmlformats.org/officeDocument/2006/relationships/header" Target="header58.xml"/><Relationship Id="rId118" Type="http://schemas.openxmlformats.org/officeDocument/2006/relationships/footer" Target="footer54.xml"/><Relationship Id="rId119" Type="http://schemas.openxmlformats.org/officeDocument/2006/relationships/header" Target="header59.xml"/><Relationship Id="rId120" Type="http://schemas.openxmlformats.org/officeDocument/2006/relationships/footer" Target="footer55.xml"/><Relationship Id="rId121" Type="http://schemas.openxmlformats.org/officeDocument/2006/relationships/header" Target="header60.xml"/><Relationship Id="rId122" Type="http://schemas.openxmlformats.org/officeDocument/2006/relationships/footer" Target="footer56.xml"/><Relationship Id="rId123" Type="http://schemas.openxmlformats.org/officeDocument/2006/relationships/header" Target="header61.xml"/><Relationship Id="rId124" Type="http://schemas.openxmlformats.org/officeDocument/2006/relationships/footer" Target="footer57.xml"/><Relationship Id="rId125" Type="http://schemas.openxmlformats.org/officeDocument/2006/relationships/header" Target="header62.xml"/><Relationship Id="rId126" Type="http://schemas.openxmlformats.org/officeDocument/2006/relationships/footer" Target="footer58.xml"/><Relationship Id="rId127" Type="http://schemas.openxmlformats.org/officeDocument/2006/relationships/header" Target="header63.xml"/><Relationship Id="rId128" Type="http://schemas.openxmlformats.org/officeDocument/2006/relationships/footer" Target="footer59.xml"/><Relationship Id="rId129" Type="http://schemas.openxmlformats.org/officeDocument/2006/relationships/header" Target="header64.xml"/><Relationship Id="rId130" Type="http://schemas.openxmlformats.org/officeDocument/2006/relationships/footer" Target="footer60.xml"/><Relationship Id="rId131" Type="http://schemas.openxmlformats.org/officeDocument/2006/relationships/header" Target="header65.xml"/><Relationship Id="rId132" Type="http://schemas.openxmlformats.org/officeDocument/2006/relationships/footer" Target="footer61.xml"/><Relationship Id="rId133" Type="http://schemas.openxmlformats.org/officeDocument/2006/relationships/header" Target="header66.xml"/><Relationship Id="rId134" Type="http://schemas.openxmlformats.org/officeDocument/2006/relationships/footer" Target="footer62.xml"/><Relationship Id="rId135" Type="http://schemas.openxmlformats.org/officeDocument/2006/relationships/header" Target="header67.xml"/><Relationship Id="rId136" Type="http://schemas.openxmlformats.org/officeDocument/2006/relationships/footer" Target="footer63.xml"/><Relationship Id="rId137" Type="http://schemas.openxmlformats.org/officeDocument/2006/relationships/header" Target="header68.xml"/><Relationship Id="rId138" Type="http://schemas.openxmlformats.org/officeDocument/2006/relationships/footer" Target="footer64.xml"/><Relationship Id="rId139" Type="http://schemas.openxmlformats.org/officeDocument/2006/relationships/header" Target="header69.xml"/><Relationship Id="rId140" Type="http://schemas.openxmlformats.org/officeDocument/2006/relationships/footer" Target="footer65.xml"/><Relationship Id="rId141" Type="http://schemas.openxmlformats.org/officeDocument/2006/relationships/header" Target="header70.xml"/><Relationship Id="rId142" Type="http://schemas.openxmlformats.org/officeDocument/2006/relationships/footer" Target="footer66.xml"/><Relationship Id="rId143" Type="http://schemas.openxmlformats.org/officeDocument/2006/relationships/header" Target="header71.xml"/><Relationship Id="rId144" Type="http://schemas.openxmlformats.org/officeDocument/2006/relationships/footer" Target="footer67.xml"/><Relationship Id="rId145" Type="http://schemas.openxmlformats.org/officeDocument/2006/relationships/header" Target="header72.xml"/><Relationship Id="rId146" Type="http://schemas.openxmlformats.org/officeDocument/2006/relationships/footer" Target="footer68.xml"/><Relationship Id="rId147" Type="http://schemas.openxmlformats.org/officeDocument/2006/relationships/header" Target="header73.xml"/><Relationship Id="rId148" Type="http://schemas.openxmlformats.org/officeDocument/2006/relationships/footer" Target="footer69.xml"/><Relationship Id="rId149" Type="http://schemas.openxmlformats.org/officeDocument/2006/relationships/header" Target="header74.xml"/><Relationship Id="rId150" Type="http://schemas.openxmlformats.org/officeDocument/2006/relationships/footer" Target="footer70.xml"/><Relationship Id="rId151" Type="http://schemas.openxmlformats.org/officeDocument/2006/relationships/header" Target="header75.xml"/><Relationship Id="rId152" Type="http://schemas.openxmlformats.org/officeDocument/2006/relationships/footer" Target="footer71.xml"/><Relationship Id="rId153" Type="http://schemas.openxmlformats.org/officeDocument/2006/relationships/header" Target="header76.xml"/><Relationship Id="rId154" Type="http://schemas.openxmlformats.org/officeDocument/2006/relationships/footer" Target="footer72.xml"/><Relationship Id="rId155" Type="http://schemas.openxmlformats.org/officeDocument/2006/relationships/header" Target="header77.xml"/><Relationship Id="rId156" Type="http://schemas.openxmlformats.org/officeDocument/2006/relationships/footer" Target="footer73.xml"/><Relationship Id="rId157" Type="http://schemas.openxmlformats.org/officeDocument/2006/relationships/header" Target="header78.xml"/><Relationship Id="rId158" Type="http://schemas.openxmlformats.org/officeDocument/2006/relationships/footer" Target="footer74.xml"/><Relationship Id="rId159" Type="http://schemas.openxmlformats.org/officeDocument/2006/relationships/header" Target="header79.xml"/><Relationship Id="rId160" Type="http://schemas.openxmlformats.org/officeDocument/2006/relationships/footer" Target="footer75.xml"/><Relationship Id="rId161" Type="http://schemas.openxmlformats.org/officeDocument/2006/relationships/header" Target="header80.xml"/><Relationship Id="rId162" Type="http://schemas.openxmlformats.org/officeDocument/2006/relationships/footer" Target="footer76.xml"/><Relationship Id="rId163" Type="http://schemas.openxmlformats.org/officeDocument/2006/relationships/header" Target="header81.xml"/><Relationship Id="rId164" Type="http://schemas.openxmlformats.org/officeDocument/2006/relationships/footer" Target="footer77.xml"/><Relationship Id="rId165" Type="http://schemas.openxmlformats.org/officeDocument/2006/relationships/header" Target="header82.xml"/><Relationship Id="rId166" Type="http://schemas.openxmlformats.org/officeDocument/2006/relationships/footer" Target="footer78.xml"/><Relationship Id="rId167" Type="http://schemas.openxmlformats.org/officeDocument/2006/relationships/header" Target="header83.xml"/><Relationship Id="rId168" Type="http://schemas.openxmlformats.org/officeDocument/2006/relationships/footer" Target="footer79.xml"/><Relationship Id="rId169" Type="http://schemas.openxmlformats.org/officeDocument/2006/relationships/header" Target="header84.xml"/><Relationship Id="rId170" Type="http://schemas.openxmlformats.org/officeDocument/2006/relationships/footer" Target="footer80.xml"/><Relationship Id="rId171" Type="http://schemas.openxmlformats.org/officeDocument/2006/relationships/header" Target="header85.xml"/><Relationship Id="rId172" Type="http://schemas.openxmlformats.org/officeDocument/2006/relationships/footer" Target="footer81.xml"/><Relationship Id="rId173" Type="http://schemas.openxmlformats.org/officeDocument/2006/relationships/header" Target="header86.xml"/><Relationship Id="rId174" Type="http://schemas.openxmlformats.org/officeDocument/2006/relationships/footer" Target="footer82.xml"/><Relationship Id="rId175" Type="http://schemas.openxmlformats.org/officeDocument/2006/relationships/header" Target="header87.xml"/><Relationship Id="rId176" Type="http://schemas.openxmlformats.org/officeDocument/2006/relationships/footer" Target="footer83.xml"/><Relationship Id="rId177" Type="http://schemas.openxmlformats.org/officeDocument/2006/relationships/header" Target="header88.xml"/><Relationship Id="rId178" Type="http://schemas.openxmlformats.org/officeDocument/2006/relationships/footer" Target="footer84.xml"/><Relationship Id="rId179" Type="http://schemas.openxmlformats.org/officeDocument/2006/relationships/header" Target="header89.xml"/><Relationship Id="rId180" Type="http://schemas.openxmlformats.org/officeDocument/2006/relationships/footer" Target="footer85.xml"/><Relationship Id="rId181" Type="http://schemas.openxmlformats.org/officeDocument/2006/relationships/header" Target="header90.xml"/><Relationship Id="rId182" Type="http://schemas.openxmlformats.org/officeDocument/2006/relationships/footer" Target="footer86.xml"/><Relationship Id="rId183" Type="http://schemas.openxmlformats.org/officeDocument/2006/relationships/header" Target="header91.xml"/><Relationship Id="rId184" Type="http://schemas.openxmlformats.org/officeDocument/2006/relationships/footer" Target="footer87.xml"/><Relationship Id="rId185" Type="http://schemas.openxmlformats.org/officeDocument/2006/relationships/header" Target="header92.xml"/><Relationship Id="rId186" Type="http://schemas.openxmlformats.org/officeDocument/2006/relationships/footer" Target="footer88.xml"/><Relationship Id="rId187" Type="http://schemas.openxmlformats.org/officeDocument/2006/relationships/header" Target="header93.xml"/><Relationship Id="rId188" Type="http://schemas.openxmlformats.org/officeDocument/2006/relationships/footer" Target="footer89.xml"/></Relationships>
</file>

<file path=docProps/core.xml><?xml version="1.0" encoding="utf-8"?>
<cp:coreProperties xmlns:cp="http://schemas.openxmlformats.org/package/2006/metadata/core-properties" xmlns:dc="http://purl.org/dc/elements/1.1/">
  <dc:title>国民技术股份有限公司2017年年度报告</dc:title>
  <dc:subject/>
  <dc:creator>国民技术股份有限公司</dc:creator>
  <cp:keywords/>
</cp:coreProperties>
</file>