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1807" w:lineRule="exact"/>
        <w:ind w:left="20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699643" cy="114785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699643" cy="1147857"/>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05" w:lineRule="auto" w:before="81"/>
        <w:ind w:left="2423" w:right="3403" w:firstLine="0"/>
        <w:jc w:val="center"/>
        <w:rPr>
          <w:rFonts w:ascii="宋体" w:hAnsi="宋体" w:cs="宋体" w:eastAsia="宋体" w:hint="default"/>
          <w:sz w:val="44"/>
          <w:szCs w:val="44"/>
        </w:rPr>
      </w:pPr>
      <w:r>
        <w:rPr>
          <w:rFonts w:ascii="宋体" w:hAnsi="宋体" w:cs="宋体" w:eastAsia="宋体" w:hint="default"/>
          <w:b/>
          <w:bCs/>
          <w:spacing w:val="2"/>
          <w:w w:val="95"/>
          <w:sz w:val="44"/>
          <w:szCs w:val="44"/>
        </w:rPr>
        <w:t>思创医惠科技股份有限公司</w:t>
      </w:r>
      <w:r>
        <w:rPr>
          <w:rFonts w:ascii="宋体" w:hAnsi="宋体" w:cs="宋体" w:eastAsia="宋体" w:hint="default"/>
          <w:b/>
          <w:bCs/>
          <w:spacing w:val="18"/>
          <w:w w:val="95"/>
          <w:sz w:val="44"/>
          <w:szCs w:val="44"/>
        </w:rPr>
        <w:t> </w:t>
      </w:r>
      <w:r>
        <w:rPr>
          <w:rFonts w:ascii="宋体" w:hAnsi="宋体" w:cs="宋体" w:eastAsia="宋体" w:hint="default"/>
          <w:b/>
          <w:bCs/>
          <w:sz w:val="44"/>
          <w:szCs w:val="44"/>
        </w:rPr>
        <w:t>2018</w:t>
      </w:r>
      <w:r>
        <w:rPr>
          <w:rFonts w:ascii="宋体" w:hAnsi="宋体" w:cs="宋体" w:eastAsia="宋体" w:hint="default"/>
          <w:b/>
          <w:bCs/>
          <w:spacing w:val="-11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10"/>
        <w:rPr>
          <w:rFonts w:ascii="宋体" w:hAnsi="宋体" w:cs="宋体" w:eastAsia="宋体" w:hint="default"/>
          <w:b/>
          <w:bCs/>
          <w:sz w:val="39"/>
          <w:szCs w:val="39"/>
        </w:rPr>
      </w:pPr>
    </w:p>
    <w:p>
      <w:pPr>
        <w:spacing w:before="0"/>
        <w:ind w:left="2423" w:right="3401" w:firstLine="0"/>
        <w:jc w:val="center"/>
        <w:rPr>
          <w:rFonts w:ascii="宋体" w:hAnsi="宋体" w:cs="宋体" w:eastAsia="宋体" w:hint="default"/>
          <w:sz w:val="36"/>
          <w:szCs w:val="36"/>
        </w:rPr>
      </w:pPr>
      <w:r>
        <w:rPr>
          <w:rFonts w:ascii="宋体" w:hAnsi="宋体" w:cs="宋体" w:eastAsia="宋体" w:hint="default"/>
          <w:b/>
          <w:bCs/>
          <w:sz w:val="36"/>
          <w:szCs w:val="36"/>
        </w:rPr>
        <w:t>2019</w:t>
      </w:r>
      <w:r>
        <w:rPr>
          <w:rFonts w:ascii="宋体" w:hAnsi="宋体" w:cs="宋体" w:eastAsia="宋体" w:hint="default"/>
          <w:b/>
          <w:bCs/>
          <w:spacing w:val="-93"/>
          <w:sz w:val="36"/>
          <w:szCs w:val="36"/>
        </w:rPr>
        <w:t> </w:t>
      </w:r>
      <w:r>
        <w:rPr>
          <w:rFonts w:ascii="宋体" w:hAnsi="宋体" w:cs="宋体" w:eastAsia="宋体" w:hint="default"/>
          <w:b/>
          <w:bCs/>
          <w:sz w:val="36"/>
          <w:szCs w:val="36"/>
        </w:rPr>
        <w:t>年</w:t>
      </w:r>
      <w:r>
        <w:rPr>
          <w:rFonts w:ascii="宋体" w:hAnsi="宋体" w:cs="宋体" w:eastAsia="宋体" w:hint="default"/>
          <w:b/>
          <w:bCs/>
          <w:spacing w:val="-91"/>
          <w:sz w:val="36"/>
          <w:szCs w:val="36"/>
        </w:rPr>
        <w:t> </w:t>
      </w:r>
      <w:r>
        <w:rPr>
          <w:rFonts w:ascii="宋体" w:hAnsi="宋体" w:cs="宋体" w:eastAsia="宋体" w:hint="default"/>
          <w:b/>
          <w:bCs/>
          <w:sz w:val="36"/>
          <w:szCs w:val="36"/>
        </w:rPr>
        <w:t>03</w:t>
      </w:r>
      <w:r>
        <w:rPr>
          <w:rFonts w:ascii="宋体" w:hAnsi="宋体" w:cs="宋体" w:eastAsia="宋体" w:hint="default"/>
          <w:b/>
          <w:bCs/>
          <w:spacing w:val="-91"/>
          <w:sz w:val="36"/>
          <w:szCs w:val="36"/>
        </w:rPr>
        <w:t>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5" w:footer="979" w:top="1040" w:bottom="1160" w:left="980" w:right="0"/>
        </w:sectPr>
      </w:pPr>
    </w:p>
    <w:p>
      <w:pPr>
        <w:spacing w:line="240" w:lineRule="auto" w:before="7"/>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公司负责人章笠中、主管会计工作负责人王凛及会计机构负责人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王凛声明：保证年度报告中财务报告的真实、准确、完整。</w:t>
      </w:r>
      <w:r>
        <w:rPr>
          <w:rFonts w:ascii="宋体" w:hAnsi="宋体" w:cs="宋体" w:eastAsia="宋体" w:hint="default"/>
          <w:sz w:val="28"/>
          <w:szCs w:val="28"/>
        </w:rPr>
      </w:r>
    </w:p>
    <w:p>
      <w:pPr>
        <w:spacing w:line="472" w:lineRule="auto"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公司在经营管理中可能面临的主要风险与相应举措已在本报告第四节“经</w:t>
      </w:r>
      <w:r>
        <w:rPr>
          <w:rFonts w:ascii="宋体" w:hAnsi="宋体" w:cs="宋体" w:eastAsia="宋体" w:hint="default"/>
          <w:spacing w:val="2"/>
          <w:sz w:val="28"/>
          <w:szCs w:val="28"/>
        </w:rPr>
      </w:r>
    </w:p>
    <w:p>
      <w:pPr>
        <w:spacing w:line="408" w:lineRule="auto" w:before="0"/>
        <w:ind w:left="152" w:right="1125" w:firstLine="0"/>
        <w:jc w:val="left"/>
        <w:rPr>
          <w:rFonts w:ascii="宋体" w:hAnsi="宋体" w:cs="宋体" w:eastAsia="宋体" w:hint="default"/>
          <w:sz w:val="28"/>
          <w:szCs w:val="28"/>
        </w:rPr>
      </w:pPr>
      <w:r>
        <w:rPr>
          <w:rFonts w:ascii="宋体" w:hAnsi="宋体" w:cs="宋体" w:eastAsia="宋体" w:hint="default"/>
          <w:b/>
          <w:bCs/>
          <w:sz w:val="28"/>
          <w:szCs w:val="28"/>
        </w:rPr>
        <w:t>营情况讨论与分析” </w:t>
      </w:r>
      <w:r>
        <w:rPr>
          <w:rFonts w:ascii="宋体" w:hAnsi="宋体" w:cs="宋体" w:eastAsia="宋体" w:hint="default"/>
          <w:b/>
          <w:bCs/>
          <w:spacing w:val="2"/>
          <w:sz w:val="28"/>
          <w:szCs w:val="28"/>
        </w:rPr>
        <w:t>之“九、公司未来发展的展望”</w:t>
      </w:r>
      <w:r>
        <w:rPr>
          <w:rFonts w:ascii="宋体" w:hAnsi="宋体" w:cs="宋体" w:eastAsia="宋体" w:hint="default"/>
          <w:b/>
          <w:bCs/>
          <w:spacing w:val="43"/>
          <w:sz w:val="28"/>
          <w:szCs w:val="28"/>
        </w:rPr>
        <w:t> </w:t>
      </w:r>
      <w:r>
        <w:rPr>
          <w:rFonts w:ascii="宋体" w:hAnsi="宋体" w:cs="宋体" w:eastAsia="宋体" w:hint="default"/>
          <w:b/>
          <w:bCs/>
          <w:sz w:val="28"/>
          <w:szCs w:val="28"/>
        </w:rPr>
        <w:t>部分予以描述。敬请广</w:t>
      </w:r>
      <w:r>
        <w:rPr>
          <w:rFonts w:ascii="宋体" w:hAnsi="宋体" w:cs="宋体" w:eastAsia="宋体" w:hint="default"/>
          <w:b/>
          <w:bCs/>
          <w:w w:val="99"/>
          <w:sz w:val="28"/>
          <w:szCs w:val="28"/>
        </w:rPr>
        <w:t> </w:t>
      </w:r>
      <w:r>
        <w:rPr>
          <w:rFonts w:ascii="宋体" w:hAnsi="宋体" w:cs="宋体" w:eastAsia="宋体" w:hint="default"/>
          <w:b/>
          <w:bCs/>
          <w:sz w:val="28"/>
          <w:szCs w:val="28"/>
        </w:rPr>
        <w:t>大投资者注意风险。</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宋体" w:hAnsi="宋体" w:cs="宋体" w:eastAsia="宋体" w:hint="default"/>
          <w:b/>
          <w:bCs/>
          <w:sz w:val="28"/>
          <w:szCs w:val="28"/>
        </w:rPr>
        <w:t>807,885,334</w:t>
      </w:r>
      <w:r>
        <w:rPr>
          <w:rFonts w:ascii="宋体" w:hAnsi="宋体" w:cs="宋体" w:eastAsia="宋体" w:hint="default"/>
          <w:b/>
          <w:bCs/>
          <w:spacing w:val="-7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7"/>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spacing w:val="-3"/>
          <w:w w:val="99"/>
          <w:sz w:val="28"/>
          <w:szCs w:val="28"/>
        </w:rPr>
        <w:t>股</w:t>
      </w:r>
      <w:r>
        <w:rPr>
          <w:rFonts w:ascii="宋体" w:hAnsi="宋体" w:cs="宋体" w:eastAsia="宋体" w:hint="default"/>
          <w:b/>
          <w:bCs/>
          <w:w w:val="99"/>
          <w:sz w:val="28"/>
          <w:szCs w:val="28"/>
        </w:rPr>
        <w:t>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宋体" w:hAnsi="宋体" w:cs="宋体" w:eastAsia="宋体" w:hint="default"/>
          <w:b/>
          <w:bCs/>
          <w:w w:val="99"/>
          <w:sz w:val="28"/>
          <w:szCs w:val="28"/>
        </w:rPr>
        <w:t>0.</w:t>
      </w:r>
      <w:r>
        <w:rPr>
          <w:rFonts w:ascii="宋体" w:hAnsi="宋体" w:cs="宋体" w:eastAsia="宋体" w:hint="default"/>
          <w:b/>
          <w:bCs/>
          <w:spacing w:val="-2"/>
          <w:w w:val="99"/>
          <w:sz w:val="28"/>
          <w:szCs w:val="28"/>
        </w:rPr>
        <w:t>1</w:t>
      </w:r>
      <w:r>
        <w:rPr>
          <w:rFonts w:ascii="宋体" w:hAnsi="宋体" w:cs="宋体" w:eastAsia="宋体" w:hint="default"/>
          <w:b/>
          <w:bCs/>
          <w:w w:val="99"/>
          <w:sz w:val="28"/>
          <w:szCs w:val="28"/>
        </w:rPr>
        <w:t>8</w:t>
      </w:r>
      <w:r>
        <w:rPr>
          <w:rFonts w:ascii="宋体" w:hAnsi="宋体" w:cs="宋体" w:eastAsia="宋体" w:hint="default"/>
          <w:b/>
          <w:bCs/>
          <w:spacing w:val="-58"/>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7"/>
          <w:sz w:val="28"/>
          <w:szCs w:val="28"/>
        </w:rPr>
        <w:t> </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2"/>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2"/>
          <w:sz w:val="28"/>
          <w:szCs w:val="28"/>
        </w:rPr>
        <w:t> </w:t>
      </w:r>
      <w:r>
        <w:rPr>
          <w:rFonts w:ascii="宋体" w:hAnsi="宋体" w:cs="宋体" w:eastAsia="宋体" w:hint="default"/>
          <w:b/>
          <w:bCs/>
          <w:sz w:val="28"/>
          <w:szCs w:val="28"/>
        </w:rPr>
        <w:t>10</w:t>
      </w:r>
      <w:r>
        <w:rPr>
          <w:rFonts w:ascii="宋体" w:hAnsi="宋体" w:cs="宋体" w:eastAsia="宋体" w:hint="default"/>
          <w:b/>
          <w:bCs/>
          <w:spacing w:val="-7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宋体" w:hAnsi="宋体" w:cs="宋体" w:eastAsia="宋体" w:hint="default"/>
          <w:b/>
          <w:bCs/>
          <w:sz w:val="28"/>
          <w:szCs w:val="28"/>
        </w:rPr>
        <w:t>0</w:t>
      </w:r>
      <w:r>
        <w:rPr>
          <w:rFonts w:ascii="宋体" w:hAnsi="宋体" w:cs="宋体" w:eastAsia="宋体" w:hint="default"/>
          <w:b/>
          <w:bCs/>
          <w:spacing w:val="-7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40" w:bottom="1160" w:left="980" w:right="0"/>
          <w:pgNumType w:start="2"/>
        </w:sectPr>
      </w:pPr>
    </w:p>
    <w:p>
      <w:pPr>
        <w:spacing w:line="240" w:lineRule="auto" w:before="7"/>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tabs>
          <w:tab w:pos="883" w:val="left" w:leader="none"/>
        </w:tabs>
        <w:spacing w:line="539" w:lineRule="exact" w:before="0"/>
        <w:ind w:left="0" w:right="98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38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194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40" w:bottom="1160" w:left="980" w:right="0"/>
        </w:sectPr>
      </w:pPr>
    </w:p>
    <w:p>
      <w:pPr>
        <w:tabs>
          <w:tab w:pos="804" w:val="left" w:leader="none"/>
        </w:tabs>
        <w:spacing w:before="892"/>
        <w:ind w:left="0" w:right="978" w:firstLine="0"/>
        <w:jc w:val="center"/>
        <w:rPr>
          <w:rFonts w:ascii="宋体" w:hAnsi="宋体" w:cs="宋体" w:eastAsia="宋体" w:hint="default"/>
          <w:sz w:val="40"/>
          <w:szCs w:val="40"/>
        </w:rPr>
      </w:pPr>
      <w:r>
        <w:rPr>
          <w:rFonts w:ascii="宋体" w:hAnsi="宋体" w:cs="宋体" w:eastAsia="宋体" w:hint="default"/>
          <w:b/>
          <w:bCs/>
          <w:w w:val="95"/>
          <w:sz w:val="40"/>
          <w:szCs w:val="40"/>
        </w:rPr>
        <w:t>释</w:t>
        <w:tab/>
      </w:r>
      <w:r>
        <w:rPr>
          <w:rFonts w:ascii="宋体" w:hAnsi="宋体" w:cs="宋体" w:eastAsia="宋体" w:hint="default"/>
          <w:b/>
          <w:bCs/>
          <w:sz w:val="40"/>
          <w:szCs w:val="40"/>
        </w:rPr>
        <w:t>义</w:t>
      </w:r>
      <w:r>
        <w:rPr>
          <w:rFonts w:ascii="宋体" w:hAnsi="宋体" w:cs="宋体" w:eastAsia="宋体" w:hint="default"/>
          <w:sz w:val="40"/>
          <w:szCs w:val="4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思创医惠、公司、上市公司、本公司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思创物联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杭州中瑞思创物联科技有限公司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杭州中科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华洁医疗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思创超讯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超讯分公司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北京思创超讯科技发展有限公司杭州分公司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思创宣道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医惠医织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杭州医惠医用织物管理有限公司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认知投资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琅玕科技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江苏钜芯集成电路技术股份有限公司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上海瑞章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上海瑞章投资有限公司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保税区电子商务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汕头保税区领域跨境电子商务有限公司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天威电子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认知网络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佳音医院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沃森研究院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浙江省沃森智慧医疗研究院</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CE</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4"/>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3"/>
                <w:sz w:val="18"/>
                <w:szCs w:val="18"/>
              </w:rPr>
              <w:t> </w:t>
            </w:r>
            <w:r>
              <w:rPr>
                <w:rFonts w:ascii="宋体" w:hAnsi="宋体" w:cs="宋体" w:eastAsia="宋体" w:hint="default"/>
                <w:sz w:val="18"/>
                <w:szCs w:val="18"/>
              </w:rPr>
              <w:t>Europe</w:t>
            </w:r>
            <w:r>
              <w:rPr>
                <w:rFonts w:ascii="宋体" w:hAnsi="宋体" w:cs="宋体" w:eastAsia="宋体" w:hint="default"/>
                <w:spacing w:val="-3"/>
                <w:sz w:val="18"/>
                <w:szCs w:val="18"/>
              </w:rPr>
              <w:t> </w:t>
            </w:r>
            <w:r>
              <w:rPr>
                <w:rFonts w:ascii="宋体" w:hAnsi="宋体" w:cs="宋体" w:eastAsia="宋体" w:hint="default"/>
                <w:sz w:val="18"/>
                <w:szCs w:val="18"/>
              </w:rPr>
              <w:t>AB</w:t>
            </w:r>
            <w:r>
              <w:rPr>
                <w:rFonts w:ascii="宋体" w:hAnsi="宋体" w:cs="宋体" w:eastAsia="宋体" w:hint="default"/>
                <w:sz w:val="18"/>
                <w:szCs w:val="18"/>
              </w:rPr>
              <w:t>，主要提供保护盒及思创医惠在欧洲市场</w:t>
            </w:r>
            <w:r>
              <w:rPr>
                <w:rFonts w:ascii="宋体" w:hAnsi="宋体" w:cs="宋体" w:eastAsia="宋体" w:hint="default"/>
                <w:spacing w:val="-45"/>
                <w:sz w:val="18"/>
                <w:szCs w:val="18"/>
              </w:rPr>
              <w:t> </w:t>
            </w:r>
            <w:r>
              <w:rPr>
                <w:rFonts w:ascii="宋体" w:hAnsi="宋体" w:cs="宋体" w:eastAsia="宋体" w:hint="default"/>
                <w:sz w:val="18"/>
                <w:szCs w:val="18"/>
              </w:rPr>
              <w:t>EAS</w:t>
            </w:r>
            <w:r>
              <w:rPr>
                <w:rFonts w:ascii="宋体" w:hAnsi="宋体" w:cs="宋体" w:eastAsia="宋体" w:hint="default"/>
                <w:spacing w:val="-45"/>
                <w:sz w:val="18"/>
                <w:szCs w:val="18"/>
              </w:rPr>
              <w:t> </w:t>
            </w:r>
            <w:r>
              <w:rPr>
                <w:rFonts w:ascii="宋体" w:hAnsi="宋体" w:cs="宋体" w:eastAsia="宋体" w:hint="default"/>
                <w:sz w:val="18"/>
                <w:szCs w:val="18"/>
              </w:rPr>
              <w:t>产 品经营管理</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CLA</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3"/>
                <w:sz w:val="18"/>
                <w:szCs w:val="18"/>
              </w:rPr>
              <w:t> </w:t>
            </w:r>
            <w:r>
              <w:rPr>
                <w:rFonts w:ascii="宋体" w:hAnsi="宋体" w:cs="宋体" w:eastAsia="宋体" w:hint="default"/>
                <w:sz w:val="18"/>
                <w:szCs w:val="18"/>
              </w:rPr>
              <w:t>Link</w:t>
            </w:r>
            <w:r>
              <w:rPr>
                <w:rFonts w:ascii="宋体" w:hAnsi="宋体" w:cs="宋体" w:eastAsia="宋体" w:hint="default"/>
                <w:spacing w:val="-3"/>
                <w:sz w:val="18"/>
                <w:szCs w:val="18"/>
              </w:rPr>
              <w:t> </w:t>
            </w:r>
            <w:r>
              <w:rPr>
                <w:rFonts w:ascii="宋体" w:hAnsi="宋体" w:cs="宋体" w:eastAsia="宋体" w:hint="default"/>
                <w:sz w:val="18"/>
                <w:szCs w:val="18"/>
              </w:rPr>
              <w:t>America</w:t>
            </w:r>
            <w:r>
              <w:rPr>
                <w:rFonts w:ascii="宋体" w:hAnsi="宋体" w:cs="宋体" w:eastAsia="宋体" w:hint="default"/>
                <w:sz w:val="18"/>
                <w:szCs w:val="18"/>
              </w:rPr>
              <w:t>，主要从事</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美国市场拓展</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GL</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Comercial GL Group</w:t>
            </w:r>
            <w:r>
              <w:rPr>
                <w:rFonts w:ascii="宋体" w:hAnsi="宋体" w:cs="宋体" w:eastAsia="宋体" w:hint="default"/>
                <w:spacing w:val="-8"/>
                <w:sz w:val="18"/>
                <w:szCs w:val="18"/>
              </w:rPr>
              <w:t> </w:t>
            </w:r>
            <w:r>
              <w:rPr>
                <w:rFonts w:ascii="宋体" w:hAnsi="宋体" w:cs="宋体" w:eastAsia="宋体" w:hint="default"/>
                <w:sz w:val="18"/>
                <w:szCs w:val="18"/>
              </w:rPr>
              <w:t>S.A.</w:t>
            </w:r>
            <w:r>
              <w:rPr>
                <w:rFonts w:ascii="宋体" w:hAnsi="宋体" w:cs="宋体" w:eastAsia="宋体" w:hint="default"/>
                <w:sz w:val="18"/>
                <w:szCs w:val="18"/>
              </w:rPr>
              <w:t>，主要从事零售业安防和智能管理的技术 支持，解决方案和服务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BV</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14"/>
                <w:sz w:val="18"/>
                <w:szCs w:val="18"/>
              </w:rPr>
              <w:t> </w:t>
            </w:r>
            <w:r>
              <w:rPr>
                <w:rFonts w:ascii="宋体" w:hAnsi="宋体" w:cs="宋体" w:eastAsia="宋体" w:hint="default"/>
                <w:sz w:val="18"/>
                <w:szCs w:val="18"/>
              </w:rPr>
              <w:t>Retail</w:t>
            </w:r>
            <w:r>
              <w:rPr>
                <w:rFonts w:ascii="宋体" w:hAnsi="宋体" w:cs="宋体" w:eastAsia="宋体" w:hint="default"/>
                <w:spacing w:val="-14"/>
                <w:sz w:val="18"/>
                <w:szCs w:val="18"/>
              </w:rPr>
              <w:t> </w:t>
            </w:r>
            <w:r>
              <w:rPr>
                <w:rFonts w:ascii="宋体" w:hAnsi="宋体" w:cs="宋体" w:eastAsia="宋体" w:hint="default"/>
                <w:sz w:val="18"/>
                <w:szCs w:val="18"/>
              </w:rPr>
              <w:t>Europe</w:t>
            </w:r>
            <w:r>
              <w:rPr>
                <w:rFonts w:ascii="宋体" w:hAnsi="宋体" w:cs="宋体" w:eastAsia="宋体" w:hint="default"/>
                <w:spacing w:val="-14"/>
                <w:sz w:val="18"/>
                <w:szCs w:val="18"/>
              </w:rPr>
              <w:t> </w:t>
            </w:r>
            <w:r>
              <w:rPr>
                <w:rFonts w:ascii="宋体" w:hAnsi="宋体" w:cs="宋体" w:eastAsia="宋体" w:hint="default"/>
                <w:sz w:val="18"/>
                <w:szCs w:val="18"/>
              </w:rPr>
              <w:t>B.V.</w:t>
            </w:r>
            <w:r>
              <w:rPr>
                <w:rFonts w:ascii="宋体" w:hAnsi="宋体" w:cs="宋体" w:eastAsia="宋体" w:hint="default"/>
                <w:sz w:val="18"/>
                <w:szCs w:val="18"/>
              </w:rPr>
              <w:t>主要从事公司在欧洲市场</w:t>
            </w:r>
            <w:r>
              <w:rPr>
                <w:rFonts w:ascii="宋体" w:hAnsi="宋体" w:cs="宋体" w:eastAsia="宋体" w:hint="default"/>
                <w:spacing w:val="-45"/>
                <w:sz w:val="18"/>
                <w:szCs w:val="18"/>
              </w:rPr>
              <w:t> </w:t>
            </w:r>
            <w:r>
              <w:rPr>
                <w:rFonts w:ascii="宋体" w:hAnsi="宋体" w:cs="宋体" w:eastAsia="宋体" w:hint="default"/>
                <w:sz w:val="18"/>
                <w:szCs w:val="18"/>
              </w:rPr>
              <w:t>EAS</w:t>
            </w:r>
            <w:r>
              <w:rPr>
                <w:rFonts w:ascii="宋体" w:hAnsi="宋体" w:cs="宋体" w:eastAsia="宋体" w:hint="default"/>
                <w:spacing w:val="-47"/>
                <w:sz w:val="18"/>
                <w:szCs w:val="18"/>
              </w:rPr>
              <w:t> </w:t>
            </w:r>
            <w:r>
              <w:rPr>
                <w:rFonts w:ascii="宋体" w:hAnsi="宋体" w:cs="宋体" w:eastAsia="宋体" w:hint="default"/>
                <w:sz w:val="18"/>
                <w:szCs w:val="18"/>
              </w:rPr>
              <w:t>产品的经 营管理及销售业务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Ewell</w:t>
            </w:r>
            <w:r>
              <w:rPr>
                <w:rFonts w:ascii="宋体"/>
                <w:spacing w:val="-2"/>
                <w:sz w:val="18"/>
              </w:rPr>
              <w:t> </w:t>
            </w:r>
            <w:r>
              <w:rPr>
                <w:rFonts w:ascii="宋体"/>
                <w:sz w:val="18"/>
              </w:rPr>
              <w:t>HK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Ewell Hong Kong</w:t>
            </w:r>
            <w:r>
              <w:rPr>
                <w:rFonts w:ascii="宋体"/>
                <w:spacing w:val="-8"/>
                <w:sz w:val="18"/>
              </w:rPr>
              <w:t> </w:t>
            </w:r>
            <w:r>
              <w:rPr>
                <w:rFonts w:ascii="宋体"/>
                <w:sz w:val="18"/>
              </w:rPr>
              <w:t>Limited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广州理德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广州理德物联网科技有限公司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杭州中瑞思创智能科技有限公司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思创医惠集团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杭州思创医惠集团有限公司（原：杭州医惠投资管理有限公司）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博泰投资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杭州简惠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杭州简惠信息技术有限公司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睿杰信息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杭州医惠物联网科技有限公司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重庆医惠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重庆医惠医疗科技有限公司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丰廪医健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杭州丰廪医健股权投资合伙企业（有限合伙）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EAS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
              <w:jc w:val="both"/>
              <w:rPr>
                <w:rFonts w:ascii="宋体" w:hAnsi="宋体" w:cs="宋体" w:eastAsia="宋体" w:hint="default"/>
                <w:sz w:val="18"/>
                <w:szCs w:val="18"/>
              </w:rPr>
            </w:pPr>
            <w:r>
              <w:rPr>
                <w:rFonts w:ascii="宋体" w:hAnsi="宋体" w:cs="宋体" w:eastAsia="宋体" w:hint="default"/>
                <w:sz w:val="18"/>
                <w:szCs w:val="18"/>
              </w:rPr>
              <w:t>Electronic Article Surveillance</w:t>
            </w:r>
            <w:r>
              <w:rPr>
                <w:rFonts w:ascii="宋体" w:hAnsi="宋体" w:cs="宋体" w:eastAsia="宋体" w:hint="default"/>
                <w:spacing w:val="-9"/>
                <w:sz w:val="18"/>
                <w:szCs w:val="18"/>
              </w:rPr>
              <w:t> </w:t>
            </w:r>
            <w:r>
              <w:rPr>
                <w:rFonts w:ascii="宋体" w:hAnsi="宋体" w:cs="宋体" w:eastAsia="宋体" w:hint="default"/>
                <w:sz w:val="18"/>
                <w:szCs w:val="18"/>
              </w:rPr>
              <w:t>的简称，即电子商品防盗系统， </w:t>
            </w:r>
            <w:r>
              <w:rPr>
                <w:rFonts w:ascii="宋体" w:hAnsi="宋体" w:cs="宋体" w:eastAsia="宋体" w:hint="default"/>
                <w:spacing w:val="-2"/>
                <w:sz w:val="18"/>
                <w:szCs w:val="18"/>
              </w:rPr>
              <w:t>该系统是一个高科技的电子防盗设备体系，它以高科技的手段赋予商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品一种自卫能力，能有效的保护商品、防止商品失窃</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Tag</w:t>
            </w:r>
            <w:r>
              <w:rPr>
                <w:rFonts w:ascii="宋体" w:hAnsi="宋体" w:cs="宋体" w:eastAsia="宋体" w:hint="default"/>
                <w:sz w:val="18"/>
                <w:szCs w:val="18"/>
              </w:rPr>
              <w:t>，由锁芯、线圈、塑壳、线路板等构成的防盗标签，用于服装、 鞋帽、高档化妆品、箱包、电脑等商品的防盗。</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射频软标签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RF</w:t>
            </w:r>
            <w:r>
              <w:rPr>
                <w:rFonts w:ascii="宋体" w:hAnsi="宋体" w:cs="宋体" w:eastAsia="宋体" w:hint="default"/>
                <w:spacing w:val="-35"/>
                <w:sz w:val="18"/>
                <w:szCs w:val="18"/>
              </w:rPr>
              <w:t> </w:t>
            </w:r>
            <w:r>
              <w:rPr>
                <w:rFonts w:ascii="宋体" w:hAnsi="宋体" w:cs="宋体" w:eastAsia="宋体" w:hint="default"/>
                <w:sz w:val="18"/>
                <w:szCs w:val="18"/>
              </w:rPr>
              <w:t>Label</w:t>
            </w:r>
            <w:r>
              <w:rPr>
                <w:rFonts w:ascii="宋体" w:hAnsi="宋体" w:cs="宋体" w:eastAsia="宋体" w:hint="default"/>
                <w:sz w:val="18"/>
                <w:szCs w:val="18"/>
              </w:rPr>
              <w:t>，又称纸标签，利用射频技术，由电磁线圈、电容、不干胶 </w:t>
            </w:r>
            <w:r>
              <w:rPr>
                <w:rFonts w:ascii="宋体" w:hAnsi="宋体" w:cs="宋体" w:eastAsia="宋体" w:hint="default"/>
                <w:spacing w:val="-2"/>
                <w:sz w:val="18"/>
                <w:szCs w:val="18"/>
              </w:rPr>
              <w:t>黏贴纸等构成的防盗标签，贴在商品表面，用于书本、食品、日用品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等商品的防盗。</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声磁软标签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AM</w:t>
            </w:r>
            <w:r>
              <w:rPr>
                <w:rFonts w:ascii="宋体" w:hAnsi="宋体" w:cs="宋体" w:eastAsia="宋体" w:hint="default"/>
                <w:spacing w:val="-35"/>
                <w:sz w:val="18"/>
                <w:szCs w:val="18"/>
              </w:rPr>
              <w:t> </w:t>
            </w:r>
            <w:r>
              <w:rPr>
                <w:rFonts w:ascii="宋体" w:hAnsi="宋体" w:cs="宋体" w:eastAsia="宋体" w:hint="default"/>
                <w:sz w:val="18"/>
                <w:szCs w:val="18"/>
              </w:rPr>
              <w:t>Label</w:t>
            </w:r>
            <w:r>
              <w:rPr>
                <w:rFonts w:ascii="宋体" w:hAnsi="宋体" w:cs="宋体" w:eastAsia="宋体" w:hint="default"/>
                <w:sz w:val="18"/>
                <w:szCs w:val="18"/>
              </w:rPr>
              <w:t>，利用声磁共振技术，由非晶片、半硬磁片、不干胶黏贴纸 等构成的防盗标签，主要用途与纸标签相同。</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展保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展示保护类商品，一种专业为零售商就笔记本电脑、手机、</w:t>
            </w:r>
            <w:r>
              <w:rPr>
                <w:rFonts w:ascii="宋体" w:hAnsi="宋体" w:cs="宋体" w:eastAsia="宋体" w:hint="default"/>
                <w:sz w:val="18"/>
                <w:szCs w:val="18"/>
              </w:rPr>
              <w:t>IPAD</w:t>
            </w:r>
            <w:r>
              <w:rPr>
                <w:rFonts w:ascii="宋体" w:hAnsi="宋体" w:cs="宋体" w:eastAsia="宋体" w:hint="default"/>
                <w:spacing w:val="-43"/>
                <w:sz w:val="18"/>
                <w:szCs w:val="18"/>
              </w:rPr>
              <w:t> </w:t>
            </w:r>
            <w:r>
              <w:rPr>
                <w:rFonts w:ascii="宋体" w:hAnsi="宋体" w:cs="宋体" w:eastAsia="宋体" w:hint="default"/>
                <w:sz w:val="18"/>
                <w:szCs w:val="18"/>
              </w:rPr>
              <w:t>等 </w:t>
            </w:r>
            <w:r>
              <w:rPr>
                <w:rFonts w:ascii="宋体" w:hAnsi="宋体" w:cs="宋体" w:eastAsia="宋体" w:hint="default"/>
                <w:sz w:val="18"/>
                <w:szCs w:val="18"/>
              </w:rPr>
              <w:t>3C</w:t>
            </w:r>
            <w:r>
              <w:rPr>
                <w:rFonts w:ascii="宋体" w:hAnsi="宋体" w:cs="宋体" w:eastAsia="宋体" w:hint="default"/>
                <w:spacing w:val="-39"/>
                <w:sz w:val="18"/>
                <w:szCs w:val="18"/>
              </w:rPr>
              <w:t> </w:t>
            </w:r>
            <w:r>
              <w:rPr>
                <w:rFonts w:ascii="宋体" w:hAnsi="宋体" w:cs="宋体" w:eastAsia="宋体" w:hint="default"/>
                <w:spacing w:val="-3"/>
                <w:sz w:val="18"/>
                <w:szCs w:val="18"/>
              </w:rPr>
              <w:t>电子产品开架销售提供供电保护系统的产品，以提高客户体验，促</w:t>
            </w:r>
            <w:r>
              <w:rPr>
                <w:rFonts w:ascii="宋体" w:hAnsi="宋体" w:cs="宋体" w:eastAsia="宋体" w:hint="default"/>
                <w:sz w:val="18"/>
                <w:szCs w:val="18"/>
              </w:rPr>
              <w:t> 进销售。</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Radio</w:t>
            </w:r>
            <w:r>
              <w:rPr>
                <w:rFonts w:ascii="宋体" w:hAnsi="宋体" w:cs="宋体" w:eastAsia="宋体" w:hint="default"/>
                <w:spacing w:val="-44"/>
                <w:sz w:val="18"/>
                <w:szCs w:val="18"/>
              </w:rPr>
              <w:t> </w:t>
            </w:r>
            <w:r>
              <w:rPr>
                <w:rFonts w:ascii="宋体" w:hAnsi="宋体" w:cs="宋体" w:eastAsia="宋体" w:hint="default"/>
                <w:sz w:val="18"/>
                <w:szCs w:val="18"/>
              </w:rPr>
              <w:t>Frequency</w:t>
            </w:r>
            <w:r>
              <w:rPr>
                <w:rFonts w:ascii="宋体" w:hAnsi="宋体" w:cs="宋体" w:eastAsia="宋体" w:hint="default"/>
                <w:spacing w:val="-44"/>
                <w:sz w:val="18"/>
                <w:szCs w:val="18"/>
              </w:rPr>
              <w:t> </w:t>
            </w:r>
            <w:r>
              <w:rPr>
                <w:rFonts w:ascii="宋体" w:hAnsi="宋体" w:cs="宋体" w:eastAsia="宋体" w:hint="default"/>
                <w:sz w:val="18"/>
                <w:szCs w:val="18"/>
              </w:rPr>
              <w:t>Identification</w:t>
            </w:r>
            <w:r>
              <w:rPr>
                <w:rFonts w:ascii="宋体" w:hAnsi="宋体" w:cs="宋体" w:eastAsia="宋体" w:hint="default"/>
                <w:spacing w:val="-44"/>
                <w:sz w:val="18"/>
                <w:szCs w:val="18"/>
              </w:rPr>
              <w:t> </w:t>
            </w:r>
            <w:r>
              <w:rPr>
                <w:rFonts w:ascii="宋体" w:hAnsi="宋体" w:cs="宋体" w:eastAsia="宋体" w:hint="default"/>
                <w:sz w:val="18"/>
                <w:szCs w:val="18"/>
              </w:rPr>
              <w:t>的简称，即射频识别，是一种非接 </w:t>
            </w:r>
            <w:r>
              <w:rPr>
                <w:rFonts w:ascii="宋体" w:hAnsi="宋体" w:cs="宋体" w:eastAsia="宋体" w:hint="default"/>
                <w:spacing w:val="-2"/>
                <w:sz w:val="18"/>
                <w:szCs w:val="18"/>
              </w:rPr>
              <w:t>触式的自动识别技术，它通过射频信号自动识别目标对象并获取相关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数据，识别工作无需人工干预，可工作于各种恶劣环境。</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特种标签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应用于特定的场合、环境、物品的</w:t>
            </w:r>
            <w:r>
              <w:rPr>
                <w:rFonts w:ascii="宋体" w:hAnsi="宋体" w:cs="宋体" w:eastAsia="宋体" w:hint="default"/>
                <w:spacing w:val="-51"/>
                <w:sz w:val="18"/>
                <w:szCs w:val="18"/>
              </w:rPr>
              <w:t> </w:t>
            </w:r>
            <w:r>
              <w:rPr>
                <w:rFonts w:ascii="宋体" w:hAnsi="宋体" w:cs="宋体" w:eastAsia="宋体" w:hint="default"/>
                <w:sz w:val="18"/>
                <w:szCs w:val="18"/>
              </w:rPr>
              <w:t>RFID</w:t>
            </w:r>
            <w:r>
              <w:rPr>
                <w:rFonts w:ascii="宋体" w:hAnsi="宋体" w:cs="宋体" w:eastAsia="宋体" w:hint="default"/>
                <w:spacing w:val="-49"/>
                <w:sz w:val="18"/>
                <w:szCs w:val="18"/>
              </w:rPr>
              <w:t> </w:t>
            </w:r>
            <w:r>
              <w:rPr>
                <w:rFonts w:ascii="宋体" w:hAnsi="宋体" w:cs="宋体" w:eastAsia="宋体" w:hint="default"/>
                <w:spacing w:val="-4"/>
                <w:sz w:val="18"/>
                <w:szCs w:val="18"/>
              </w:rPr>
              <w:t>标签，是</w:t>
            </w:r>
            <w:r>
              <w:rPr>
                <w:rFonts w:ascii="宋体" w:hAnsi="宋体" w:cs="宋体" w:eastAsia="宋体" w:hint="default"/>
                <w:spacing w:val="-52"/>
                <w:sz w:val="18"/>
                <w:szCs w:val="18"/>
              </w:rPr>
              <w:t> </w:t>
            </w:r>
            <w:r>
              <w:rPr>
                <w:rFonts w:ascii="宋体" w:hAnsi="宋体" w:cs="宋体" w:eastAsia="宋体" w:hint="default"/>
                <w:sz w:val="18"/>
                <w:szCs w:val="18"/>
              </w:rPr>
              <w:t>RFID</w:t>
            </w:r>
            <w:r>
              <w:rPr>
                <w:rFonts w:ascii="宋体" w:hAnsi="宋体" w:cs="宋体" w:eastAsia="宋体" w:hint="default"/>
                <w:spacing w:val="-49"/>
                <w:sz w:val="18"/>
                <w:szCs w:val="18"/>
              </w:rPr>
              <w:t> </w:t>
            </w:r>
            <w:r>
              <w:rPr>
                <w:rFonts w:ascii="宋体" w:hAnsi="宋体" w:cs="宋体" w:eastAsia="宋体" w:hint="default"/>
                <w:sz w:val="18"/>
                <w:szCs w:val="18"/>
              </w:rPr>
              <w:t>裸标签的扩展 应用。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互联网的技术、平台、商业模式和应用与移动通信技术结合并实践的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活动的总称。</w:t>
            </w:r>
          </w:p>
        </w:tc>
      </w:tr>
    </w:tbl>
    <w:p>
      <w:pPr>
        <w:spacing w:after="0" w:line="316"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ind w:left="0" w:right="1138"/>
        <w:jc w:val="right"/>
      </w:pPr>
      <w:r>
        <w:rPr/>
        <w:pict>
          <v:shape style="position:absolute;margin-left:56.400002pt;margin-top:-141.308304pt;width:479.3pt;height:17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left"/>
                          <w:rPr>
                            <w:rFonts w:ascii="宋体" w:hAnsi="宋体" w:cs="宋体" w:eastAsia="宋体" w:hint="default"/>
                            <w:sz w:val="18"/>
                            <w:szCs w:val="18"/>
                          </w:rPr>
                        </w:pPr>
                        <w:r>
                          <w:rPr>
                            <w:rFonts w:ascii="宋体" w:hAnsi="宋体" w:cs="宋体" w:eastAsia="宋体" w:hint="default"/>
                            <w:spacing w:val="-3"/>
                            <w:sz w:val="18"/>
                            <w:szCs w:val="18"/>
                          </w:rPr>
                          <w:t>通过射频识别（</w:t>
                        </w:r>
                        <w:r>
                          <w:rPr>
                            <w:rFonts w:ascii="宋体" w:hAnsi="宋体" w:cs="宋体" w:eastAsia="宋体" w:hint="default"/>
                            <w:spacing w:val="-3"/>
                            <w:sz w:val="18"/>
                            <w:szCs w:val="18"/>
                          </w:rPr>
                          <w:t>RFID</w:t>
                        </w:r>
                        <w:r>
                          <w:rPr>
                            <w:rFonts w:ascii="宋体" w:hAnsi="宋体" w:cs="宋体" w:eastAsia="宋体" w:hint="default"/>
                            <w:spacing w:val="-3"/>
                            <w:sz w:val="18"/>
                            <w:szCs w:val="18"/>
                          </w:rPr>
                          <w:t>）、红外感应器、全球定位系统、激光扫描器等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信息传感设备，按约定的协议，把任何物品与互联网相连接，进行信</w:t>
                        </w:r>
                        <w:r>
                          <w:rPr>
                            <w:rFonts w:ascii="宋体" w:hAnsi="宋体" w:cs="宋体" w:eastAsia="宋体" w:hint="default"/>
                            <w:sz w:val="18"/>
                            <w:szCs w:val="18"/>
                          </w:rPr>
                          <w:t> </w:t>
                        </w:r>
                        <w:r>
                          <w:rPr>
                            <w:rFonts w:ascii="宋体" w:hAnsi="宋体" w:cs="宋体" w:eastAsia="宋体" w:hint="default"/>
                            <w:spacing w:val="-2"/>
                            <w:sz w:val="18"/>
                            <w:szCs w:val="18"/>
                          </w:rPr>
                          <w:t>息交换和通信，以实现对物品的智能化识别、定位、跟踪、监控和管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理的一种网络。</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一种基于互联网的计算方式，通过这种方式，共享的软硬件资源和信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息可以按需求提供给计算机和其他设备。</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需要新处理模式才能具有更强的决策力、洞察发现力和流程优化能力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的海量、高增长率和多样化的信息资产。</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HIMSS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Healthcare</w:t>
                        </w:r>
                        <w:r>
                          <w:rPr>
                            <w:rFonts w:ascii="宋体" w:hAnsi="宋体" w:cs="宋体" w:eastAsia="宋体" w:hint="default"/>
                            <w:spacing w:val="-18"/>
                            <w:sz w:val="18"/>
                            <w:szCs w:val="18"/>
                          </w:rPr>
                          <w:t> </w:t>
                        </w:r>
                        <w:r>
                          <w:rPr>
                            <w:rFonts w:ascii="宋体" w:hAnsi="宋体" w:cs="宋体" w:eastAsia="宋体" w:hint="default"/>
                            <w:sz w:val="18"/>
                            <w:szCs w:val="18"/>
                          </w:rPr>
                          <w:t>Information</w:t>
                        </w:r>
                        <w:r>
                          <w:rPr>
                            <w:rFonts w:ascii="宋体" w:hAnsi="宋体" w:cs="宋体" w:eastAsia="宋体" w:hint="default"/>
                            <w:spacing w:val="-20"/>
                            <w:sz w:val="18"/>
                            <w:szCs w:val="18"/>
                          </w:rPr>
                          <w:t> </w:t>
                        </w:r>
                        <w:r>
                          <w:rPr>
                            <w:rFonts w:ascii="宋体" w:hAnsi="宋体" w:cs="宋体" w:eastAsia="宋体" w:hint="default"/>
                            <w:sz w:val="18"/>
                            <w:szCs w:val="18"/>
                          </w:rPr>
                          <w:t>and</w:t>
                        </w:r>
                        <w:r>
                          <w:rPr>
                            <w:rFonts w:ascii="宋体" w:hAnsi="宋体" w:cs="宋体" w:eastAsia="宋体" w:hint="default"/>
                            <w:spacing w:val="-20"/>
                            <w:sz w:val="18"/>
                            <w:szCs w:val="18"/>
                          </w:rPr>
                          <w:t> </w:t>
                        </w:r>
                        <w:r>
                          <w:rPr>
                            <w:rFonts w:ascii="宋体" w:hAnsi="宋体" w:cs="宋体" w:eastAsia="宋体" w:hint="default"/>
                            <w:sz w:val="18"/>
                            <w:szCs w:val="18"/>
                          </w:rPr>
                          <w:t>Management</w:t>
                        </w:r>
                        <w:r>
                          <w:rPr>
                            <w:rFonts w:ascii="宋体" w:hAnsi="宋体" w:cs="宋体" w:eastAsia="宋体" w:hint="default"/>
                            <w:spacing w:val="-18"/>
                            <w:sz w:val="18"/>
                            <w:szCs w:val="18"/>
                          </w:rPr>
                          <w:t> </w:t>
                        </w:r>
                        <w:r>
                          <w:rPr>
                            <w:rFonts w:ascii="宋体" w:hAnsi="宋体" w:cs="宋体" w:eastAsia="宋体" w:hint="default"/>
                            <w:sz w:val="18"/>
                            <w:szCs w:val="18"/>
                          </w:rPr>
                          <w:t>Systems</w:t>
                        </w:r>
                        <w:r>
                          <w:rPr>
                            <w:rFonts w:ascii="宋体" w:hAnsi="宋体" w:cs="宋体" w:eastAsia="宋体" w:hint="default"/>
                            <w:spacing w:val="-20"/>
                            <w:sz w:val="18"/>
                            <w:szCs w:val="18"/>
                          </w:rPr>
                          <w:t> </w:t>
                        </w:r>
                        <w:r>
                          <w:rPr>
                            <w:rFonts w:ascii="宋体" w:hAnsi="宋体" w:cs="宋体" w:eastAsia="宋体" w:hint="default"/>
                            <w:sz w:val="18"/>
                            <w:szCs w:val="18"/>
                          </w:rPr>
                          <w:t>Society</w:t>
                        </w:r>
                        <w:r>
                          <w:rPr>
                            <w:rFonts w:ascii="宋体" w:hAnsi="宋体" w:cs="宋体" w:eastAsia="宋体" w:hint="default"/>
                            <w:spacing w:val="-43"/>
                            <w:sz w:val="18"/>
                            <w:szCs w:val="18"/>
                          </w:rPr>
                          <w:t> </w:t>
                        </w:r>
                        <w:r>
                          <w:rPr>
                            <w:rFonts w:ascii="宋体" w:hAnsi="宋体" w:cs="宋体" w:eastAsia="宋体" w:hint="default"/>
                            <w:sz w:val="18"/>
                            <w:szCs w:val="18"/>
                          </w:rPr>
                          <w:t>的简称 即医疗卫生信息和管理系统协会</w:t>
                        </w:r>
                      </w:p>
                    </w:tc>
                  </w:tr>
                </w:tbl>
                <w:p>
                  <w:pPr/>
                </w:p>
              </w:txbxContent>
            </v:textbox>
            <w10:wrap type="none"/>
          </v:shape>
        </w:pict>
      </w:r>
      <w:r>
        <w:rPr/>
        <w:t>，</w:t>
      </w:r>
    </w:p>
    <w:p>
      <w:pPr>
        <w:spacing w:after="0" w:line="240" w:lineRule="auto"/>
        <w:jc w:val="righ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2642" w:right="1133"/>
        <w:jc w:val="left"/>
        <w:rPr>
          <w:b w:val="0"/>
          <w:bCs w:val="0"/>
        </w:rPr>
      </w:pPr>
      <w:bookmarkStart w:name="_bookmark0" w:id="1"/>
      <w:bookmarkEnd w:id="1"/>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080280"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sz w:val="18"/>
              </w:rPr>
              <w:t>300078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HANGZHOU CENTURY</w:t>
            </w:r>
            <w:r>
              <w:rPr>
                <w:rFonts w:ascii="宋体"/>
                <w:spacing w:val="-10"/>
                <w:sz w:val="18"/>
              </w:rPr>
              <w:t> </w:t>
            </w:r>
            <w:r>
              <w:rPr>
                <w:rFonts w:ascii="宋体"/>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sz w:val="18"/>
              </w:rPr>
              <w:t>CENTURY</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章笠中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7"/>
                <w:sz w:val="18"/>
                <w:szCs w:val="18"/>
              </w:rPr>
              <w:t> </w:t>
            </w:r>
            <w:r>
              <w:rPr>
                <w:rFonts w:ascii="宋体" w:hAnsi="宋体" w:cs="宋体" w:eastAsia="宋体" w:hint="default"/>
                <w:sz w:val="18"/>
                <w:szCs w:val="18"/>
              </w:rPr>
              <w:t>1418-25</w:t>
            </w:r>
            <w:r>
              <w:rPr>
                <w:rFonts w:ascii="宋体" w:hAnsi="宋体" w:cs="宋体" w:eastAsia="宋体" w:hint="default"/>
                <w:spacing w:val="-47"/>
                <w:sz w:val="18"/>
                <w:szCs w:val="18"/>
              </w:rPr>
              <w:t> </w:t>
            </w:r>
            <w:r>
              <w:rPr>
                <w:rFonts w:ascii="宋体" w:hAnsi="宋体" w:cs="宋体" w:eastAsia="宋体" w:hint="default"/>
                <w:sz w:val="18"/>
                <w:szCs w:val="18"/>
              </w:rPr>
              <w:t>号（上城科技经济园）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310011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5"/>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310011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www.sichuangyihui.com.cn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zhengquanbu@century-cn.com</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曾正</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5"/>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sunxinjun@century-cn.com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zengzheng@century-cn.com</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证券管理部</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宋体" w:hAnsi="宋体" w:cs="宋体" w:eastAsia="宋体" w:hint="default"/>
                <w:sz w:val="18"/>
                <w:szCs w:val="18"/>
              </w:rPr>
              <w:t>1366</w:t>
            </w:r>
            <w:r>
              <w:rPr>
                <w:rFonts w:ascii="宋体" w:hAnsi="宋体" w:cs="宋体" w:eastAsia="宋体" w:hint="default"/>
                <w:spacing w:val="-44"/>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胡彦龙、徐莉丽</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95"/>
              <w:jc w:val="left"/>
              <w:rPr>
                <w:rFonts w:ascii="宋体" w:hAnsi="宋体" w:cs="宋体" w:eastAsia="宋体" w:hint="default"/>
                <w:sz w:val="18"/>
                <w:szCs w:val="18"/>
              </w:rPr>
            </w:pPr>
            <w:r>
              <w:rPr>
                <w:rFonts w:ascii="宋体" w:hAnsi="宋体" w:cs="宋体" w:eastAsia="宋体" w:hint="default"/>
                <w:sz w:val="18"/>
                <w:szCs w:val="18"/>
              </w:rPr>
              <w:t>浙江省杭州市西湖区杭大路 </w:t>
            </w: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号嘉华国际商务中心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戴中伟先生、吕德利先生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1,294,633,555.55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1,112,251,720.34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1,089,965,891.24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143,472,605.91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130,262,340.03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187,978,918.78</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130,481,298.93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108,591,186.01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176,497,197.31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-2,250,476.51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183,688,718.29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134,616,317.57</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0.25</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13.74%</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3,424,095,703.68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2,901,704,986.98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2,955,750,677.85</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2,191,940,887.06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2,062,117,296.34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2,038,401,613.05</w:t>
            </w:r>
          </w:p>
        </w:tc>
      </w:tr>
    </w:tbl>
    <w:p>
      <w:pPr>
        <w:spacing w:after="0" w:line="240" w:lineRule="auto"/>
        <w:jc w:val="right"/>
        <w:rPr>
          <w:rFonts w:ascii="宋体" w:hAnsi="宋体" w:cs="宋体" w:eastAsia="宋体" w:hint="default"/>
          <w:sz w:val="18"/>
          <w:szCs w:val="18"/>
        </w:rPr>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236,055,985.39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343,947,312.79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299,334,653.46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415,295,603.91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22,544,913.35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50,409,756.64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35,942,443.00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34,575,492.92</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22,137,368.71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48,047,659.66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27,216,453.38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33,079,817.18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-77,598,479.45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-50,943,776.12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21,487,229.86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104,804,549.20</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-1,336,790.81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871,702.47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-1,013,786.14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15,592,023.55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22,064,343.60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13,782,720.72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555,107.31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1,480,155.63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281,624.97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173,097.56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193,339.46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90,770.64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1,883,529.08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2,915,719.03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1,606,266.82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108,601.55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22,668.11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53,341.90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12,991,306.98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21,671,154.02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11,481,721.47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0" w:lineRule="auto" w:before="44"/>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Heading5"/>
        <w:spacing w:line="304" w:lineRule="auto" w:before="59"/>
        <w:ind w:right="1133" w:firstLine="420"/>
        <w:jc w:val="left"/>
      </w:pPr>
      <w:r>
        <w:rPr>
          <w:spacing w:val="-4"/>
        </w:rPr>
        <w:t>报告期内，公司始终围绕</w:t>
      </w:r>
      <w:r>
        <w:rPr>
          <w:rFonts w:ascii="Times New Roman" w:hAnsi="Times New Roman" w:cs="Times New Roman" w:eastAsia="Times New Roman" w:hint="default"/>
          <w:spacing w:val="-4"/>
        </w:rPr>
        <w:t>“</w:t>
      </w:r>
      <w:r>
        <w:rPr>
          <w:spacing w:val="-4"/>
        </w:rPr>
        <w:t>互联物联，改变生活</w:t>
      </w:r>
      <w:r>
        <w:rPr>
          <w:rFonts w:ascii="Times New Roman" w:hAnsi="Times New Roman" w:cs="Times New Roman" w:eastAsia="Times New Roman" w:hint="default"/>
          <w:spacing w:val="-4"/>
        </w:rPr>
        <w:t>”</w:t>
      </w:r>
      <w:r>
        <w:rPr>
          <w:spacing w:val="-4"/>
        </w:rPr>
        <w:t>战略，依托</w:t>
      </w:r>
      <w:r>
        <w:rPr>
          <w:rFonts w:ascii="Times New Roman" w:hAnsi="Times New Roman" w:cs="Times New Roman" w:eastAsia="Times New Roman" w:hint="default"/>
          <w:spacing w:val="-4"/>
        </w:rPr>
        <w:t>“</w:t>
      </w:r>
      <w:r>
        <w:rPr>
          <w:spacing w:val="-4"/>
        </w:rPr>
        <w:t>物联网、人工智能、平台数据交互、区块</w:t>
      </w:r>
      <w:r>
        <w:rPr>
          <w:w w:val="100"/>
        </w:rPr>
        <w:t> </w:t>
      </w:r>
      <w:r>
        <w:rPr/>
        <w:t>链</w:t>
      </w:r>
      <w:r>
        <w:rPr>
          <w:rFonts w:ascii="Times New Roman" w:hAnsi="Times New Roman" w:cs="Times New Roman" w:eastAsia="Times New Roman" w:hint="default"/>
        </w:rPr>
        <w:t>”</w:t>
      </w:r>
      <w:r>
        <w:rPr/>
        <w:t>四大核心技术，创造性地将互联网和物联网在平台、网络、终端各个层面进行融合，在健康、医疗及</w:t>
      </w:r>
      <w:r>
        <w:rPr>
          <w:w w:val="100"/>
        </w:rPr>
        <w:t> </w:t>
      </w:r>
      <w:r>
        <w:rPr>
          <w:spacing w:val="-2"/>
        </w:rPr>
        <w:t>商业服务等领域实现了从端到端的连贯服务体系，形成以智慧医疗、智慧健康、智慧养老和智慧商业为核</w:t>
      </w:r>
      <w:r>
        <w:rPr>
          <w:spacing w:val="-43"/>
        </w:rPr>
        <w:t> </w:t>
      </w:r>
      <w:r>
        <w:rPr>
          <w:spacing w:val="-43"/>
        </w:rPr>
      </w:r>
      <w:r>
        <w:rPr>
          <w:spacing w:val="-2"/>
        </w:rPr>
        <w:t>心的全产业链布局，持续引领行业创新发展，致力于成为全球领先的智慧医疗和智慧商业整体解决方案供</w:t>
      </w:r>
      <w:r>
        <w:rPr>
          <w:spacing w:val="-42"/>
        </w:rPr>
        <w:t> </w:t>
      </w:r>
      <w:r>
        <w:rPr>
          <w:spacing w:val="-42"/>
        </w:rPr>
      </w:r>
      <w:r>
        <w:rPr/>
        <w:t>应商。</w:t>
      </w:r>
    </w:p>
    <w:p>
      <w:pPr>
        <w:pStyle w:val="Heading4"/>
        <w:spacing w:line="240" w:lineRule="auto" w:before="28"/>
        <w:ind w:left="575" w:right="1133"/>
        <w:jc w:val="left"/>
        <w:rPr>
          <w:b w:val="0"/>
          <w:bCs w:val="0"/>
        </w:rPr>
      </w:pPr>
      <w:r>
        <w:rPr/>
        <w:t>（一）智慧医疗业务</w:t>
      </w:r>
      <w:r>
        <w:rPr>
          <w:b w:val="0"/>
          <w:bCs w:val="0"/>
        </w:rPr>
      </w:r>
    </w:p>
    <w:p>
      <w:pPr>
        <w:pStyle w:val="Heading5"/>
        <w:spacing w:line="297" w:lineRule="auto" w:before="85"/>
        <w:ind w:left="573" w:right="1133"/>
        <w:jc w:val="left"/>
      </w:pPr>
      <w:r>
        <w:rPr/>
        <w:t>（</w:t>
      </w:r>
      <w:r>
        <w:rPr>
          <w:rFonts w:ascii="Times New Roman" w:hAnsi="Times New Roman" w:cs="Times New Roman" w:eastAsia="Times New Roman" w:hint="default"/>
        </w:rPr>
        <w:t>1</w:t>
      </w:r>
      <w:r>
        <w:rPr/>
        <w:t>）主要业务情况</w:t>
      </w:r>
      <w:r>
        <w:rPr>
          <w:w w:val="100"/>
        </w:rPr>
        <w:t> </w:t>
      </w:r>
      <w:r>
        <w:rPr>
          <w:spacing w:val="-2"/>
        </w:rPr>
        <w:t>公司秉承</w:t>
      </w:r>
      <w:r>
        <w:rPr>
          <w:rFonts w:ascii="Times New Roman" w:hAnsi="Times New Roman" w:cs="Times New Roman" w:eastAsia="Times New Roman" w:hint="default"/>
          <w:spacing w:val="-2"/>
        </w:rPr>
        <w:t>“</w:t>
      </w:r>
      <w:r>
        <w:rPr>
          <w:spacing w:val="-2"/>
        </w:rPr>
        <w:t>简约智慧医疗</w:t>
      </w:r>
      <w:r>
        <w:rPr>
          <w:rFonts w:ascii="Times New Roman" w:hAnsi="Times New Roman" w:cs="Times New Roman" w:eastAsia="Times New Roman" w:hint="default"/>
          <w:spacing w:val="-2"/>
        </w:rPr>
        <w:t>”</w:t>
      </w:r>
      <w:r>
        <w:rPr>
          <w:spacing w:val="-2"/>
        </w:rPr>
        <w:t>的理念，坚持</w:t>
      </w:r>
      <w:r>
        <w:rPr>
          <w:rFonts w:ascii="Times New Roman" w:hAnsi="Times New Roman" w:cs="Times New Roman" w:eastAsia="Times New Roman" w:hint="default"/>
          <w:spacing w:val="-2"/>
        </w:rPr>
        <w:t>“</w:t>
      </w:r>
      <w:r>
        <w:rPr>
          <w:spacing w:val="-2"/>
        </w:rPr>
        <w:t>以病人为中心</w:t>
      </w:r>
      <w:r>
        <w:rPr>
          <w:rFonts w:ascii="Times New Roman" w:hAnsi="Times New Roman" w:cs="Times New Roman" w:eastAsia="Times New Roman" w:hint="default"/>
          <w:spacing w:val="-2"/>
        </w:rPr>
        <w:t>”</w:t>
      </w:r>
      <w:r>
        <w:rPr>
          <w:spacing w:val="-2"/>
        </w:rPr>
        <w:t>，以</w:t>
      </w:r>
      <w:r>
        <w:rPr>
          <w:rFonts w:ascii="Times New Roman" w:hAnsi="Times New Roman" w:cs="Times New Roman" w:eastAsia="Times New Roman" w:hint="default"/>
          <w:spacing w:val="-2"/>
        </w:rPr>
        <w:t>“</w:t>
      </w:r>
      <w:r>
        <w:rPr>
          <w:spacing w:val="-2"/>
        </w:rPr>
        <w:t>提高患者安全、医疗质量、临床效率</w:t>
      </w:r>
      <w:r>
        <w:rPr>
          <w:rFonts w:ascii="Times New Roman" w:hAnsi="Times New Roman" w:cs="Times New Roman" w:eastAsia="Times New Roman" w:hint="default"/>
          <w:spacing w:val="-2"/>
        </w:rPr>
        <w:t>”</w:t>
      </w:r>
      <w:r>
        <w:rPr>
          <w:spacing w:val="-2"/>
        </w:rPr>
        <w:t>为</w:t>
      </w:r>
    </w:p>
    <w:p>
      <w:pPr>
        <w:pStyle w:val="Heading5"/>
        <w:spacing w:line="309" w:lineRule="auto" w:before="13"/>
        <w:ind w:right="1133"/>
        <w:jc w:val="left"/>
      </w:pPr>
      <w:r>
        <w:rPr>
          <w:spacing w:val="-2"/>
        </w:rPr>
        <w:t>目标，为居民和医护人员提供可及、连贯、智能的信息服务。目前公司拥有智能开放平台、移动医疗、互</w:t>
      </w:r>
      <w:r>
        <w:rPr>
          <w:spacing w:val="-44"/>
        </w:rPr>
        <w:t> </w:t>
      </w:r>
      <w:r>
        <w:rPr>
          <w:spacing w:val="-44"/>
        </w:rPr>
      </w:r>
      <w:r>
        <w:rPr/>
        <w:t>联网医疗等各系列共</w:t>
      </w:r>
      <w:r>
        <w:rPr>
          <w:rFonts w:ascii="Times New Roman" w:hAnsi="Times New Roman" w:cs="Times New Roman" w:eastAsia="Times New Roman" w:hint="default"/>
        </w:rPr>
        <w:t>100</w:t>
      </w:r>
      <w:r>
        <w:rPr/>
        <w:t>余条产品线，并利用物联网、大数据、人工智能等先进技术，全面构建面向医院</w:t>
      </w:r>
      <w:r>
        <w:rPr>
          <w:w w:val="100"/>
        </w:rPr>
        <w:t> </w:t>
      </w:r>
      <w:r>
        <w:rPr>
          <w:spacing w:val="-2"/>
        </w:rPr>
        <w:t>业务、基层卫生、居民养老和健康管理的全人全程、可及连贯智慧医疗健康服务体系，以智慧医疗助力医</w:t>
      </w:r>
      <w:r>
        <w:rPr>
          <w:spacing w:val="-47"/>
        </w:rPr>
        <w:t> </w:t>
      </w:r>
      <w:r>
        <w:rPr>
          <w:spacing w:val="-47"/>
        </w:rPr>
      </w:r>
      <w:r>
        <w:rPr/>
        <w:t>改，为健康中国而努力。</w:t>
      </w:r>
    </w:p>
    <w:p>
      <w:pPr>
        <w:pStyle w:val="Heading5"/>
        <w:spacing w:line="297" w:lineRule="auto" w:before="24"/>
        <w:ind w:left="573" w:right="1133"/>
        <w:jc w:val="left"/>
      </w:pPr>
      <w:r>
        <w:rPr/>
        <w:t>（</w:t>
      </w:r>
      <w:r>
        <w:rPr>
          <w:rFonts w:ascii="Times New Roman" w:hAnsi="Times New Roman" w:cs="Times New Roman" w:eastAsia="Times New Roman" w:hint="default"/>
        </w:rPr>
        <w:t>2</w:t>
      </w:r>
      <w:r>
        <w:rPr/>
        <w:t>）主要产品及用途</w:t>
      </w:r>
      <w:r>
        <w:rPr>
          <w:w w:val="100"/>
        </w:rPr>
        <w:t> </w:t>
      </w:r>
      <w:r>
        <w:rPr>
          <w:spacing w:val="-2"/>
        </w:rPr>
        <w:t>针对医院，公司拥有移动护理系统、医疗物联网、智能开放平台、闭环管理业务系统和移动智能感知</w:t>
      </w:r>
    </w:p>
    <w:p>
      <w:pPr>
        <w:pStyle w:val="Heading5"/>
        <w:spacing w:line="307" w:lineRule="auto" w:before="34"/>
        <w:ind w:right="1133"/>
        <w:jc w:val="left"/>
      </w:pPr>
      <w:r>
        <w:rPr>
          <w:spacing w:val="-2"/>
        </w:rPr>
        <w:t>终端等众多产品，广泛运用于临床诊疗、临床护理，医疗质控、院感管理、互联网医疗服务、医院运营管</w:t>
      </w:r>
      <w:r>
        <w:rPr>
          <w:spacing w:val="-45"/>
        </w:rPr>
        <w:t> </w:t>
      </w:r>
      <w:r>
        <w:rPr>
          <w:spacing w:val="-45"/>
        </w:rPr>
      </w:r>
      <w:r>
        <w:rPr>
          <w:spacing w:val="-2"/>
        </w:rPr>
        <w:t>理和科研服务等各个医疗环节，从关注患者安全到关注质量效率，从关注患者服务的连贯到关注医护人员</w:t>
      </w:r>
      <w:r>
        <w:rPr>
          <w:spacing w:val="-42"/>
        </w:rPr>
        <w:t> </w:t>
      </w:r>
      <w:r>
        <w:rPr>
          <w:spacing w:val="-42"/>
        </w:rPr>
      </w:r>
      <w:r>
        <w:rPr>
          <w:spacing w:val="-2"/>
        </w:rPr>
        <w:t>的体验，实现了医院核心业务流程的闭环管理，为医院达到国际管理标准，提高自身医疗品质提供有效帮</w:t>
      </w:r>
      <w:r>
        <w:rPr>
          <w:spacing w:val="-43"/>
        </w:rPr>
        <w:t> </w:t>
      </w:r>
      <w:r>
        <w:rPr>
          <w:spacing w:val="-43"/>
        </w:rPr>
      </w:r>
      <w:r>
        <w:rPr>
          <w:spacing w:val="-3"/>
        </w:rPr>
        <w:t>助。公司的智慧医院整体解决方案以</w:t>
      </w:r>
      <w:r>
        <w:rPr>
          <w:rFonts w:ascii="Times New Roman" w:hAnsi="Times New Roman" w:cs="Times New Roman" w:eastAsia="Times New Roman" w:hint="default"/>
          <w:spacing w:val="-3"/>
        </w:rPr>
        <w:t>“</w:t>
      </w:r>
      <w:r>
        <w:rPr>
          <w:spacing w:val="-3"/>
        </w:rPr>
        <w:t>大平台</w:t>
      </w:r>
      <w:r>
        <w:rPr>
          <w:rFonts w:ascii="Times New Roman" w:hAnsi="Times New Roman" w:cs="Times New Roman" w:eastAsia="Times New Roman" w:hint="default"/>
          <w:spacing w:val="-3"/>
        </w:rPr>
        <w:t>+</w:t>
      </w:r>
      <w:r>
        <w:rPr>
          <w:spacing w:val="-3"/>
        </w:rPr>
        <w:t>微小化应用</w:t>
      </w:r>
      <w:r>
        <w:rPr>
          <w:rFonts w:ascii="Times New Roman" w:hAnsi="Times New Roman" w:cs="Times New Roman" w:eastAsia="Times New Roman" w:hint="default"/>
          <w:spacing w:val="-3"/>
        </w:rPr>
        <w:t>+</w:t>
      </w:r>
      <w:r>
        <w:rPr>
          <w:spacing w:val="-3"/>
        </w:rPr>
        <w:t>人工智能</w:t>
      </w:r>
      <w:r>
        <w:rPr>
          <w:rFonts w:ascii="Times New Roman" w:hAnsi="Times New Roman" w:cs="Times New Roman" w:eastAsia="Times New Roman" w:hint="default"/>
          <w:spacing w:val="-3"/>
        </w:rPr>
        <w:t>”</w:t>
      </w:r>
      <w:r>
        <w:rPr>
          <w:spacing w:val="-3"/>
        </w:rPr>
        <w:t>为设计理念，协助医院进行医院信息 </w:t>
      </w:r>
      <w:r>
        <w:rPr/>
        <w:t>化的顶层设计和整体规划，助力医院实现</w:t>
      </w:r>
      <w:r>
        <w:rPr>
          <w:rFonts w:ascii="Times New Roman" w:hAnsi="Times New Roman" w:cs="Times New Roman" w:eastAsia="Times New Roman" w:hint="default"/>
        </w:rPr>
        <w:t>“</w:t>
      </w:r>
      <w:r>
        <w:rPr/>
        <w:t>体系架构统一平台化、业务系统专科微小化、业务流程标准闭</w:t>
      </w:r>
      <w:r>
        <w:rPr>
          <w:w w:val="100"/>
        </w:rPr>
        <w:t> </w:t>
      </w:r>
      <w:r>
        <w:rPr/>
        <w:t>环化、资源管理智能集约化、用户体验个性极简化</w:t>
      </w:r>
      <w:r>
        <w:rPr>
          <w:rFonts w:ascii="Times New Roman" w:hAnsi="Times New Roman" w:cs="Times New Roman" w:eastAsia="Times New Roman" w:hint="default"/>
        </w:rPr>
        <w:t>”</w:t>
      </w:r>
      <w:r>
        <w:rPr/>
        <w:t>等高度智能化的智慧医院建设目标。</w:t>
      </w:r>
    </w:p>
    <w:p>
      <w:pPr>
        <w:pStyle w:val="Heading5"/>
        <w:spacing w:line="314" w:lineRule="auto" w:before="4"/>
        <w:ind w:right="1133" w:firstLine="420"/>
        <w:jc w:val="left"/>
      </w:pPr>
      <w:r>
        <w:rPr>
          <w:spacing w:val="-2"/>
        </w:rPr>
        <w:t>针对社区，公司开发了医养康护平台，通过平台采集居民健康信息，形成完整的个人健康电子档案，</w:t>
      </w:r>
      <w:r>
        <w:rPr>
          <w:w w:val="100"/>
        </w:rPr>
        <w:t> </w:t>
      </w:r>
      <w:r>
        <w:rPr/>
        <w:t>基于居民健康大数据，采用人工智能手段实现智能分级诊疗，让居民享受连贯的健康服务。</w:t>
      </w:r>
    </w:p>
    <w:p>
      <w:pPr>
        <w:pStyle w:val="Heading5"/>
        <w:spacing w:line="304" w:lineRule="auto" w:before="20"/>
        <w:ind w:right="1126" w:firstLine="420"/>
        <w:jc w:val="both"/>
      </w:pPr>
      <w:r>
        <w:rPr>
          <w:spacing w:val="-2"/>
        </w:rPr>
        <w:t>针对家庭，公司首家推出</w:t>
      </w:r>
      <w:r>
        <w:rPr>
          <w:rFonts w:ascii="Times New Roman" w:hAnsi="Times New Roman" w:cs="Times New Roman" w:eastAsia="Times New Roman" w:hint="default"/>
          <w:spacing w:val="-2"/>
        </w:rPr>
        <w:t>“</w:t>
      </w:r>
      <w:r>
        <w:rPr>
          <w:spacing w:val="-2"/>
        </w:rPr>
        <w:t>五网合一健康乐居平台</w:t>
      </w:r>
      <w:r>
        <w:rPr>
          <w:rFonts w:ascii="Times New Roman" w:hAnsi="Times New Roman" w:cs="Times New Roman" w:eastAsia="Times New Roman" w:hint="default"/>
          <w:spacing w:val="-2"/>
        </w:rPr>
        <w:t>”</w:t>
      </w:r>
      <w:r>
        <w:rPr>
          <w:spacing w:val="-2"/>
        </w:rPr>
        <w:t>，通过物联网共性开放平台对居民的健康生活信息</w:t>
      </w:r>
      <w:r>
        <w:rPr>
          <w:w w:val="100"/>
        </w:rPr>
        <w:t> </w:t>
      </w:r>
      <w:r>
        <w:rPr>
          <w:spacing w:val="-2"/>
        </w:rPr>
        <w:t>进行融合应用，并研发了智能床监测系统等居家监测系统，能自动采集生命体征数据并进行实时监控，对</w:t>
      </w:r>
      <w:r>
        <w:rPr>
          <w:spacing w:val="-43"/>
        </w:rPr>
        <w:t> </w:t>
      </w:r>
      <w:r>
        <w:rPr>
          <w:spacing w:val="-43"/>
        </w:rPr>
      </w:r>
      <w:r>
        <w:rPr/>
        <w:t>居家养老具有重要意义。</w:t>
      </w:r>
    </w:p>
    <w:p>
      <w:pPr>
        <w:pStyle w:val="Heading5"/>
        <w:spacing w:line="297" w:lineRule="auto" w:before="28"/>
        <w:ind w:left="573" w:right="1133"/>
        <w:jc w:val="left"/>
      </w:pPr>
      <w:r>
        <w:rPr/>
        <w:t>（</w:t>
      </w:r>
      <w:r>
        <w:rPr>
          <w:rFonts w:ascii="Times New Roman" w:hAnsi="Times New Roman" w:cs="Times New Roman" w:eastAsia="Times New Roman" w:hint="default"/>
        </w:rPr>
        <w:t>3</w:t>
      </w:r>
      <w:r>
        <w:rPr/>
        <w:t>）经营模式</w:t>
      </w:r>
      <w:r>
        <w:rPr>
          <w:w w:val="100"/>
        </w:rPr>
        <w:t> </w:t>
      </w:r>
      <w:r>
        <w:rPr>
          <w:spacing w:val="-2"/>
        </w:rPr>
        <w:t>公司智慧医疗产品目前主要面向国内市场，并积极向境外市场开拓。业务一般采用直营的模式，少部</w:t>
      </w:r>
    </w:p>
    <w:p>
      <w:pPr>
        <w:pStyle w:val="Heading5"/>
        <w:spacing w:line="240" w:lineRule="auto" w:before="34"/>
        <w:ind w:right="1133"/>
        <w:jc w:val="left"/>
      </w:pPr>
      <w:r>
        <w:rPr/>
        <w:t>分采用代理的模式，主要客户为国内及港澳地区的大中型医院及其他医疗养老机构。</w:t>
      </w:r>
    </w:p>
    <w:p>
      <w:pPr>
        <w:pStyle w:val="Heading5"/>
        <w:spacing w:line="297" w:lineRule="auto" w:before="85"/>
        <w:ind w:left="573" w:right="1133"/>
        <w:jc w:val="left"/>
      </w:pPr>
      <w:r>
        <w:rPr/>
        <w:t>（</w:t>
      </w:r>
      <w:r>
        <w:rPr>
          <w:rFonts w:ascii="Times New Roman" w:hAnsi="Times New Roman" w:cs="Times New Roman" w:eastAsia="Times New Roman" w:hint="default"/>
        </w:rPr>
        <w:t>4</w:t>
      </w:r>
      <w:r>
        <w:rPr/>
        <w:t>）行业地位</w:t>
      </w:r>
      <w:r>
        <w:rPr>
          <w:w w:val="100"/>
        </w:rPr>
        <w:t> </w:t>
      </w:r>
      <w:r>
        <w:rPr>
          <w:spacing w:val="-2"/>
        </w:rPr>
        <w:t>公司是国内著名的智慧医疗整体解决方案供应商。公司在业内领先开发了医疗信息智能开放平台，推</w:t>
      </w:r>
    </w:p>
    <w:p>
      <w:pPr>
        <w:pStyle w:val="Heading5"/>
        <w:spacing w:line="240" w:lineRule="auto" w:before="34"/>
        <w:ind w:right="0"/>
        <w:jc w:val="left"/>
      </w:pPr>
      <w:r>
        <w:rPr/>
        <w:t>动了国内医疗信息化建设模式的变革。结合移动互联网和物联网，公司打造了从家庭、社区到医院的可及</w:t>
      </w:r>
    </w:p>
    <w:p>
      <w:pPr>
        <w:spacing w:after="0" w:line="240" w:lineRule="auto"/>
        <w:jc w:val="left"/>
        <w:sectPr>
          <w:pgSz w:w="11910" w:h="16840"/>
          <w:pgMar w:header="745" w:footer="979" w:top="1040" w:bottom="1160" w:left="980" w:right="0"/>
        </w:sectPr>
      </w:pPr>
    </w:p>
    <w:p>
      <w:pPr>
        <w:spacing w:line="240" w:lineRule="auto" w:before="10"/>
        <w:rPr>
          <w:rFonts w:ascii="宋体" w:hAnsi="宋体" w:cs="宋体" w:eastAsia="宋体" w:hint="default"/>
          <w:sz w:val="29"/>
          <w:szCs w:val="29"/>
        </w:rPr>
      </w:pPr>
    </w:p>
    <w:p>
      <w:pPr>
        <w:pStyle w:val="Heading5"/>
        <w:spacing w:line="314" w:lineRule="auto" w:before="36"/>
        <w:ind w:right="1126"/>
        <w:jc w:val="both"/>
      </w:pPr>
      <w:r>
        <w:rPr>
          <w:spacing w:val="-2"/>
        </w:rPr>
        <w:t>连贯的创新型智慧医疗健康服务生态体系。公司是国内医疗信息化行业首家给境外医院提供符合国际标准</w:t>
      </w:r>
      <w:r>
        <w:rPr>
          <w:spacing w:val="-43"/>
        </w:rPr>
        <w:t> </w:t>
      </w:r>
      <w:r>
        <w:rPr>
          <w:spacing w:val="-43"/>
        </w:rPr>
      </w:r>
      <w:r>
        <w:rPr>
          <w:spacing w:val="-2"/>
        </w:rPr>
        <w:t>的整体信息化建设服务的企业，也是目前国内少数能够同时提供电子病历等级评审、医院信息互联互通测</w:t>
      </w:r>
      <w:r>
        <w:rPr>
          <w:spacing w:val="-43"/>
        </w:rPr>
        <w:t> </w:t>
      </w:r>
      <w:r>
        <w:rPr>
          <w:spacing w:val="-43"/>
        </w:rPr>
      </w:r>
      <w:r>
        <w:rPr/>
        <w:t>评、</w:t>
      </w:r>
      <w:r>
        <w:rPr>
          <w:rFonts w:ascii="Times New Roman" w:hAnsi="Times New Roman" w:cs="Times New Roman" w:eastAsia="Times New Roman" w:hint="default"/>
        </w:rPr>
        <w:t>JCI</w:t>
      </w:r>
      <w:r>
        <w:rPr/>
        <w:t>以及</w:t>
      </w:r>
      <w:r>
        <w:rPr>
          <w:rFonts w:ascii="Times New Roman" w:hAnsi="Times New Roman" w:cs="Times New Roman" w:eastAsia="Times New Roman" w:hint="default"/>
        </w:rPr>
        <w:t>HIMSS</w:t>
      </w:r>
      <w:r>
        <w:rPr/>
        <w:t>认证咨询服务的</w:t>
      </w:r>
      <w:r>
        <w:rPr>
          <w:rFonts w:ascii="Times New Roman" w:hAnsi="Times New Roman" w:cs="Times New Roman" w:eastAsia="Times New Roman" w:hint="default"/>
        </w:rPr>
        <w:t>IT</w:t>
      </w:r>
      <w:r>
        <w:rPr/>
        <w:t>企业。</w:t>
      </w:r>
    </w:p>
    <w:p>
      <w:pPr>
        <w:pStyle w:val="Heading4"/>
        <w:spacing w:line="272" w:lineRule="exact"/>
        <w:ind w:left="575" w:right="1133"/>
        <w:jc w:val="left"/>
        <w:rPr>
          <w:b w:val="0"/>
          <w:bCs w:val="0"/>
        </w:rPr>
      </w:pPr>
      <w:r>
        <w:rPr/>
        <w:t>（二）商业智能业务</w:t>
      </w:r>
      <w:r>
        <w:rPr>
          <w:b w:val="0"/>
          <w:bCs w:val="0"/>
        </w:rPr>
      </w:r>
    </w:p>
    <w:p>
      <w:pPr>
        <w:pStyle w:val="Heading5"/>
        <w:spacing w:line="297" w:lineRule="auto" w:before="85"/>
        <w:ind w:left="573" w:right="1133"/>
        <w:jc w:val="left"/>
      </w:pPr>
      <w:r>
        <w:rPr/>
        <w:t>（</w:t>
      </w:r>
      <w:r>
        <w:rPr>
          <w:rFonts w:ascii="Times New Roman" w:hAnsi="Times New Roman" w:cs="Times New Roman" w:eastAsia="Times New Roman" w:hint="default"/>
        </w:rPr>
        <w:t>1</w:t>
      </w:r>
      <w:r>
        <w:rPr/>
        <w:t>）主要业务情况</w:t>
      </w:r>
      <w:r>
        <w:rPr>
          <w:w w:val="100"/>
        </w:rPr>
        <w:t> </w:t>
      </w:r>
      <w:r>
        <w:rPr>
          <w:spacing w:val="-3"/>
        </w:rPr>
        <w:t>公司商业智能业务以全球领先的</w:t>
      </w:r>
      <w:r>
        <w:rPr>
          <w:rFonts w:ascii="Times New Roman" w:hAnsi="Times New Roman" w:cs="Times New Roman" w:eastAsia="Times New Roman" w:hint="default"/>
          <w:spacing w:val="-3"/>
        </w:rPr>
        <w:t>EAS</w:t>
      </w:r>
      <w:r>
        <w:rPr>
          <w:spacing w:val="-3"/>
        </w:rPr>
        <w:t>、</w:t>
      </w:r>
      <w:r>
        <w:rPr>
          <w:rFonts w:ascii="Times New Roman" w:hAnsi="Times New Roman" w:cs="Times New Roman" w:eastAsia="Times New Roman" w:hint="default"/>
          <w:spacing w:val="-3"/>
        </w:rPr>
        <w:t>RFID</w:t>
      </w:r>
      <w:r>
        <w:rPr>
          <w:spacing w:val="-3"/>
        </w:rPr>
        <w:t>开发与应用平台为依托，形成从标签的研发制造到系统集</w:t>
      </w:r>
    </w:p>
    <w:p>
      <w:pPr>
        <w:pStyle w:val="Heading5"/>
        <w:spacing w:line="314" w:lineRule="auto" w:before="13"/>
        <w:ind w:right="1126"/>
        <w:jc w:val="both"/>
      </w:pPr>
      <w:r>
        <w:rPr>
          <w:spacing w:val="-2"/>
        </w:rPr>
        <w:t>成的全产业链优势，行业应用覆盖了供应链管理、零售业、制造业、智慧城市等领域，为客户提供一站式</w:t>
      </w:r>
      <w:r>
        <w:rPr>
          <w:spacing w:val="-42"/>
        </w:rPr>
        <w:t> </w:t>
      </w:r>
      <w:r>
        <w:rPr>
          <w:spacing w:val="-42"/>
        </w:rPr>
      </w:r>
      <w:r>
        <w:rPr/>
        <w:t>商业智能解决方案。</w:t>
      </w:r>
    </w:p>
    <w:p>
      <w:pPr>
        <w:pStyle w:val="Heading5"/>
        <w:spacing w:line="297" w:lineRule="auto" w:before="20"/>
        <w:ind w:left="573" w:right="0"/>
        <w:jc w:val="left"/>
      </w:pPr>
      <w:r>
        <w:rPr/>
        <w:t>（</w:t>
      </w:r>
      <w:r>
        <w:rPr>
          <w:rFonts w:ascii="Times New Roman" w:hAnsi="Times New Roman" w:cs="Times New Roman" w:eastAsia="Times New Roman" w:hint="default"/>
        </w:rPr>
        <w:t>2</w:t>
      </w:r>
      <w:r>
        <w:rPr/>
        <w:t>）主要产品及用途</w:t>
      </w:r>
      <w:r>
        <w:rPr>
          <w:w w:val="100"/>
        </w:rPr>
        <w:t> </w:t>
      </w:r>
      <w:r>
        <w:rPr>
          <w:spacing w:val="-5"/>
        </w:rPr>
        <w:t>主要产品有实现防损防盗产品展示功能的硬标签、软标签、电子标签及其配套设备、</w:t>
      </w:r>
      <w:r>
        <w:rPr>
          <w:rFonts w:ascii="Times New Roman" w:hAnsi="Times New Roman" w:cs="Times New Roman" w:eastAsia="Times New Roman" w:hint="default"/>
          <w:spacing w:val="-5"/>
        </w:rPr>
        <w:t>AM/RF</w:t>
      </w:r>
      <w:r>
        <w:rPr>
          <w:spacing w:val="-5"/>
        </w:rPr>
        <w:t>天线系统、</w:t>
      </w:r>
    </w:p>
    <w:p>
      <w:pPr>
        <w:pStyle w:val="Heading5"/>
        <w:spacing w:line="304" w:lineRule="auto" w:before="14"/>
        <w:ind w:right="1129"/>
        <w:jc w:val="both"/>
      </w:pPr>
      <w:r>
        <w:rPr>
          <w:spacing w:val="-7"/>
        </w:rPr>
        <w:t>展示保护类产品；实现数据读取、采集、显示、识别以及监测功能的超高频</w:t>
      </w:r>
      <w:r>
        <w:rPr>
          <w:rFonts w:ascii="Times New Roman" w:hAnsi="Times New Roman" w:cs="Times New Roman" w:eastAsia="Times New Roman" w:hint="default"/>
          <w:spacing w:val="-7"/>
        </w:rPr>
        <w:t>RFID</w:t>
      </w:r>
      <w:r>
        <w:rPr>
          <w:spacing w:val="-7"/>
        </w:rPr>
        <w:t>基础标签、特种标签、</w:t>
      </w:r>
      <w:r>
        <w:rPr>
          <w:rFonts w:ascii="Times New Roman" w:hAnsi="Times New Roman" w:cs="Times New Roman" w:eastAsia="Times New Roman" w:hint="default"/>
          <w:spacing w:val="-7"/>
        </w:rPr>
        <w:t>ESL</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变价标签，以及其配套的写码设备、手持机等硬件设备；实现智能监测、智能管理以提高效率及改善用户</w:t>
      </w:r>
      <w:r>
        <w:rPr>
          <w:spacing w:val="-47"/>
        </w:rPr>
        <w:t> </w:t>
      </w:r>
      <w:r>
        <w:rPr>
          <w:spacing w:val="-47"/>
        </w:rPr>
      </w:r>
      <w:r>
        <w:rPr/>
        <w:t>体验的</w:t>
      </w:r>
      <w:r>
        <w:rPr>
          <w:rFonts w:ascii="Times New Roman" w:hAnsi="Times New Roman" w:cs="Times New Roman" w:eastAsia="Times New Roman" w:hint="default"/>
        </w:rPr>
        <w:t>RFID</w:t>
      </w:r>
      <w:r>
        <w:rPr/>
        <w:t>监测系统、智慧仓储系统、智慧门店系统等集成应用系统和平台。</w:t>
      </w:r>
    </w:p>
    <w:p>
      <w:pPr>
        <w:pStyle w:val="Heading5"/>
        <w:spacing w:line="297" w:lineRule="auto" w:before="6"/>
        <w:ind w:left="573" w:right="1133"/>
        <w:jc w:val="left"/>
      </w:pPr>
      <w:r>
        <w:rPr/>
        <w:t>（</w:t>
      </w:r>
      <w:r>
        <w:rPr>
          <w:rFonts w:ascii="Times New Roman" w:hAnsi="Times New Roman" w:cs="Times New Roman" w:eastAsia="Times New Roman" w:hint="default"/>
        </w:rPr>
        <w:t>3</w:t>
      </w:r>
      <w:r>
        <w:rPr/>
        <w:t>）经营模式</w:t>
      </w:r>
      <w:r>
        <w:rPr>
          <w:w w:val="100"/>
        </w:rPr>
        <w:t> </w:t>
      </w:r>
      <w:r>
        <w:rPr>
          <w:spacing w:val="-2"/>
        </w:rPr>
        <w:t>公司商业智能产品销售覆盖国内市场和海外市场，海外市场以</w:t>
      </w:r>
      <w:r>
        <w:rPr>
          <w:rFonts w:ascii="Times New Roman" w:hAnsi="Times New Roman" w:cs="Times New Roman" w:eastAsia="Times New Roman" w:hint="default"/>
          <w:spacing w:val="-2"/>
        </w:rPr>
        <w:t>ODM</w:t>
      </w:r>
      <w:r>
        <w:rPr>
          <w:spacing w:val="-2"/>
        </w:rPr>
        <w:t>、</w:t>
      </w:r>
      <w:r>
        <w:rPr>
          <w:rFonts w:ascii="Times New Roman" w:hAnsi="Times New Roman" w:cs="Times New Roman" w:eastAsia="Times New Roman" w:hint="default"/>
          <w:spacing w:val="-2"/>
        </w:rPr>
        <w:t>OEM</w:t>
      </w:r>
      <w:r>
        <w:rPr>
          <w:spacing w:val="-2"/>
        </w:rPr>
        <w:t>为主，部分区域为直营模</w:t>
      </w:r>
    </w:p>
    <w:p>
      <w:pPr>
        <w:pStyle w:val="Heading5"/>
        <w:spacing w:line="297" w:lineRule="auto" w:before="13"/>
        <w:ind w:right="0"/>
        <w:jc w:val="left"/>
      </w:pPr>
      <w:r>
        <w:rPr/>
        <w:t>式，客户主要为从事服装、零售等行业的应用系统集成商。国内市场均为自主品牌，以</w:t>
      </w:r>
      <w:r>
        <w:rPr>
          <w:rFonts w:ascii="Times New Roman" w:hAnsi="Times New Roman" w:cs="Times New Roman" w:eastAsia="Times New Roman" w:hint="default"/>
        </w:rPr>
        <w:t>“</w:t>
      </w:r>
      <w:r>
        <w:rPr/>
        <w:t>一站式零售解决</w:t>
      </w:r>
      <w:r>
        <w:rPr>
          <w:w w:val="100"/>
        </w:rPr>
        <w:t> </w:t>
      </w:r>
      <w:r>
        <w:rPr>
          <w:spacing w:val="-3"/>
        </w:rPr>
        <w:t>方案提供商</w:t>
      </w:r>
      <w:r>
        <w:rPr>
          <w:rFonts w:ascii="Times New Roman" w:hAnsi="Times New Roman" w:cs="Times New Roman" w:eastAsia="Times New Roman" w:hint="default"/>
          <w:spacing w:val="-3"/>
        </w:rPr>
        <w:t>”</w:t>
      </w:r>
      <w:r>
        <w:rPr>
          <w:spacing w:val="-3"/>
        </w:rPr>
        <w:t>的定位，采用直营加代理的模式，主要客户包括大型商超、服装连锁企业、</w:t>
      </w:r>
      <w:r>
        <w:rPr>
          <w:rFonts w:ascii="Times New Roman" w:hAnsi="Times New Roman" w:cs="Times New Roman" w:eastAsia="Times New Roman" w:hint="default"/>
          <w:spacing w:val="-3"/>
        </w:rPr>
        <w:t>3C</w:t>
      </w:r>
      <w:r>
        <w:rPr>
          <w:spacing w:val="-3"/>
        </w:rPr>
        <w:t>卖场、生鲜店、</w:t>
      </w:r>
      <w:r>
        <w:rPr>
          <w:spacing w:val="-14"/>
        </w:rPr>
        <w:t> </w:t>
      </w:r>
      <w:r>
        <w:rPr>
          <w:spacing w:val="-14"/>
        </w:rPr>
      </w:r>
      <w:r>
        <w:rPr/>
        <w:t>珠宝、物流、市政以及资产管理等行业客户。</w:t>
      </w:r>
    </w:p>
    <w:p>
      <w:pPr>
        <w:pStyle w:val="Heading5"/>
        <w:spacing w:line="297" w:lineRule="auto" w:before="34"/>
        <w:ind w:left="573" w:right="1133"/>
        <w:jc w:val="left"/>
      </w:pPr>
      <w:r>
        <w:rPr/>
        <w:t>（</w:t>
      </w:r>
      <w:r>
        <w:rPr>
          <w:rFonts w:ascii="Times New Roman" w:hAnsi="Times New Roman" w:cs="Times New Roman" w:eastAsia="Times New Roman" w:hint="default"/>
        </w:rPr>
        <w:t>4</w:t>
      </w:r>
      <w:r>
        <w:rPr/>
        <w:t>）行业地位</w:t>
      </w:r>
      <w:r>
        <w:rPr>
          <w:w w:val="100"/>
        </w:rPr>
        <w:t> </w:t>
      </w:r>
      <w:r>
        <w:rPr>
          <w:spacing w:val="-2"/>
        </w:rPr>
        <w:t>公司积极把握市场发展机遇，在多年技术积累和市场应用经验基础上，专注于数字化零售、物联科技</w:t>
      </w:r>
    </w:p>
    <w:p>
      <w:pPr>
        <w:pStyle w:val="Heading5"/>
        <w:spacing w:line="304" w:lineRule="auto" w:before="35"/>
        <w:ind w:right="1044"/>
        <w:jc w:val="both"/>
      </w:pPr>
      <w:r>
        <w:rPr>
          <w:spacing w:val="-2"/>
        </w:rPr>
        <w:t>方案的设计，在数字化零售和</w:t>
      </w:r>
      <w:r>
        <w:rPr>
          <w:rFonts w:ascii="Times New Roman" w:hAnsi="Times New Roman" w:cs="Times New Roman" w:eastAsia="Times New Roman" w:hint="default"/>
          <w:spacing w:val="-2"/>
        </w:rPr>
        <w:t>RFID</w:t>
      </w:r>
      <w:r>
        <w:rPr>
          <w:spacing w:val="-2"/>
        </w:rPr>
        <w:t>应用领域处于领先地位，产品遍布欧洲、美洲、中东、东南亚等地区，</w:t>
      </w:r>
      <w:r>
        <w:rPr>
          <w:spacing w:val="-16"/>
        </w:rPr>
        <w:t> </w:t>
      </w:r>
      <w:r>
        <w:rPr>
          <w:spacing w:val="-16"/>
        </w:rPr>
      </w:r>
      <w:r>
        <w:rPr>
          <w:spacing w:val="-2"/>
        </w:rPr>
        <w:t>在物联防损（失窃损耗管理、生鲜损耗管理、资产损耗管理、人力损耗管理）、无人零售、透明供应链、</w:t>
      </w:r>
      <w:r>
        <w:rPr>
          <w:spacing w:val="-21"/>
        </w:rPr>
        <w:t> </w:t>
      </w:r>
      <w:r>
        <w:rPr>
          <w:spacing w:val="-21"/>
        </w:rPr>
      </w:r>
      <w:r>
        <w:rPr/>
        <w:t>智慧安保等方面给客户提供了性能稳定、广受信赖的商业智能解决方案。</w:t>
      </w:r>
    </w:p>
    <w:p>
      <w:pPr>
        <w:spacing w:line="240" w:lineRule="auto" w:before="12"/>
        <w:rPr>
          <w:rFonts w:ascii="宋体" w:hAnsi="宋体" w:cs="宋体" w:eastAsia="宋体" w:hint="default"/>
          <w:sz w:val="18"/>
          <w:szCs w:val="18"/>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973"/>
        <w:gridCol w:w="7586"/>
      </w:tblGrid>
      <w:tr>
        <w:trPr>
          <w:trHeight w:val="187"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vMerge w:val="restart"/>
            <w:tcBorders>
              <w:top w:val="single" w:sz="4" w:space="0" w:color="000000"/>
              <w:left w:val="single" w:sz="9" w:space="0" w:color="D2D2D2"/>
              <w:right w:val="single" w:sz="4" w:space="0" w:color="000000"/>
            </w:tcBorders>
          </w:tcPr>
          <w:p>
            <w:pPr>
              <w:pStyle w:val="TableParagraph"/>
              <w:spacing w:line="297" w:lineRule="auto" w:before="52"/>
              <w:ind w:left="18" w:right="22"/>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18,837.79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67.10%</w:t>
            </w:r>
            <w:r>
              <w:rPr>
                <w:rFonts w:ascii="宋体" w:hAnsi="宋体" w:cs="宋体" w:eastAsia="宋体" w:hint="default"/>
                <w:sz w:val="18"/>
                <w:szCs w:val="18"/>
              </w:rPr>
              <w:t>，主要系公司本期增加对丰廪医健、宁波三创、深圳 智慧医学等投资所致。</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586" w:type="dxa"/>
            <w:vMerge/>
            <w:tcBorders>
              <w:left w:val="single" w:sz="9" w:space="0" w:color="D2D2D2"/>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vMerge/>
            <w:tcBorders>
              <w:left w:val="single" w:sz="9" w:space="0" w:color="D2D2D2"/>
              <w:bottom w:val="single" w:sz="4" w:space="0" w:color="000000"/>
              <w:right w:val="single" w:sz="4" w:space="0" w:color="000000"/>
            </w:tcBorders>
          </w:tcPr>
          <w:p>
            <w:pP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10"/>
              <w:jc w:val="left"/>
              <w:rPr>
                <w:rFonts w:ascii="宋体" w:hAnsi="宋体" w:cs="宋体" w:eastAsia="宋体" w:hint="default"/>
                <w:sz w:val="18"/>
                <w:szCs w:val="18"/>
              </w:rPr>
            </w:pPr>
            <w:r>
              <w:rPr>
                <w:rFonts w:ascii="宋体" w:hAnsi="宋体" w:cs="宋体" w:eastAsia="宋体" w:hint="default"/>
                <w:sz w:val="18"/>
                <w:szCs w:val="18"/>
              </w:rPr>
              <w:t>较上年期末减少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4,876.55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万，降幅</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13.97%</w:t>
            </w:r>
            <w:r>
              <w:rPr>
                <w:rFonts w:ascii="宋体" w:hAnsi="宋体" w:cs="宋体" w:eastAsia="宋体" w:hint="default"/>
                <w:spacing w:val="-3"/>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系统及设备生产建设项目的房屋建筑物 投入使用后，公司统一规划使用生产办公场所，并将部分厂房对外出租转入投资性房地产所致。</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586" w:type="dxa"/>
            <w:vMerge/>
            <w:tcBorders>
              <w:left w:val="single" w:sz="9" w:space="0" w:color="D2D2D2"/>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vMerge/>
            <w:tcBorders>
              <w:left w:val="single" w:sz="9" w:space="0" w:color="D2D2D2"/>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6"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1,431.12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245.81%</w:t>
            </w:r>
            <w:r>
              <w:rPr>
                <w:rFonts w:ascii="宋体" w:hAnsi="宋体" w:cs="宋体" w:eastAsia="宋体" w:hint="default"/>
                <w:sz w:val="18"/>
                <w:szCs w:val="18"/>
              </w:rPr>
              <w:t>，主要系本期公司智慧医疗产业化基地项目投入建设 所致。</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586" w:type="dxa"/>
            <w:vMerge/>
            <w:tcBorders>
              <w:left w:val="single" w:sz="9" w:space="0" w:color="D2D2D2"/>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6" w:type="dxa"/>
            <w:vMerge/>
            <w:tcBorders>
              <w:left w:val="single" w:sz="9" w:space="0" w:color="D2D2D2"/>
              <w:bottom w:val="single" w:sz="4" w:space="0" w:color="000000"/>
              <w:right w:val="single" w:sz="4" w:space="0" w:color="000000"/>
            </w:tcBorders>
          </w:tcPr>
          <w:p>
            <w:pP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17,869.32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29.77%</w:t>
            </w:r>
            <w:r>
              <w:rPr>
                <w:rFonts w:ascii="宋体" w:hAnsi="宋体" w:cs="宋体" w:eastAsia="宋体" w:hint="default"/>
                <w:sz w:val="18"/>
                <w:szCs w:val="18"/>
              </w:rPr>
              <w:t>，主要系随智慧医疗业务销售规模的扩大，应收款相 应增加所致。</w:t>
            </w:r>
          </w:p>
        </w:tc>
      </w:tr>
    </w:tbl>
    <w:p>
      <w:pPr>
        <w:spacing w:after="0" w:line="297"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1985"/>
        <w:gridCol w:w="758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127.49%</w:t>
            </w:r>
            <w:r>
              <w:rPr>
                <w:rFonts w:ascii="宋体" w:hAnsi="宋体" w:cs="宋体" w:eastAsia="宋体" w:hint="default"/>
                <w:sz w:val="18"/>
                <w:szCs w:val="18"/>
              </w:rPr>
              <w:t>，主要系与战略合作公司的预付款增加所致。</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3,643.78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79.46%</w:t>
            </w:r>
            <w:r>
              <w:rPr>
                <w:rFonts w:ascii="宋体" w:hAnsi="宋体" w:cs="宋体" w:eastAsia="宋体" w:hint="default"/>
                <w:sz w:val="18"/>
                <w:szCs w:val="18"/>
              </w:rPr>
              <w:t>，主要系合作过程中支付的押金保证金及其他暂付款 增加所致。</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3,860.67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150.11%</w:t>
            </w:r>
            <w:r>
              <w:rPr>
                <w:rFonts w:ascii="宋体" w:hAnsi="宋体" w:cs="宋体" w:eastAsia="宋体" w:hint="default"/>
                <w:sz w:val="18"/>
                <w:szCs w:val="18"/>
              </w:rPr>
              <w:t>，主要系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系统及设备生产建设项目的房屋建筑 物投入使用后，公司统一规划使用生产办公场所，并将部分厂房对外出租所致。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Heading5"/>
        <w:spacing w:line="348" w:lineRule="auto" w:before="95"/>
        <w:ind w:right="1126" w:firstLine="420"/>
        <w:jc w:val="both"/>
      </w:pPr>
      <w:r>
        <w:rPr>
          <w:spacing w:val="-2"/>
        </w:rPr>
        <w:t>公司持续注重产品研发的投入和自身产业技术的积累，针对行业发展趋势，积极布局创新产品的研发</w:t>
      </w:r>
      <w:r>
        <w:rPr>
          <w:w w:val="100"/>
        </w:rPr>
        <w:t> </w:t>
      </w:r>
      <w:r>
        <w:rPr>
          <w:spacing w:val="-2"/>
        </w:rPr>
        <w:t>和技术储备。报告期内，公司研发总投入</w:t>
      </w:r>
      <w:r>
        <w:rPr>
          <w:rFonts w:ascii="宋体" w:hAnsi="宋体" w:cs="宋体" w:eastAsia="宋体" w:hint="default"/>
          <w:spacing w:val="-2"/>
        </w:rPr>
        <w:t>11,980.43</w:t>
      </w:r>
      <w:r>
        <w:rPr>
          <w:spacing w:val="-2"/>
        </w:rPr>
        <w:t>万元，占营业收入的</w:t>
      </w:r>
      <w:r>
        <w:rPr>
          <w:rFonts w:ascii="宋体" w:hAnsi="宋体" w:cs="宋体" w:eastAsia="宋体" w:hint="default"/>
          <w:spacing w:val="-2"/>
        </w:rPr>
        <w:t>9.25%</w:t>
      </w:r>
      <w:r>
        <w:rPr>
          <w:spacing w:val="-2"/>
        </w:rPr>
        <w:t>。以持续的研发技术创新为</w:t>
      </w:r>
      <w:r>
        <w:rPr>
          <w:spacing w:val="-35"/>
        </w:rPr>
        <w:t> </w:t>
      </w:r>
      <w:r>
        <w:rPr>
          <w:spacing w:val="-35"/>
        </w:rPr>
      </w:r>
      <w:r>
        <w:rPr/>
        <w:t>基础，公司进一步形成和加强了自身的核心竞争优势。</w:t>
      </w:r>
    </w:p>
    <w:p>
      <w:pPr>
        <w:pStyle w:val="Heading5"/>
        <w:spacing w:line="350" w:lineRule="auto" w:before="31"/>
        <w:ind w:right="1133" w:firstLine="420"/>
        <w:jc w:val="left"/>
      </w:pPr>
      <w:r>
        <w:rPr/>
        <w:t>（</w:t>
      </w:r>
      <w:r>
        <w:rPr>
          <w:rFonts w:ascii="宋体" w:hAnsi="宋体" w:cs="宋体" w:eastAsia="宋体" w:hint="default"/>
        </w:rPr>
        <w:t>1</w:t>
      </w:r>
      <w:r>
        <w:rPr/>
        <w:t>）进一步打造医疗健康的全程、连贯服务，推动智慧医疗进入新的发展阶段。公司在业内率先研</w:t>
      </w:r>
      <w:r>
        <w:rPr>
          <w:w w:val="100"/>
        </w:rPr>
        <w:t> </w:t>
      </w:r>
      <w:r>
        <w:rPr>
          <w:spacing w:val="-2"/>
        </w:rPr>
        <w:t>发的智能开放平台的技术架构，为开展可及连贯医疗健康服务提供了重要平台架构基础。报告期内，公司</w:t>
      </w:r>
      <w:r>
        <w:rPr>
          <w:spacing w:val="-43"/>
        </w:rPr>
        <w:t> </w:t>
      </w:r>
      <w:r>
        <w:rPr>
          <w:spacing w:val="-43"/>
        </w:rPr>
      </w:r>
      <w:r>
        <w:rPr>
          <w:spacing w:val="-2"/>
        </w:rPr>
        <w:t>继续从医疗对象、医疗流程入手，持续打造全人全程，端到端（医护人员到病人）的可及连贯智慧医疗服</w:t>
      </w:r>
      <w:r>
        <w:rPr>
          <w:spacing w:val="-43"/>
        </w:rPr>
        <w:t> </w:t>
      </w:r>
      <w:r>
        <w:rPr>
          <w:spacing w:val="-43"/>
        </w:rPr>
      </w:r>
      <w:r>
        <w:rPr>
          <w:spacing w:val="-2"/>
        </w:rPr>
        <w:t>务，推动国内医疗信息化建设模式的变革。这种新的基于开放式架构的医疗信息化建设模式，有利于政府</w:t>
      </w:r>
      <w:r>
        <w:rPr>
          <w:spacing w:val="-44"/>
        </w:rPr>
        <w:t> </w:t>
      </w:r>
      <w:r>
        <w:rPr>
          <w:spacing w:val="-44"/>
        </w:rPr>
      </w:r>
      <w:r>
        <w:rPr>
          <w:spacing w:val="-2"/>
        </w:rPr>
        <w:t>的分级诊疗、双向转诊以及医养护一体化等医疗改革目标的实现，也有助于推动我国智慧医疗逐步进入一</w:t>
      </w:r>
      <w:r>
        <w:rPr>
          <w:spacing w:val="-43"/>
        </w:rPr>
        <w:t> </w:t>
      </w:r>
      <w:r>
        <w:rPr>
          <w:spacing w:val="-43"/>
        </w:rPr>
      </w:r>
      <w:r>
        <w:rPr/>
        <w:t>个以个性化的智能服务为核心的</w:t>
      </w:r>
      <w:r>
        <w:rPr>
          <w:rFonts w:ascii="宋体" w:hAnsi="宋体" w:cs="宋体" w:eastAsia="宋体" w:hint="default"/>
        </w:rPr>
        <w:t>4.0</w:t>
      </w:r>
      <w:r>
        <w:rPr/>
        <w:t>的发展阶段。</w:t>
      </w:r>
    </w:p>
    <w:p>
      <w:pPr>
        <w:pStyle w:val="Heading5"/>
        <w:spacing w:line="350" w:lineRule="auto" w:before="29"/>
        <w:ind w:right="1133" w:firstLine="420"/>
        <w:jc w:val="left"/>
      </w:pPr>
      <w:r>
        <w:rPr/>
        <w:t>（</w:t>
      </w:r>
      <w:r>
        <w:rPr>
          <w:rFonts w:ascii="宋体" w:hAnsi="宋体" w:cs="宋体" w:eastAsia="宋体" w:hint="default"/>
        </w:rPr>
        <w:t>2</w:t>
      </w:r>
      <w:r>
        <w:rPr/>
        <w:t>）进一步开拓海外智慧医疗市场，引领国内医疗信息化行业向国际水平发展。公司在产品研发的</w:t>
      </w:r>
      <w:r>
        <w:rPr>
          <w:w w:val="100"/>
        </w:rPr>
        <w:t> </w:t>
      </w:r>
      <w:r>
        <w:rPr>
          <w:spacing w:val="-2"/>
        </w:rPr>
        <w:t>过程中，一直注重将国际上先进的医疗服务评审标准（诸如</w:t>
      </w:r>
      <w:r>
        <w:rPr>
          <w:rFonts w:ascii="宋体" w:hAnsi="宋体" w:cs="宋体" w:eastAsia="宋体" w:hint="default"/>
          <w:spacing w:val="-2"/>
        </w:rPr>
        <w:t>JCI</w:t>
      </w:r>
      <w:r>
        <w:rPr>
          <w:spacing w:val="-2"/>
        </w:rPr>
        <w:t>、</w:t>
      </w:r>
      <w:r>
        <w:rPr>
          <w:rFonts w:ascii="宋体" w:hAnsi="宋体" w:cs="宋体" w:eastAsia="宋体" w:hint="default"/>
          <w:spacing w:val="-2"/>
        </w:rPr>
        <w:t>HIMSS</w:t>
      </w:r>
      <w:r>
        <w:rPr>
          <w:spacing w:val="-2"/>
        </w:rPr>
        <w:t>等）的理念融入公司的产品架构设</w:t>
      </w:r>
      <w:r>
        <w:rPr>
          <w:spacing w:val="-35"/>
        </w:rPr>
        <w:t> </w:t>
      </w:r>
      <w:r>
        <w:rPr>
          <w:spacing w:val="-35"/>
        </w:rPr>
      </w:r>
      <w:r>
        <w:rPr/>
        <w:t>计，注重与国际知名企业如</w:t>
      </w:r>
      <w:r>
        <w:rPr>
          <w:rFonts w:ascii="宋体" w:hAnsi="宋体" w:cs="宋体" w:eastAsia="宋体" w:hint="default"/>
        </w:rPr>
        <w:t>IBM</w:t>
      </w:r>
      <w:r>
        <w:rPr/>
        <w:t>、英特尔等开展技术合作，这使得公司产品能够比较好地符合国际市场的</w:t>
      </w:r>
      <w:r>
        <w:rPr>
          <w:w w:val="100"/>
        </w:rPr>
        <w:t> </w:t>
      </w:r>
      <w:r>
        <w:rPr>
          <w:spacing w:val="-2"/>
        </w:rPr>
        <w:t>发展趋势。公司作为国内医疗信息化行业第一家将自有产品销售到境外的企业，自</w:t>
      </w:r>
      <w:r>
        <w:rPr>
          <w:rFonts w:ascii="宋体" w:hAnsi="宋体" w:cs="宋体" w:eastAsia="宋体" w:hint="default"/>
          <w:spacing w:val="-2"/>
        </w:rPr>
        <w:t>2011</w:t>
      </w:r>
      <w:r>
        <w:rPr>
          <w:spacing w:val="-2"/>
        </w:rPr>
        <w:t>年即开始为香港、</w:t>
      </w:r>
      <w:r>
        <w:rPr>
          <w:spacing w:val="-16"/>
        </w:rPr>
        <w:t> </w:t>
      </w:r>
      <w:r>
        <w:rPr>
          <w:spacing w:val="-16"/>
        </w:rPr>
      </w:r>
      <w:r>
        <w:rPr/>
        <w:t>澳门及东南亚市场提供智慧医疗解决方案，报告期内，公司成功开始建设的香港中文大学医院约</w:t>
      </w:r>
      <w:r>
        <w:rPr>
          <w:rFonts w:ascii="宋体" w:hAnsi="宋体" w:cs="宋体" w:eastAsia="宋体" w:hint="default"/>
        </w:rPr>
        <w:t>1</w:t>
      </w:r>
      <w:r>
        <w:rPr/>
        <w:t>亿港币</w:t>
      </w:r>
      <w:r>
        <w:rPr>
          <w:w w:val="100"/>
        </w:rPr>
        <w:t> </w:t>
      </w:r>
      <w:r>
        <w:rPr>
          <w:spacing w:val="-2"/>
        </w:rPr>
        <w:t>的智慧医院整体解决方案项目，更标志着公司已成为国内首家能够给境外医院提供符合国际标准的整体信</w:t>
      </w:r>
      <w:r>
        <w:rPr>
          <w:spacing w:val="-43"/>
        </w:rPr>
        <w:t> </w:t>
      </w:r>
      <w:r>
        <w:rPr>
          <w:spacing w:val="-43"/>
        </w:rPr>
      </w:r>
      <w:r>
        <w:rPr>
          <w:spacing w:val="-2"/>
        </w:rPr>
        <w:t>息化建设服务的企业。公司对海外智慧医疗市场的开拓，提升了公司产品及技术的水平，回过头来又能进</w:t>
      </w:r>
      <w:r>
        <w:rPr>
          <w:spacing w:val="-44"/>
        </w:rPr>
        <w:t> </w:t>
      </w:r>
      <w:r>
        <w:rPr>
          <w:spacing w:val="-44"/>
        </w:rPr>
      </w:r>
      <w:r>
        <w:rPr>
          <w:spacing w:val="-2"/>
        </w:rPr>
        <w:t>一步促进公司更高层次地满足国内医院的需求，增强公司在国内市场的竞争力和影响力，为国内医疗信息</w:t>
      </w:r>
      <w:r>
        <w:rPr>
          <w:spacing w:val="-44"/>
        </w:rPr>
        <w:t> </w:t>
      </w:r>
      <w:r>
        <w:rPr>
          <w:spacing w:val="-44"/>
        </w:rPr>
      </w:r>
      <w:r>
        <w:rPr/>
        <w:t>化行业向国际高水平发展做出自己的贡献。</w:t>
      </w:r>
    </w:p>
    <w:p>
      <w:pPr>
        <w:pStyle w:val="Heading5"/>
        <w:spacing w:line="350" w:lineRule="auto" w:before="29"/>
        <w:ind w:right="1125" w:firstLine="420"/>
        <w:jc w:val="left"/>
      </w:pPr>
      <w:r>
        <w:rPr/>
        <w:t>（</w:t>
      </w:r>
      <w:r>
        <w:rPr>
          <w:rFonts w:ascii="宋体" w:hAnsi="宋体" w:cs="宋体" w:eastAsia="宋体" w:hint="default"/>
        </w:rPr>
        <w:t>3</w:t>
      </w:r>
      <w:r>
        <w:rPr/>
        <w:t>）进一步加大人工智能技术的发展力度，做医疗人工智能领域的先行者和领头羊。公司作为国内</w:t>
      </w:r>
      <w:r>
        <w:rPr>
          <w:w w:val="100"/>
        </w:rPr>
        <w:t> </w:t>
      </w:r>
      <w:r>
        <w:rPr/>
        <w:t>最早涉足医疗人工智能的企业之一，</w:t>
      </w:r>
      <w:r>
        <w:rPr>
          <w:rFonts w:ascii="宋体" w:hAnsi="宋体" w:cs="宋体" w:eastAsia="宋体" w:hint="default"/>
        </w:rPr>
        <w:t>2016</w:t>
      </w:r>
      <w:r>
        <w:rPr/>
        <w:t>年初即将</w:t>
      </w:r>
      <w:r>
        <w:rPr>
          <w:rFonts w:ascii="宋体" w:hAnsi="宋体" w:cs="宋体" w:eastAsia="宋体" w:hint="default"/>
        </w:rPr>
        <w:t>IBM</w:t>
      </w:r>
      <w:r>
        <w:rPr/>
        <w:t>的人工智能辅助诊疗系统</w:t>
      </w:r>
      <w:r>
        <w:rPr>
          <w:rFonts w:ascii="宋体" w:hAnsi="宋体" w:cs="宋体" w:eastAsia="宋体" w:hint="default"/>
        </w:rPr>
        <w:t>Watson for</w:t>
      </w:r>
      <w:r>
        <w:rPr>
          <w:rFonts w:ascii="宋体" w:hAnsi="宋体" w:cs="宋体" w:eastAsia="宋体" w:hint="default"/>
          <w:spacing w:val="-34"/>
        </w:rPr>
        <w:t> </w:t>
      </w:r>
      <w:r>
        <w:rPr>
          <w:rFonts w:ascii="宋体" w:hAnsi="宋体" w:cs="宋体" w:eastAsia="宋体" w:hint="default"/>
        </w:rPr>
        <w:t>Oncology</w:t>
      </w:r>
      <w:r>
        <w:rPr/>
        <w:t>第一</w:t>
      </w:r>
      <w:r>
        <w:rPr>
          <w:spacing w:val="-3"/>
          <w:w w:val="100"/>
        </w:rPr>
        <w:t> </w:t>
      </w:r>
      <w:r>
        <w:rPr>
          <w:spacing w:val="-2"/>
        </w:rPr>
        <w:t>个引入中国并开展应用。报告期内，公司在医疗人工智能技术的自主研发上继续保持定力，并取得了长足</w:t>
      </w:r>
      <w:r>
        <w:rPr>
          <w:spacing w:val="-44"/>
        </w:rPr>
        <w:t> </w:t>
      </w:r>
      <w:r>
        <w:rPr>
          <w:spacing w:val="-44"/>
        </w:rPr>
      </w:r>
      <w:r>
        <w:rPr/>
        <w:t>的进步。公司创新设计开发的中西医临床术语体系框架</w:t>
      </w:r>
      <w:r>
        <w:rPr>
          <w:rFonts w:ascii="宋体" w:hAnsi="宋体" w:cs="宋体" w:eastAsia="宋体" w:hint="default"/>
        </w:rPr>
        <w:t>(ITCMWMCTS)</w:t>
      </w:r>
      <w:r>
        <w:rPr/>
        <w:t>，已通过</w:t>
      </w:r>
      <w:r>
        <w:rPr>
          <w:rFonts w:ascii="宋体" w:hAnsi="宋体" w:cs="宋体" w:eastAsia="宋体" w:hint="default"/>
        </w:rPr>
        <w:t>ISO/DTS22990</w:t>
      </w:r>
      <w:r>
        <w:rPr/>
        <w:t>国际化标准组</w:t>
      </w:r>
      <w:r>
        <w:rPr>
          <w:w w:val="100"/>
        </w:rPr>
        <w:t> </w:t>
      </w:r>
      <w:r>
        <w:rPr/>
        <w:t>织认证，开创了该领域中国医疗卫生信息标准国际化的先河。公司运用自主研发的以人工智能认知引擎</w:t>
      </w:r>
    </w:p>
    <w:p>
      <w:pPr>
        <w:spacing w:after="0" w:line="35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left="352" w:right="0"/>
        <w:jc w:val="left"/>
      </w:pPr>
      <w:r>
        <w:rPr>
          <w:rFonts w:ascii="宋体" w:hAnsi="宋体" w:cs="宋体" w:eastAsia="宋体" w:hint="default"/>
        </w:rPr>
        <w:t>ThinkGo</w:t>
      </w:r>
      <w:r>
        <w:rPr/>
        <w:t>为核心的医学智能大脑，持续开展疾病辅助诊断等应用产品的开发工作，目前已开发了</w:t>
      </w:r>
      <w:r>
        <w:rPr>
          <w:rFonts w:ascii="宋体" w:hAnsi="宋体" w:cs="宋体" w:eastAsia="宋体" w:hint="default"/>
        </w:rPr>
        <w:t>10</w:t>
      </w:r>
      <w:r>
        <w:rPr/>
        <w:t>余种常</w:t>
      </w:r>
      <w:r>
        <w:rPr>
          <w:w w:val="100"/>
        </w:rPr>
        <w:t> </w:t>
      </w:r>
      <w:r>
        <w:rPr>
          <w:spacing w:val="-2"/>
        </w:rPr>
        <w:t>见疾病的单病种机器人运用于临床智能辅助诊断。报告期内，公司还融合人工智能和互联网技术，实现了</w:t>
      </w:r>
      <w:r>
        <w:rPr>
          <w:spacing w:val="-44"/>
        </w:rPr>
        <w:t> </w:t>
      </w:r>
      <w:r>
        <w:rPr>
          <w:spacing w:val="-44"/>
        </w:rPr>
      </w:r>
      <w:r>
        <w:rPr>
          <w:spacing w:val="-2"/>
        </w:rPr>
        <w:t>慢病精细化管理，并开始利用互联网人工智能医疗协作平台开展跨区域优质医疗资源联动，发展医养康护</w:t>
      </w:r>
      <w:r>
        <w:rPr>
          <w:spacing w:val="-43"/>
        </w:rPr>
        <w:t> </w:t>
      </w:r>
      <w:r>
        <w:rPr>
          <w:spacing w:val="-43"/>
        </w:rPr>
      </w:r>
      <w:r>
        <w:rPr/>
        <w:t>相结合的互联网智慧养老服务新模式等等。</w:t>
      </w:r>
    </w:p>
    <w:p>
      <w:pPr>
        <w:pStyle w:val="Heading5"/>
        <w:spacing w:line="348" w:lineRule="auto" w:before="29"/>
        <w:ind w:left="352" w:right="0" w:firstLine="420"/>
        <w:jc w:val="left"/>
      </w:pPr>
      <w:r>
        <w:rPr/>
        <w:pict>
          <v:shape style="position:absolute;margin-left:44.16pt;margin-top:37.713696pt;width:507.25pt;height:566.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2"/>
                    <w:gridCol w:w="1421"/>
                    <w:gridCol w:w="2830"/>
                    <w:gridCol w:w="1680"/>
                    <w:gridCol w:w="1174"/>
                    <w:gridCol w:w="1169"/>
                    <w:gridCol w:w="1157"/>
                  </w:tblGrid>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b/>
                            <w:bCs/>
                            <w:sz w:val="21"/>
                            <w:szCs w:val="21"/>
                          </w:rPr>
                          <w:t>/</w:t>
                        </w:r>
                        <w:r>
                          <w:rPr>
                            <w:rFonts w:ascii="宋体" w:hAnsi="宋体" w:cs="宋体" w:eastAsia="宋体" w:hint="default"/>
                            <w:b/>
                            <w:bCs/>
                            <w:sz w:val="21"/>
                            <w:szCs w:val="21"/>
                          </w:rPr>
                          <w:t>登记号</w:t>
                        </w:r>
                        <w:r>
                          <w:rPr>
                            <w:rFonts w:ascii="宋体" w:hAnsi="宋体" w:cs="宋体" w:eastAsia="宋体" w:hint="default"/>
                            <w:sz w:val="21"/>
                            <w:szCs w:val="21"/>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54"/>
                          <w:jc w:val="right"/>
                          <w:rPr>
                            <w:rFonts w:ascii="宋体" w:hAnsi="宋体" w:cs="宋体" w:eastAsia="宋体" w:hint="default"/>
                            <w:sz w:val="21"/>
                            <w:szCs w:val="21"/>
                          </w:rPr>
                        </w:pPr>
                        <w:r>
                          <w:rPr>
                            <w:rFonts w:ascii="宋体" w:hAnsi="宋体" w:cs="宋体" w:eastAsia="宋体" w:hint="default"/>
                            <w:b/>
                            <w:bCs/>
                            <w:sz w:val="21"/>
                            <w:szCs w:val="21"/>
                          </w:rPr>
                          <w:t>登记时间</w:t>
                        </w:r>
                        <w:r>
                          <w:rPr>
                            <w:rFonts w:ascii="宋体" w:hAnsi="宋体" w:cs="宋体" w:eastAsia="宋体" w:hint="default"/>
                            <w:sz w:val="21"/>
                            <w:szCs w:val="21"/>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可更换的绳式标签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0" w:right="0"/>
                          <w:jc w:val="left"/>
                          <w:rPr>
                            <w:rFonts w:ascii="宋体" w:hAnsi="宋体" w:cs="宋体" w:eastAsia="宋体" w:hint="default"/>
                            <w:sz w:val="21"/>
                            <w:szCs w:val="21"/>
                          </w:rPr>
                        </w:pPr>
                        <w:r>
                          <w:rPr>
                            <w:rFonts w:ascii="宋体"/>
                            <w:sz w:val="21"/>
                          </w:rPr>
                          <w:t>ZL 2015</w:t>
                        </w:r>
                        <w:r>
                          <w:rPr>
                            <w:rFonts w:ascii="宋体"/>
                            <w:spacing w:val="1"/>
                            <w:sz w:val="21"/>
                          </w:rPr>
                          <w:t> </w:t>
                        </w:r>
                        <w:r>
                          <w:rPr>
                            <w:rFonts w:ascii="宋体"/>
                            <w:sz w:val="21"/>
                          </w:rPr>
                          <w:t>1</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0367204.3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2018/4/17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思创医惠</w:t>
                        </w:r>
                      </w:p>
                    </w:tc>
                  </w:tr>
                  <w:tr>
                    <w:trPr>
                      <w:trHeight w:val="349"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201510706864.X</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2018/11/1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思创医惠</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63" w:right="36" w:hanging="420"/>
                          <w:jc w:val="left"/>
                          <w:rPr>
                            <w:rFonts w:ascii="宋体" w:hAnsi="宋体" w:cs="宋体" w:eastAsia="宋体" w:hint="default"/>
                            <w:sz w:val="21"/>
                            <w:szCs w:val="21"/>
                          </w:rPr>
                        </w:pPr>
                        <w:r>
                          <w:rPr>
                            <w:rFonts w:ascii="宋体" w:hAnsi="宋体" w:cs="宋体" w:eastAsia="宋体" w:hint="default"/>
                            <w:spacing w:val="-2"/>
                            <w:sz w:val="21"/>
                            <w:szCs w:val="21"/>
                          </w:rPr>
                          <w:t>一种具有实时响应特点的基于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感应的数据识别系统</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sz w:val="21"/>
                          </w:rPr>
                          <w:t>201410849456.5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2018/10/9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1" w:right="41" w:hanging="106"/>
                          <w:jc w:val="left"/>
                          <w:rPr>
                            <w:rFonts w:ascii="宋体" w:hAnsi="宋体" w:cs="宋体" w:eastAsia="宋体" w:hint="default"/>
                            <w:sz w:val="21"/>
                            <w:szCs w:val="21"/>
                          </w:rPr>
                        </w:pPr>
                        <w:r>
                          <w:rPr>
                            <w:rFonts w:ascii="宋体" w:hAnsi="宋体" w:cs="宋体" w:eastAsia="宋体" w:hint="default"/>
                            <w:sz w:val="21"/>
                            <w:szCs w:val="21"/>
                          </w:rPr>
                          <w:t>思创医惠、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思创汇联</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w w:val="100"/>
                            <w:sz w:val="21"/>
                          </w:rPr>
                          <w:t>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8" w:right="91" w:hanging="683"/>
                          <w:jc w:val="left"/>
                          <w:rPr>
                            <w:rFonts w:ascii="宋体" w:hAnsi="宋体" w:cs="宋体" w:eastAsia="宋体" w:hint="default"/>
                            <w:sz w:val="21"/>
                            <w:szCs w:val="21"/>
                          </w:rPr>
                        </w:pPr>
                        <w:r>
                          <w:rPr>
                            <w:rFonts w:ascii="宋体" w:hAnsi="宋体" w:cs="宋体" w:eastAsia="宋体" w:hint="default"/>
                            <w:spacing w:val="-2"/>
                            <w:sz w:val="21"/>
                            <w:szCs w:val="21"/>
                          </w:rPr>
                          <w:t>一种</w:t>
                        </w:r>
                        <w:r>
                          <w:rPr>
                            <w:rFonts w:ascii="宋体" w:hAnsi="宋体" w:cs="宋体" w:eastAsia="宋体" w:hint="default"/>
                            <w:spacing w:val="-2"/>
                            <w:sz w:val="21"/>
                            <w:szCs w:val="21"/>
                          </w:rPr>
                          <w:t>LED</w:t>
                        </w:r>
                        <w:r>
                          <w:rPr>
                            <w:rFonts w:ascii="宋体" w:hAnsi="宋体" w:cs="宋体" w:eastAsia="宋体" w:hint="default"/>
                            <w:spacing w:val="-2"/>
                            <w:sz w:val="21"/>
                            <w:szCs w:val="21"/>
                          </w:rPr>
                          <w:t>柔性面光源的生产工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艺及生产设备</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sz w:val="21"/>
                          </w:rPr>
                          <w:t>201810165392.5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2018/2/28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68" w:right="91" w:hanging="473"/>
                          <w:jc w:val="left"/>
                          <w:rPr>
                            <w:rFonts w:ascii="宋体" w:hAnsi="宋体" w:cs="宋体" w:eastAsia="宋体" w:hint="default"/>
                            <w:sz w:val="21"/>
                            <w:szCs w:val="21"/>
                          </w:rPr>
                        </w:pPr>
                        <w:r>
                          <w:rPr>
                            <w:rFonts w:ascii="宋体" w:hAnsi="宋体" w:cs="宋体" w:eastAsia="宋体" w:hint="default"/>
                            <w:spacing w:val="-2"/>
                            <w:sz w:val="21"/>
                            <w:szCs w:val="21"/>
                          </w:rPr>
                          <w:t>一种应用于</w:t>
                        </w:r>
                        <w:r>
                          <w:rPr>
                            <w:rFonts w:ascii="宋体" w:hAnsi="宋体" w:cs="宋体" w:eastAsia="宋体" w:hint="default"/>
                            <w:spacing w:val="-2"/>
                            <w:sz w:val="21"/>
                            <w:szCs w:val="21"/>
                          </w:rPr>
                          <w:t>Inlay</w:t>
                        </w:r>
                        <w:r>
                          <w:rPr>
                            <w:rFonts w:ascii="宋体" w:hAnsi="宋体" w:cs="宋体" w:eastAsia="宋体" w:hint="default"/>
                            <w:spacing w:val="-2"/>
                            <w:sz w:val="21"/>
                            <w:szCs w:val="21"/>
                          </w:rPr>
                          <w:t>电子标签生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产设备的点胶装置</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sz w:val="21"/>
                          </w:rPr>
                          <w:t>201810149126.3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2018/2/13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w w:val="100"/>
                            <w:sz w:val="21"/>
                          </w:rPr>
                          <w:t>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2" w:right="144" w:hanging="527"/>
                          <w:jc w:val="left"/>
                          <w:rPr>
                            <w:rFonts w:ascii="宋体" w:hAnsi="宋体" w:cs="宋体" w:eastAsia="宋体" w:hint="default"/>
                            <w:sz w:val="21"/>
                            <w:szCs w:val="21"/>
                          </w:rPr>
                        </w:pPr>
                        <w:r>
                          <w:rPr>
                            <w:rFonts w:ascii="宋体" w:hAnsi="宋体" w:cs="宋体" w:eastAsia="宋体" w:hint="default"/>
                            <w:spacing w:val="-2"/>
                            <w:sz w:val="21"/>
                            <w:szCs w:val="21"/>
                          </w:rPr>
                          <w:t>搭配常规芯片的全向性群读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RFID</w:t>
                        </w:r>
                        <w:r>
                          <w:rPr>
                            <w:rFonts w:ascii="宋体" w:hAnsi="宋体" w:cs="宋体" w:eastAsia="宋体" w:hint="default"/>
                            <w:sz w:val="21"/>
                            <w:szCs w:val="21"/>
                          </w:rPr>
                          <w:t>天线及标签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sz w:val="21"/>
                          </w:rPr>
                          <w:t>201810969345.6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63" w:right="0"/>
                          <w:jc w:val="left"/>
                          <w:rPr>
                            <w:rFonts w:ascii="宋体" w:hAnsi="宋体" w:cs="宋体" w:eastAsia="宋体" w:hint="default"/>
                            <w:sz w:val="21"/>
                            <w:szCs w:val="21"/>
                          </w:rPr>
                        </w:pPr>
                        <w:r>
                          <w:rPr>
                            <w:rFonts w:ascii="宋体"/>
                            <w:sz w:val="21"/>
                          </w:rPr>
                          <w:t>2018/8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一种电子标签式气体传感器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201811226503.5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2018/10/22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89" w:right="36" w:hanging="947"/>
                          <w:jc w:val="left"/>
                          <w:rPr>
                            <w:rFonts w:ascii="宋体" w:hAnsi="宋体" w:cs="宋体" w:eastAsia="宋体" w:hint="default"/>
                            <w:sz w:val="21"/>
                            <w:szCs w:val="21"/>
                          </w:rPr>
                        </w:pPr>
                        <w:r>
                          <w:rPr>
                            <w:rFonts w:ascii="宋体" w:hAnsi="宋体" w:cs="宋体" w:eastAsia="宋体" w:hint="default"/>
                            <w:spacing w:val="-1"/>
                            <w:sz w:val="21"/>
                            <w:szCs w:val="21"/>
                          </w:rPr>
                          <w:t>一种全向抗介质</w:t>
                        </w:r>
                        <w:r>
                          <w:rPr>
                            <w:rFonts w:ascii="宋体" w:hAnsi="宋体" w:cs="宋体" w:eastAsia="宋体" w:hint="default"/>
                            <w:spacing w:val="-1"/>
                            <w:sz w:val="21"/>
                            <w:szCs w:val="21"/>
                          </w:rPr>
                          <w:t>RFID</w:t>
                        </w:r>
                        <w:r>
                          <w:rPr>
                            <w:rFonts w:ascii="宋体" w:hAnsi="宋体" w:cs="宋体" w:eastAsia="宋体" w:hint="default"/>
                            <w:spacing w:val="-1"/>
                            <w:sz w:val="21"/>
                            <w:szCs w:val="21"/>
                          </w:rPr>
                          <w:t>标签及其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使用方法</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sz w:val="21"/>
                          </w:rPr>
                          <w:t>201811254527.1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2018/10/26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w w:val="100"/>
                            <w:sz w:val="21"/>
                          </w:rPr>
                          <w:t>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8" w:right="36" w:hanging="735"/>
                          <w:jc w:val="left"/>
                          <w:rPr>
                            <w:rFonts w:ascii="宋体" w:hAnsi="宋体" w:cs="宋体" w:eastAsia="宋体" w:hint="default"/>
                            <w:sz w:val="21"/>
                            <w:szCs w:val="21"/>
                          </w:rPr>
                        </w:pPr>
                        <w:r>
                          <w:rPr>
                            <w:rFonts w:ascii="宋体" w:hAnsi="宋体" w:cs="宋体" w:eastAsia="宋体" w:hint="default"/>
                            <w:spacing w:val="-1"/>
                            <w:sz w:val="21"/>
                            <w:szCs w:val="21"/>
                          </w:rPr>
                          <w:t>可实现异常</w:t>
                        </w:r>
                        <w:r>
                          <w:rPr>
                            <w:rFonts w:ascii="宋体" w:hAnsi="宋体" w:cs="宋体" w:eastAsia="宋体" w:hint="default"/>
                            <w:spacing w:val="-1"/>
                            <w:sz w:val="21"/>
                            <w:szCs w:val="21"/>
                          </w:rPr>
                          <w:t>RFID</w:t>
                        </w:r>
                        <w:r>
                          <w:rPr>
                            <w:rFonts w:ascii="宋体" w:hAnsi="宋体" w:cs="宋体" w:eastAsia="宋体" w:hint="default"/>
                            <w:spacing w:val="-1"/>
                            <w:sz w:val="21"/>
                            <w:szCs w:val="21"/>
                          </w:rPr>
                          <w:t>剔废和补标功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能的复检设备</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sz w:val="21"/>
                          </w:rPr>
                          <w:t>201810082435.3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2018/1/29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10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68" w:right="91" w:hanging="473"/>
                          <w:jc w:val="left"/>
                          <w:rPr>
                            <w:rFonts w:ascii="宋体" w:hAnsi="宋体" w:cs="宋体" w:eastAsia="宋体" w:hint="default"/>
                            <w:sz w:val="21"/>
                            <w:szCs w:val="21"/>
                          </w:rPr>
                        </w:pPr>
                        <w:r>
                          <w:rPr>
                            <w:rFonts w:ascii="宋体" w:hAnsi="宋体" w:cs="宋体" w:eastAsia="宋体" w:hint="default"/>
                            <w:spacing w:val="-2"/>
                            <w:sz w:val="21"/>
                            <w:szCs w:val="21"/>
                          </w:rPr>
                          <w:t>医惠</w:t>
                        </w:r>
                        <w:r>
                          <w:rPr>
                            <w:rFonts w:ascii="宋体" w:hAnsi="宋体" w:cs="宋体" w:eastAsia="宋体" w:hint="default"/>
                            <w:spacing w:val="-2"/>
                            <w:sz w:val="21"/>
                            <w:szCs w:val="21"/>
                          </w:rPr>
                          <w:t>ThinkGO</w:t>
                        </w:r>
                        <w:r>
                          <w:rPr>
                            <w:rFonts w:ascii="宋体" w:hAnsi="宋体" w:cs="宋体" w:eastAsia="宋体" w:hint="default"/>
                            <w:spacing w:val="-2"/>
                            <w:sz w:val="21"/>
                            <w:szCs w:val="21"/>
                          </w:rPr>
                          <w:t>医学本体的概念</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校验平台软件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2018SR008995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2018/1/4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11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医惠科研综合服务平台系统软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V3.0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2018SR008326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2018/1/4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医惠一体化监控平台软件</w:t>
                        </w:r>
                        <w:r>
                          <w:rPr>
                            <w:rFonts w:ascii="宋体" w:hAnsi="宋体" w:cs="宋体" w:eastAsia="宋体" w:hint="default"/>
                            <w:sz w:val="21"/>
                            <w:szCs w:val="21"/>
                          </w:rPr>
                          <w:t>V3.0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2018SR008345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54"/>
                          <w:jc w:val="right"/>
                          <w:rPr>
                            <w:rFonts w:ascii="宋体" w:hAnsi="宋体" w:cs="宋体" w:eastAsia="宋体" w:hint="default"/>
                            <w:sz w:val="21"/>
                            <w:szCs w:val="21"/>
                          </w:rPr>
                        </w:pPr>
                        <w:r>
                          <w:rPr>
                            <w:rFonts w:ascii="宋体"/>
                            <w:spacing w:val="-1"/>
                            <w:sz w:val="21"/>
                          </w:rPr>
                          <w:t>2018/1/4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医惠主数据管理平台软件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2018SR008517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54"/>
                          <w:jc w:val="right"/>
                          <w:rPr>
                            <w:rFonts w:ascii="宋体" w:hAnsi="宋体" w:cs="宋体" w:eastAsia="宋体" w:hint="default"/>
                            <w:sz w:val="21"/>
                            <w:szCs w:val="21"/>
                          </w:rPr>
                        </w:pPr>
                        <w:r>
                          <w:rPr>
                            <w:rFonts w:ascii="宋体"/>
                            <w:spacing w:val="-1"/>
                            <w:sz w:val="21"/>
                          </w:rPr>
                          <w:t>2018/1/4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1"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14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医惠护理电子病历系统软件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2018SR015562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2018/1/8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医惠患者信息系统软件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2018SR015568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54"/>
                          <w:jc w:val="right"/>
                          <w:rPr>
                            <w:rFonts w:ascii="宋体" w:hAnsi="宋体" w:cs="宋体" w:eastAsia="宋体" w:hint="default"/>
                            <w:sz w:val="21"/>
                            <w:szCs w:val="21"/>
                          </w:rPr>
                        </w:pPr>
                        <w:r>
                          <w:rPr>
                            <w:rFonts w:ascii="宋体"/>
                            <w:spacing w:val="-1"/>
                            <w:sz w:val="21"/>
                          </w:rPr>
                          <w:t>2018/1/8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16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83" w:right="36" w:hanging="841"/>
                          <w:jc w:val="left"/>
                          <w:rPr>
                            <w:rFonts w:ascii="宋体" w:hAnsi="宋体" w:cs="宋体" w:eastAsia="宋体" w:hint="default"/>
                            <w:sz w:val="21"/>
                            <w:szCs w:val="21"/>
                          </w:rPr>
                        </w:pPr>
                        <w:r>
                          <w:rPr>
                            <w:rFonts w:ascii="宋体" w:hAnsi="宋体" w:cs="宋体" w:eastAsia="宋体" w:hint="default"/>
                            <w:spacing w:val="-2"/>
                            <w:sz w:val="21"/>
                            <w:szCs w:val="21"/>
                          </w:rPr>
                          <w:t>医惠智能被服科室分拣管理系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2018SR067843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2018/1/29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17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医惠智能被服微信管理系统软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2018SR068205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2018/1/29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18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医惠医院智能门户平台系统软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2018SR099476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2018/2/7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19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医惠药学服务平台系统软件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2018SR099481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2018/2/7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bl>
                <w:p>
                  <w:pPr/>
                </w:p>
              </w:txbxContent>
            </v:textbox>
            <w10:wrap type="none"/>
          </v:shape>
        </w:pict>
      </w:r>
      <w:r>
        <w:rPr>
          <w:spacing w:val="-2"/>
        </w:rPr>
        <w:t>（</w:t>
      </w:r>
      <w:r>
        <w:rPr>
          <w:rFonts w:ascii="宋体" w:hAnsi="宋体" w:cs="宋体" w:eastAsia="宋体" w:hint="default"/>
          <w:spacing w:val="-2"/>
        </w:rPr>
        <w:t>4</w:t>
      </w:r>
      <w:r>
        <w:rPr>
          <w:spacing w:val="-2"/>
        </w:rPr>
        <w:t>）报告期内，公司及子公司共获得软件著作权</w:t>
      </w:r>
      <w:r>
        <w:rPr>
          <w:rFonts w:ascii="宋体" w:hAnsi="宋体" w:cs="宋体" w:eastAsia="宋体" w:hint="default"/>
          <w:spacing w:val="-2"/>
        </w:rPr>
        <w:t>75</w:t>
      </w:r>
      <w:r>
        <w:rPr>
          <w:spacing w:val="-2"/>
        </w:rPr>
        <w:t>项，实用新型专利</w:t>
      </w:r>
      <w:r>
        <w:rPr>
          <w:rFonts w:ascii="宋体" w:hAnsi="宋体" w:cs="宋体" w:eastAsia="宋体" w:hint="default"/>
          <w:spacing w:val="-2"/>
        </w:rPr>
        <w:t>60</w:t>
      </w:r>
      <w:r>
        <w:rPr>
          <w:spacing w:val="-2"/>
        </w:rPr>
        <w:t>项，发明专利</w:t>
      </w:r>
      <w:r>
        <w:rPr>
          <w:rFonts w:ascii="宋体" w:hAnsi="宋体" w:cs="宋体" w:eastAsia="宋体" w:hint="default"/>
          <w:spacing w:val="-2"/>
        </w:rPr>
        <w:t>9</w:t>
      </w:r>
      <w:r>
        <w:rPr>
          <w:spacing w:val="-2"/>
        </w:rPr>
        <w:t>项，外观设计</w:t>
      </w:r>
      <w:r>
        <w:rPr>
          <w:w w:val="100"/>
        </w:rPr>
        <w:t> </w:t>
      </w:r>
      <w:r>
        <w:rPr/>
        <w:t>专利</w:t>
      </w:r>
      <w:r>
        <w:rPr>
          <w:rFonts w:ascii="宋体" w:hAnsi="宋体" w:cs="宋体" w:eastAsia="宋体" w:hint="default"/>
        </w:rPr>
        <w:t>20</w:t>
      </w:r>
      <w:r>
        <w:rPr/>
        <w:t>项。其中发明专利及软件著作权情况如下：</w:t>
      </w:r>
    </w:p>
    <w:p>
      <w:pPr>
        <w:spacing w:after="0" w:line="348" w:lineRule="auto"/>
        <w:jc w:val="left"/>
        <w:sectPr>
          <w:pgSz w:w="11910" w:h="16840"/>
          <w:pgMar w:header="745" w:footer="979" w:top="104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692"/>
        <w:gridCol w:w="1421"/>
        <w:gridCol w:w="2830"/>
        <w:gridCol w:w="1680"/>
        <w:gridCol w:w="1174"/>
        <w:gridCol w:w="1169"/>
        <w:gridCol w:w="1157"/>
      </w:tblGrid>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医惠临床辅助决策系统软件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2018SR099488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2018/2/7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医惠国家护理质量数据平台软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2018SR100290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22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医惠人工智能疾病辅助系统软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2018SR100356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医惠智能床旁交互系统软件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2018SR100628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24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医惠闭环流程追溯管理系统软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2018SR100636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医惠主数据管理平台系统软件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2018SR100644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26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医惠医疗废弃物管理系统软件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V5.0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2018SR166557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2018/3/14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27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医惠一体化服务平台软件</w:t>
            </w:r>
            <w:r>
              <w:rPr>
                <w:rFonts w:ascii="宋体" w:hAnsi="宋体" w:cs="宋体" w:eastAsia="宋体" w:hint="default"/>
                <w:sz w:val="21"/>
                <w:szCs w:val="21"/>
              </w:rPr>
              <w:t>V3.0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2018SR247496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2018/4/12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医惠数据中心管理平台软件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V3.0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2018SR248035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2018/4/12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医惠多学科联合会诊软件</w:t>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2018SR314456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4"/>
              <w:jc w:val="right"/>
              <w:rPr>
                <w:rFonts w:ascii="宋体" w:hAnsi="宋体" w:cs="宋体" w:eastAsia="宋体" w:hint="default"/>
                <w:sz w:val="21"/>
                <w:szCs w:val="21"/>
              </w:rPr>
            </w:pPr>
            <w:r>
              <w:rPr>
                <w:rFonts w:ascii="宋体"/>
                <w:spacing w:val="-1"/>
                <w:sz w:val="21"/>
              </w:rPr>
              <w:t>2018/5/8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医惠呼叫护士系统软件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2018SR344823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2018/5/16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31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医惠护士站电子白板系统软件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2018SR169241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2018/3/15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医惠健康教育系统软件</w:t>
            </w:r>
            <w:r>
              <w:rPr>
                <w:rFonts w:ascii="宋体" w:hAnsi="宋体" w:cs="宋体" w:eastAsia="宋体" w:hint="default"/>
                <w:sz w:val="21"/>
                <w:szCs w:val="21"/>
              </w:rPr>
              <w:t>V1.2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2018SR171140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2018/3/15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医惠一体化接入平台软件</w:t>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2018SR346392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2018/5/16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医惠影音娱乐系统软件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2018SR347130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2018/5/16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35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简惠智能远程医疗平台软件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2018SR411463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2018/6/4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杭州简惠</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w:t>
            </w:r>
            <w:r>
              <w:rPr>
                <w:rFonts w:ascii="宋体" w:hAnsi="宋体" w:cs="宋体" w:eastAsia="宋体" w:hint="default"/>
                <w:sz w:val="21"/>
                <w:szCs w:val="21"/>
              </w:rPr>
              <w:t>SDK</w:t>
            </w:r>
            <w:r>
              <w:rPr>
                <w:rFonts w:ascii="宋体" w:hAnsi="宋体" w:cs="宋体" w:eastAsia="宋体" w:hint="default"/>
                <w:sz w:val="21"/>
                <w:szCs w:val="21"/>
              </w:rPr>
              <w:t>接入包软件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2018SR654417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2018/8/16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医惠健康教育系统软件</w:t>
            </w:r>
            <w:r>
              <w:rPr>
                <w:rFonts w:ascii="宋体" w:hAnsi="宋体" w:cs="宋体" w:eastAsia="宋体" w:hint="default"/>
                <w:sz w:val="21"/>
                <w:szCs w:val="21"/>
              </w:rPr>
              <w:t>V1.3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2018SR579619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2018/7/24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38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医惠省级护理质量数据平台软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2018SR580442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2018/7/24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1"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39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医惠医院信息集成平台系统软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V3.0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2018SR607182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2018/8/1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40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医惠医嘱执行管理系统软件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2018SR639829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2018/8/10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41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医惠主数据管理平台系统软件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2018SR639945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2018/8/10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42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89" w:right="38" w:hanging="947"/>
              <w:jc w:val="left"/>
              <w:rPr>
                <w:rFonts w:ascii="宋体" w:hAnsi="宋体" w:cs="宋体" w:eastAsia="宋体" w:hint="default"/>
                <w:sz w:val="21"/>
                <w:szCs w:val="21"/>
              </w:rPr>
            </w:pPr>
            <w:r>
              <w:rPr>
                <w:rFonts w:ascii="宋体" w:hAnsi="宋体" w:cs="宋体" w:eastAsia="宋体" w:hint="default"/>
                <w:spacing w:val="-2"/>
                <w:sz w:val="21"/>
                <w:szCs w:val="21"/>
              </w:rPr>
              <w:t>医惠自然语言处理组件</w:t>
            </w:r>
            <w:r>
              <w:rPr>
                <w:rFonts w:ascii="宋体" w:hAnsi="宋体" w:cs="宋体" w:eastAsia="宋体" w:hint="default"/>
                <w:spacing w:val="-2"/>
                <w:sz w:val="21"/>
                <w:szCs w:val="21"/>
              </w:rPr>
              <w:t>mednlp</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2018SR641746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2018/8/13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43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83" w:right="36" w:hanging="841"/>
              <w:jc w:val="left"/>
              <w:rPr>
                <w:rFonts w:ascii="宋体" w:hAnsi="宋体" w:cs="宋体" w:eastAsia="宋体" w:hint="default"/>
                <w:sz w:val="21"/>
                <w:szCs w:val="21"/>
              </w:rPr>
            </w:pPr>
            <w:r>
              <w:rPr>
                <w:rFonts w:ascii="宋体" w:hAnsi="宋体" w:cs="宋体" w:eastAsia="宋体" w:hint="default"/>
                <w:spacing w:val="-2"/>
                <w:sz w:val="21"/>
                <w:szCs w:val="21"/>
              </w:rPr>
              <w:t>医惠一体化服务平台开发者工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具软件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2018SR447564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2018/6/13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44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医惠预约护工系统软件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2018SR447550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2018/6/13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bl>
    <w:p>
      <w:pPr>
        <w:spacing w:after="0" w:line="272" w:lineRule="exact"/>
        <w:jc w:val="center"/>
        <w:rPr>
          <w:rFonts w:ascii="宋体" w:hAnsi="宋体" w:cs="宋体" w:eastAsia="宋体" w:hint="default"/>
          <w:sz w:val="21"/>
          <w:szCs w:val="21"/>
        </w:rPr>
        <w:sectPr>
          <w:pgSz w:w="11910" w:h="16840"/>
          <w:pgMar w:header="745" w:footer="979" w:top="104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692"/>
        <w:gridCol w:w="1421"/>
        <w:gridCol w:w="2830"/>
        <w:gridCol w:w="1680"/>
        <w:gridCol w:w="1174"/>
        <w:gridCol w:w="1169"/>
        <w:gridCol w:w="1157"/>
      </w:tblGrid>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45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医惠问卷调查系统软件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2018SR447743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2018/6/13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46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医惠护士站电子白板系统软件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2018SR740368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2018/9/12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医惠权限管理系统软件</w:t>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2018SR758282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2018/9/18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48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医惠智能门户开放平台软件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2018SR740427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2018/9/12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49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7" w:right="36" w:hanging="315"/>
              <w:jc w:val="left"/>
              <w:rPr>
                <w:rFonts w:ascii="宋体" w:hAnsi="宋体" w:cs="宋体" w:eastAsia="宋体" w:hint="default"/>
                <w:sz w:val="21"/>
                <w:szCs w:val="21"/>
              </w:rPr>
            </w:pPr>
            <w:r>
              <w:rPr>
                <w:rFonts w:ascii="宋体" w:hAnsi="宋体" w:cs="宋体" w:eastAsia="宋体" w:hint="default"/>
                <w:spacing w:val="-2"/>
                <w:sz w:val="21"/>
                <w:szCs w:val="21"/>
              </w:rPr>
              <w:t>全省医疗废物智慧监管系统平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台和运行操作系统</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2018SR711779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54"/>
              <w:jc w:val="right"/>
              <w:rPr>
                <w:rFonts w:ascii="宋体" w:hAnsi="宋体" w:cs="宋体" w:eastAsia="宋体" w:hint="default"/>
                <w:sz w:val="21"/>
                <w:szCs w:val="21"/>
              </w:rPr>
            </w:pPr>
            <w:r>
              <w:rPr>
                <w:rFonts w:ascii="宋体"/>
                <w:spacing w:val="-1"/>
                <w:sz w:val="21"/>
              </w:rPr>
              <w:t>2018/9/4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50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83" w:right="36" w:hanging="841"/>
              <w:jc w:val="left"/>
              <w:rPr>
                <w:rFonts w:ascii="宋体" w:hAnsi="宋体" w:cs="宋体" w:eastAsia="宋体" w:hint="default"/>
                <w:sz w:val="21"/>
                <w:szCs w:val="21"/>
              </w:rPr>
            </w:pPr>
            <w:r>
              <w:rPr>
                <w:rFonts w:ascii="宋体" w:hAnsi="宋体" w:cs="宋体" w:eastAsia="宋体" w:hint="default"/>
                <w:spacing w:val="-2"/>
                <w:sz w:val="21"/>
                <w:szCs w:val="21"/>
              </w:rPr>
              <w:t>医惠电子病历后结构化应用系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2018SR834923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2018/10/19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医惠一体化接入平台软件</w:t>
            </w:r>
            <w:r>
              <w:rPr>
                <w:rFonts w:ascii="宋体" w:hAnsi="宋体" w:cs="宋体" w:eastAsia="宋体" w:hint="default"/>
                <w:sz w:val="21"/>
                <w:szCs w:val="21"/>
              </w:rPr>
              <w:t>V2.1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2018SR845983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2018/10/23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9"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52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医惠一体化监控平台软件</w:t>
            </w:r>
            <w:r>
              <w:rPr>
                <w:rFonts w:ascii="宋体" w:hAnsi="宋体" w:cs="宋体" w:eastAsia="宋体" w:hint="default"/>
                <w:sz w:val="21"/>
                <w:szCs w:val="21"/>
              </w:rPr>
              <w:t>V4.0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 w:right="0"/>
              <w:jc w:val="center"/>
              <w:rPr>
                <w:rFonts w:ascii="宋体" w:hAnsi="宋体" w:cs="宋体" w:eastAsia="宋体" w:hint="default"/>
                <w:sz w:val="21"/>
                <w:szCs w:val="21"/>
              </w:rPr>
            </w:pPr>
            <w:r>
              <w:rPr>
                <w:rFonts w:ascii="宋体"/>
                <w:sz w:val="21"/>
              </w:rPr>
              <w:t>2018SR850271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48"/>
              <w:jc w:val="right"/>
              <w:rPr>
                <w:rFonts w:ascii="宋体" w:hAnsi="宋体" w:cs="宋体" w:eastAsia="宋体" w:hint="default"/>
                <w:sz w:val="21"/>
                <w:szCs w:val="21"/>
              </w:rPr>
            </w:pPr>
            <w:r>
              <w:rPr>
                <w:rFonts w:ascii="宋体"/>
                <w:spacing w:val="-1"/>
                <w:sz w:val="21"/>
              </w:rPr>
              <w:t>2018/10/24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53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医惠一体化服务平台软件</w:t>
            </w:r>
            <w:r>
              <w:rPr>
                <w:rFonts w:ascii="宋体" w:hAnsi="宋体" w:cs="宋体" w:eastAsia="宋体" w:hint="default"/>
                <w:sz w:val="21"/>
                <w:szCs w:val="21"/>
              </w:rPr>
              <w:t>V4.0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2018SR992843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2018/12/10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54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2"/>
                <w:sz w:val="21"/>
                <w:szCs w:val="21"/>
              </w:rPr>
              <w:t>医惠主数据管理平台系统软件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V2.1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2018SR998053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2018/12/11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55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医惠数据中心管理平台软件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V3.1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2018SR913806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2018/11/15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56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89" w:right="36" w:hanging="947"/>
              <w:jc w:val="left"/>
              <w:rPr>
                <w:rFonts w:ascii="宋体" w:hAnsi="宋体" w:cs="宋体" w:eastAsia="宋体" w:hint="default"/>
                <w:sz w:val="21"/>
                <w:szCs w:val="21"/>
              </w:rPr>
            </w:pPr>
            <w:r>
              <w:rPr>
                <w:rFonts w:ascii="宋体" w:hAnsi="宋体" w:cs="宋体" w:eastAsia="宋体" w:hint="default"/>
                <w:spacing w:val="-2"/>
                <w:sz w:val="21"/>
                <w:szCs w:val="21"/>
              </w:rPr>
              <w:t>医疗质量全流程闭环管理督查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2018SR218349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2018/3/29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57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6"/>
              <w:jc w:val="left"/>
              <w:rPr>
                <w:rFonts w:ascii="宋体" w:hAnsi="宋体" w:cs="宋体" w:eastAsia="宋体" w:hint="default"/>
                <w:sz w:val="21"/>
                <w:szCs w:val="21"/>
              </w:rPr>
            </w:pPr>
            <w:r>
              <w:rPr>
                <w:rFonts w:ascii="宋体" w:hAnsi="宋体" w:cs="宋体" w:eastAsia="宋体" w:hint="default"/>
                <w:spacing w:val="-2"/>
                <w:sz w:val="21"/>
                <w:szCs w:val="21"/>
              </w:rPr>
              <w:t>先天性巨结肠人工智能术中冰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冻病理辅助决策系统软件</w:t>
            </w:r>
            <w:r>
              <w:rPr>
                <w:rFonts w:ascii="宋体" w:hAnsi="宋体" w:cs="宋体" w:eastAsia="宋体" w:hint="default"/>
                <w:spacing w:val="-2"/>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2018SR668466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2018/8/21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58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医惠母乳管理系统软件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2018SR835654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2018/10/19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59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医惠护理临床决策系统软件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2018SR835791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2018/10/19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60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医惠临床护理信息系统软件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2018SR915294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2018/11/15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61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医惠医嘱执行闭环管理系统软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2018SR915290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2018/11/15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医惠护理管理系统软件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2018SR915878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2018/11/15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63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医惠护理文书配置系统软件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2018SR915885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2018/11/15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349"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医惠体征管理系统软件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2018SR917112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2018/11/16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医惠压疮系统软件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2018SR917119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2018/11/16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66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医惠护理质控数据平台软件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sz w:val="21"/>
              </w:rPr>
              <w:t>2018SR991054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2018/12/7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67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医惠急诊预检分诊系统软件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2018SR991058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2018/12/7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68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医惠母乳管理系统软件</w:t>
            </w:r>
            <w:r>
              <w:rPr>
                <w:rFonts w:ascii="宋体" w:hAnsi="宋体" w:cs="宋体" w:eastAsia="宋体" w:hint="default"/>
                <w:sz w:val="21"/>
                <w:szCs w:val="21"/>
              </w:rPr>
              <w:t>V1.1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2018SR998138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2018/12/11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医惠软件</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医用织物管理系统软件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sz w:val="21"/>
              </w:rPr>
              <w:t>2018SR779426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2018/9/26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医惠物联网</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70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92" w:right="36" w:hanging="1050"/>
              <w:jc w:val="left"/>
              <w:rPr>
                <w:rFonts w:ascii="宋体" w:hAnsi="宋体" w:cs="宋体" w:eastAsia="宋体" w:hint="default"/>
                <w:sz w:val="21"/>
                <w:szCs w:val="21"/>
              </w:rPr>
            </w:pPr>
            <w:r>
              <w:rPr>
                <w:rFonts w:ascii="宋体" w:hAnsi="宋体" w:cs="宋体" w:eastAsia="宋体" w:hint="default"/>
                <w:spacing w:val="-2"/>
                <w:sz w:val="21"/>
                <w:szCs w:val="21"/>
              </w:rPr>
              <w:t>消毒供应中心质量追溯系统软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件</w:t>
            </w:r>
            <w:r>
              <w:rPr>
                <w:rFonts w:ascii="宋体" w:hAnsi="宋体" w:cs="宋体" w:eastAsia="宋体" w:hint="default"/>
                <w:sz w:val="21"/>
                <w:szCs w:val="21"/>
              </w:rPr>
              <w:t>V4.0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sz w:val="21"/>
              </w:rPr>
              <w:t>2018SR804800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2018/10/9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医惠物联网</w:t>
            </w:r>
          </w:p>
        </w:tc>
      </w:tr>
    </w:tbl>
    <w:p>
      <w:pPr>
        <w:spacing w:after="0" w:line="240" w:lineRule="auto"/>
        <w:jc w:val="center"/>
        <w:rPr>
          <w:rFonts w:ascii="宋体" w:hAnsi="宋体" w:cs="宋体" w:eastAsia="宋体" w:hint="default"/>
          <w:sz w:val="21"/>
          <w:szCs w:val="21"/>
        </w:rPr>
        <w:sectPr>
          <w:pgSz w:w="11910" w:h="16840"/>
          <w:pgMar w:header="745" w:footer="979" w:top="104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692"/>
        <w:gridCol w:w="1421"/>
        <w:gridCol w:w="2830"/>
        <w:gridCol w:w="1680"/>
        <w:gridCol w:w="1174"/>
        <w:gridCol w:w="1169"/>
        <w:gridCol w:w="1157"/>
      </w:tblGrid>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71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后勤综合服务系统软件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44"/>
              <w:jc w:val="right"/>
              <w:rPr>
                <w:rFonts w:ascii="宋体" w:hAnsi="宋体" w:cs="宋体" w:eastAsia="宋体" w:hint="default"/>
                <w:sz w:val="21"/>
                <w:szCs w:val="21"/>
              </w:rPr>
            </w:pPr>
            <w:r>
              <w:rPr>
                <w:rFonts w:ascii="宋体"/>
                <w:spacing w:val="-1"/>
                <w:sz w:val="21"/>
              </w:rPr>
              <w:t>2018SR1007659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2018/12/12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医惠物联网</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72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内镜洗消闭环追溯系统软件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7"/>
              <w:jc w:val="right"/>
              <w:rPr>
                <w:rFonts w:ascii="宋体" w:hAnsi="宋体" w:cs="宋体" w:eastAsia="宋体" w:hint="default"/>
                <w:sz w:val="21"/>
                <w:szCs w:val="21"/>
              </w:rPr>
            </w:pPr>
            <w:r>
              <w:rPr>
                <w:rFonts w:ascii="宋体"/>
                <w:spacing w:val="-1"/>
                <w:sz w:val="21"/>
              </w:rPr>
              <w:t>2018SR901307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2018/11/12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医惠物联网</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医疗废物智慧云管理系统</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7"/>
              <w:jc w:val="right"/>
              <w:rPr>
                <w:rFonts w:ascii="宋体" w:hAnsi="宋体" w:cs="宋体" w:eastAsia="宋体" w:hint="default"/>
                <w:sz w:val="21"/>
                <w:szCs w:val="21"/>
              </w:rPr>
            </w:pPr>
            <w:r>
              <w:rPr>
                <w:rFonts w:ascii="宋体"/>
                <w:spacing w:val="-1"/>
                <w:sz w:val="21"/>
              </w:rPr>
              <w:t>2018SR901432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8"/>
              <w:jc w:val="right"/>
              <w:rPr>
                <w:rFonts w:ascii="宋体" w:hAnsi="宋体" w:cs="宋体" w:eastAsia="宋体" w:hint="default"/>
                <w:sz w:val="21"/>
                <w:szCs w:val="21"/>
              </w:rPr>
            </w:pPr>
            <w:r>
              <w:rPr>
                <w:rFonts w:ascii="宋体"/>
                <w:spacing w:val="-1"/>
                <w:sz w:val="21"/>
              </w:rPr>
              <w:t>2018/11/12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医惠物联网</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74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睿杰审方中心系统</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7"/>
              <w:jc w:val="right"/>
              <w:rPr>
                <w:rFonts w:ascii="宋体" w:hAnsi="宋体" w:cs="宋体" w:eastAsia="宋体" w:hint="default"/>
                <w:sz w:val="21"/>
                <w:szCs w:val="21"/>
              </w:rPr>
            </w:pPr>
            <w:r>
              <w:rPr>
                <w:rFonts w:ascii="宋体"/>
                <w:spacing w:val="-1"/>
                <w:sz w:val="21"/>
              </w:rPr>
              <w:t>2018SR318668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54"/>
              <w:jc w:val="right"/>
              <w:rPr>
                <w:rFonts w:ascii="宋体" w:hAnsi="宋体" w:cs="宋体" w:eastAsia="宋体" w:hint="default"/>
                <w:sz w:val="21"/>
                <w:szCs w:val="21"/>
              </w:rPr>
            </w:pPr>
            <w:r>
              <w:rPr>
                <w:rFonts w:ascii="宋体"/>
                <w:spacing w:val="-1"/>
                <w:sz w:val="21"/>
              </w:rPr>
              <w:t>2018/5/9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睿杰信息</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75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144" w:hanging="1052"/>
              <w:jc w:val="left"/>
              <w:rPr>
                <w:rFonts w:ascii="宋体" w:hAnsi="宋体" w:cs="宋体" w:eastAsia="宋体" w:hint="default"/>
                <w:sz w:val="21"/>
                <w:szCs w:val="21"/>
              </w:rPr>
            </w:pPr>
            <w:r>
              <w:rPr>
                <w:rFonts w:ascii="宋体" w:hAnsi="宋体" w:cs="宋体" w:eastAsia="宋体" w:hint="default"/>
                <w:spacing w:val="-2"/>
                <w:sz w:val="21"/>
                <w:szCs w:val="21"/>
              </w:rPr>
              <w:t>睿杰化疗药物方案系统软件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44"/>
              <w:jc w:val="right"/>
              <w:rPr>
                <w:rFonts w:ascii="宋体" w:hAnsi="宋体" w:cs="宋体" w:eastAsia="宋体" w:hint="default"/>
                <w:sz w:val="21"/>
                <w:szCs w:val="21"/>
              </w:rPr>
            </w:pPr>
            <w:r>
              <w:rPr>
                <w:rFonts w:ascii="宋体"/>
                <w:spacing w:val="-1"/>
                <w:sz w:val="21"/>
              </w:rPr>
              <w:t>2018SR1052527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睿杰信息</w:t>
            </w:r>
          </w:p>
        </w:tc>
      </w:tr>
      <w:tr>
        <w:trPr>
          <w:trHeight w:val="346"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76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睿杰肠外营养系统软件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44"/>
              <w:jc w:val="right"/>
              <w:rPr>
                <w:rFonts w:ascii="宋体" w:hAnsi="宋体" w:cs="宋体" w:eastAsia="宋体" w:hint="default"/>
                <w:sz w:val="21"/>
                <w:szCs w:val="21"/>
              </w:rPr>
            </w:pPr>
            <w:r>
              <w:rPr>
                <w:rFonts w:ascii="宋体"/>
                <w:spacing w:val="-1"/>
                <w:sz w:val="21"/>
              </w:rPr>
              <w:t>2018SR1053405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睿杰信息</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专科护理</w:t>
            </w:r>
            <w:r>
              <w:rPr>
                <w:rFonts w:ascii="宋体" w:hAnsi="宋体" w:cs="宋体" w:eastAsia="宋体" w:hint="default"/>
                <w:sz w:val="21"/>
                <w:szCs w:val="21"/>
              </w:rPr>
              <w:t>PICC</w:t>
            </w:r>
            <w:r>
              <w:rPr>
                <w:rFonts w:ascii="宋体" w:hAnsi="宋体" w:cs="宋体" w:eastAsia="宋体" w:hint="default"/>
                <w:sz w:val="21"/>
                <w:szCs w:val="21"/>
              </w:rPr>
              <w:t>系统</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7"/>
              <w:jc w:val="right"/>
              <w:rPr>
                <w:rFonts w:ascii="宋体" w:hAnsi="宋体" w:cs="宋体" w:eastAsia="宋体" w:hint="default"/>
                <w:sz w:val="21"/>
                <w:szCs w:val="21"/>
              </w:rPr>
            </w:pPr>
            <w:r>
              <w:rPr>
                <w:rFonts w:ascii="宋体"/>
                <w:spacing w:val="-1"/>
                <w:sz w:val="21"/>
              </w:rPr>
              <w:t>2018SR369894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2018/5/23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重庆医惠</w:t>
            </w:r>
          </w:p>
        </w:tc>
      </w:tr>
      <w:tr>
        <w:trPr>
          <w:trHeight w:val="34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78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睡眠专科电子病历系统</w:t>
            </w:r>
            <w:r>
              <w:rPr>
                <w:rFonts w:ascii="宋体" w:hAnsi="宋体" w:cs="宋体" w:eastAsia="宋体" w:hint="default"/>
                <w:sz w:val="21"/>
                <w:szCs w:val="21"/>
              </w:rPr>
              <w:t>V1.0.0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7"/>
              <w:jc w:val="right"/>
              <w:rPr>
                <w:rFonts w:ascii="宋体" w:hAnsi="宋体" w:cs="宋体" w:eastAsia="宋体" w:hint="default"/>
                <w:sz w:val="21"/>
                <w:szCs w:val="21"/>
              </w:rPr>
            </w:pPr>
            <w:r>
              <w:rPr>
                <w:rFonts w:ascii="宋体"/>
                <w:spacing w:val="-1"/>
                <w:sz w:val="21"/>
              </w:rPr>
              <w:t>2018SR673468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2018/8/23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琅玕科技</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79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理德</w:t>
            </w:r>
            <w:r>
              <w:rPr>
                <w:rFonts w:ascii="宋体" w:hAnsi="宋体" w:cs="宋体" w:eastAsia="宋体" w:hint="default"/>
                <w:sz w:val="21"/>
                <w:szCs w:val="21"/>
              </w:rPr>
              <w:t>RFID</w:t>
            </w:r>
            <w:r>
              <w:rPr>
                <w:rFonts w:ascii="宋体" w:hAnsi="宋体" w:cs="宋体" w:eastAsia="宋体" w:hint="default"/>
                <w:sz w:val="21"/>
                <w:szCs w:val="21"/>
              </w:rPr>
              <w:t>货位管理软件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2" w:right="300"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3377478</w:t>
            </w:r>
            <w:r>
              <w:rPr>
                <w:rFonts w:ascii="宋体" w:hAnsi="宋体" w:cs="宋体" w:eastAsia="宋体" w:hint="default"/>
                <w:sz w:val="21"/>
                <w:szCs w:val="21"/>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2018/12/20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广州理德</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80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89" w:right="36" w:hanging="947"/>
              <w:jc w:val="left"/>
              <w:rPr>
                <w:rFonts w:ascii="宋体" w:hAnsi="宋体" w:cs="宋体" w:eastAsia="宋体" w:hint="default"/>
                <w:sz w:val="21"/>
                <w:szCs w:val="21"/>
              </w:rPr>
            </w:pPr>
            <w:r>
              <w:rPr>
                <w:rFonts w:ascii="宋体" w:hAnsi="宋体" w:cs="宋体" w:eastAsia="宋体" w:hint="default"/>
                <w:spacing w:val="-2"/>
                <w:sz w:val="21"/>
                <w:szCs w:val="21"/>
              </w:rPr>
              <w:t>理德智慧门店数据采集嵌入式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2" w:right="300"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3382782</w:t>
            </w:r>
            <w:r>
              <w:rPr>
                <w:rFonts w:ascii="宋体" w:hAnsi="宋体" w:cs="宋体" w:eastAsia="宋体" w:hint="default"/>
                <w:sz w:val="21"/>
                <w:szCs w:val="21"/>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广州理德</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81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理德</w:t>
            </w:r>
            <w:r>
              <w:rPr>
                <w:rFonts w:ascii="宋体" w:hAnsi="宋体" w:cs="宋体" w:eastAsia="宋体" w:hint="default"/>
                <w:sz w:val="21"/>
                <w:szCs w:val="21"/>
              </w:rPr>
              <w:t>RFID</w:t>
            </w:r>
            <w:r>
              <w:rPr>
                <w:rFonts w:ascii="宋体" w:hAnsi="宋体" w:cs="宋体" w:eastAsia="宋体" w:hint="default"/>
                <w:sz w:val="21"/>
                <w:szCs w:val="21"/>
              </w:rPr>
              <w:t>防盗管理系统</w:t>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2" w:right="300"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3384761</w:t>
            </w:r>
            <w:r>
              <w:rPr>
                <w:rFonts w:ascii="宋体" w:hAnsi="宋体" w:cs="宋体" w:eastAsia="宋体" w:hint="default"/>
                <w:sz w:val="21"/>
                <w:szCs w:val="21"/>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广州理德</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82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1"/>
                <w:sz w:val="21"/>
                <w:szCs w:val="21"/>
              </w:rPr>
              <w:t>理德</w:t>
            </w:r>
            <w:r>
              <w:rPr>
                <w:rFonts w:ascii="宋体" w:hAnsi="宋体" w:cs="宋体" w:eastAsia="宋体" w:hint="default"/>
                <w:spacing w:val="-1"/>
                <w:sz w:val="21"/>
                <w:szCs w:val="21"/>
              </w:rPr>
              <w:t>RFID</w:t>
            </w:r>
            <w:r>
              <w:rPr>
                <w:rFonts w:ascii="宋体" w:hAnsi="宋体" w:cs="宋体" w:eastAsia="宋体" w:hint="default"/>
                <w:spacing w:val="-1"/>
                <w:sz w:val="21"/>
                <w:szCs w:val="21"/>
              </w:rPr>
              <w:t>试衣间数据采集软件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2" w:right="300"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3384720</w:t>
            </w:r>
            <w:r>
              <w:rPr>
                <w:rFonts w:ascii="宋体" w:hAnsi="宋体" w:cs="宋体" w:eastAsia="宋体" w:hint="default"/>
                <w:sz w:val="21"/>
                <w:szCs w:val="21"/>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广州理德</w:t>
            </w:r>
          </w:p>
        </w:tc>
      </w:tr>
      <w:tr>
        <w:trPr>
          <w:trHeight w:val="660"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83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8" w:right="36" w:hanging="1155"/>
              <w:jc w:val="left"/>
              <w:rPr>
                <w:rFonts w:ascii="宋体" w:hAnsi="宋体" w:cs="宋体" w:eastAsia="宋体" w:hint="default"/>
                <w:sz w:val="21"/>
                <w:szCs w:val="21"/>
              </w:rPr>
            </w:pPr>
            <w:r>
              <w:rPr>
                <w:rFonts w:ascii="宋体" w:hAnsi="宋体" w:cs="宋体" w:eastAsia="宋体" w:hint="default"/>
                <w:spacing w:val="-1"/>
                <w:sz w:val="21"/>
                <w:szCs w:val="21"/>
              </w:rPr>
              <w:t>理德</w:t>
            </w:r>
            <w:r>
              <w:rPr>
                <w:rFonts w:ascii="宋体" w:hAnsi="宋体" w:cs="宋体" w:eastAsia="宋体" w:hint="default"/>
                <w:spacing w:val="-1"/>
                <w:sz w:val="21"/>
                <w:szCs w:val="21"/>
              </w:rPr>
              <w:t>RFID</w:t>
            </w:r>
            <w:r>
              <w:rPr>
                <w:rFonts w:ascii="宋体" w:hAnsi="宋体" w:cs="宋体" w:eastAsia="宋体" w:hint="default"/>
                <w:spacing w:val="-1"/>
                <w:sz w:val="21"/>
                <w:szCs w:val="21"/>
              </w:rPr>
              <w:t>加工厂装箱管理软件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V1.0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2" w:right="300"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3377735</w:t>
            </w:r>
            <w:r>
              <w:rPr>
                <w:rFonts w:ascii="宋体" w:hAnsi="宋体" w:cs="宋体" w:eastAsia="宋体" w:hint="default"/>
                <w:sz w:val="21"/>
                <w:szCs w:val="21"/>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8"/>
              <w:jc w:val="right"/>
              <w:rPr>
                <w:rFonts w:ascii="宋体" w:hAnsi="宋体" w:cs="宋体" w:eastAsia="宋体" w:hint="default"/>
                <w:sz w:val="21"/>
                <w:szCs w:val="21"/>
              </w:rPr>
            </w:pPr>
            <w:r>
              <w:rPr>
                <w:rFonts w:ascii="宋体"/>
                <w:spacing w:val="-1"/>
                <w:sz w:val="21"/>
              </w:rPr>
              <w:t>2018/12/21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广州理德</w:t>
            </w:r>
          </w:p>
        </w:tc>
      </w:tr>
      <w:tr>
        <w:trPr>
          <w:trHeight w:val="658" w:hRule="exact"/>
        </w:trPr>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84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7"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上扬</w:t>
            </w:r>
            <w:r>
              <w:rPr>
                <w:rFonts w:ascii="宋体" w:hAnsi="宋体" w:cs="宋体" w:eastAsia="宋体" w:hint="default"/>
                <w:sz w:val="21"/>
                <w:szCs w:val="21"/>
              </w:rPr>
              <w:t>MES</w:t>
            </w:r>
            <w:r>
              <w:rPr>
                <w:rFonts w:ascii="宋体" w:hAnsi="宋体" w:cs="宋体" w:eastAsia="宋体" w:hint="default"/>
                <w:sz w:val="21"/>
                <w:szCs w:val="21"/>
              </w:rPr>
              <w:t>智能终端系统</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4" w:right="197" w:firstLine="211"/>
              <w:jc w:val="left"/>
              <w:rPr>
                <w:rFonts w:ascii="宋体" w:hAnsi="宋体" w:cs="宋体" w:eastAsia="宋体" w:hint="default"/>
                <w:sz w:val="21"/>
                <w:szCs w:val="21"/>
              </w:rPr>
            </w:pPr>
            <w:r>
              <w:rPr>
                <w:rFonts w:ascii="宋体" w:hAnsi="宋体" w:cs="宋体" w:eastAsia="宋体" w:hint="default"/>
                <w:sz w:val="21"/>
                <w:szCs w:val="21"/>
              </w:rPr>
              <w:t>登记号：</w:t>
            </w:r>
            <w:r>
              <w:rPr>
                <w:rFonts w:ascii="宋体" w:hAnsi="宋体" w:cs="宋体" w:eastAsia="宋体" w:hint="default"/>
                <w:w w:val="100"/>
                <w:sz w:val="21"/>
                <w:szCs w:val="21"/>
              </w:rPr>
              <w:t> </w:t>
            </w:r>
            <w:r>
              <w:rPr>
                <w:rFonts w:ascii="宋体" w:hAnsi="宋体" w:cs="宋体" w:eastAsia="宋体" w:hint="default"/>
                <w:sz w:val="21"/>
                <w:szCs w:val="21"/>
              </w:rPr>
              <w:t>2018SR528772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4"/>
              <w:jc w:val="right"/>
              <w:rPr>
                <w:rFonts w:ascii="宋体" w:hAnsi="宋体" w:cs="宋体" w:eastAsia="宋体" w:hint="default"/>
                <w:sz w:val="21"/>
                <w:szCs w:val="21"/>
              </w:rPr>
            </w:pPr>
            <w:r>
              <w:rPr>
                <w:rFonts w:ascii="宋体"/>
                <w:spacing w:val="-1"/>
                <w:sz w:val="21"/>
              </w:rPr>
              <w:t>2018/7/9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上扬无线</w:t>
            </w:r>
          </w:p>
        </w:tc>
      </w:tr>
    </w:tbl>
    <w:p>
      <w:pPr>
        <w:spacing w:after="0" w:line="240" w:lineRule="auto"/>
        <w:jc w:val="center"/>
        <w:rPr>
          <w:rFonts w:ascii="宋体" w:hAnsi="宋体" w:cs="宋体" w:eastAsia="宋体" w:hint="default"/>
          <w:sz w:val="21"/>
          <w:szCs w:val="21"/>
        </w:rPr>
        <w:sectPr>
          <w:pgSz w:w="11910" w:h="16840"/>
          <w:pgMar w:header="745" w:footer="979" w:top="104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7"/>
        <w:ind w:left="2964" w:right="1133"/>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31"/>
          <w:szCs w:val="31"/>
        </w:rPr>
      </w:pPr>
    </w:p>
    <w:p>
      <w:pPr>
        <w:pStyle w:val="Heading5"/>
        <w:spacing w:line="348" w:lineRule="auto" w:before="0"/>
        <w:ind w:right="1023" w:firstLine="420"/>
        <w:jc w:val="both"/>
      </w:pPr>
      <w:r>
        <w:rPr>
          <w:rFonts w:ascii="宋体" w:hAnsi="宋体" w:cs="宋体" w:eastAsia="宋体" w:hint="default"/>
          <w:spacing w:val="-7"/>
        </w:rPr>
        <w:t>2018</w:t>
      </w:r>
      <w:r>
        <w:rPr>
          <w:spacing w:val="-7"/>
        </w:rPr>
        <w:t>年度，公司经营管理层在董事会的领导下审时度势，结合产业发展趋势和行业需求，继续坚持“以</w:t>
      </w:r>
      <w:r>
        <w:rPr>
          <w:w w:val="100"/>
        </w:rPr>
        <w:t> </w:t>
      </w:r>
      <w:r>
        <w:rPr>
          <w:spacing w:val="-2"/>
        </w:rPr>
        <w:t>智慧医疗产业为核心，带动物联网相关产业稳步发展”的经营理念，通过全体员工的一致努力，业务发展</w:t>
      </w:r>
      <w:r>
        <w:rPr>
          <w:spacing w:val="-44"/>
        </w:rPr>
        <w:t> </w:t>
      </w:r>
      <w:r>
        <w:rPr>
          <w:spacing w:val="-44"/>
        </w:rPr>
      </w:r>
      <w:r>
        <w:rPr>
          <w:spacing w:val="-5"/>
        </w:rPr>
        <w:t>态势良好，公司的可持续发展能力、产业协同能力都有较大提升，为公司未来快速发展打下了坚实的基础。</w:t>
      </w:r>
    </w:p>
    <w:p>
      <w:pPr>
        <w:pStyle w:val="Heading5"/>
        <w:spacing w:line="348" w:lineRule="auto" w:before="31"/>
        <w:ind w:right="1126" w:firstLine="420"/>
        <w:jc w:val="both"/>
      </w:pPr>
      <w:r>
        <w:rPr>
          <w:spacing w:val="-3"/>
        </w:rPr>
        <w:t>报告期内，公司紧抓行业发展机遇，着眼医疗健康的发展方向，加快产业协同与融合，着力打造创新</w:t>
      </w:r>
      <w:r>
        <w:rPr>
          <w:w w:val="100"/>
        </w:rPr>
        <w:t> </w:t>
      </w:r>
      <w:r>
        <w:rPr>
          <w:spacing w:val="-2"/>
        </w:rPr>
        <w:t>型智慧医疗服务生态体系，不断增强医院信息化顶层设计能力，夯实医疗大数据应用基础，推广人工智能</w:t>
      </w:r>
      <w:r>
        <w:rPr>
          <w:spacing w:val="-46"/>
        </w:rPr>
        <w:t> </w:t>
      </w:r>
      <w:r>
        <w:rPr>
          <w:spacing w:val="-46"/>
        </w:rPr>
      </w:r>
      <w:r>
        <w:rPr>
          <w:spacing w:val="-2"/>
        </w:rPr>
        <w:t>辅助诊疗应用，布局大健康产业，实现创新产品突破性发展。同时，公司立足于商业智能的技术研发、制</w:t>
      </w:r>
      <w:r>
        <w:rPr>
          <w:spacing w:val="-43"/>
        </w:rPr>
        <w:t> </w:t>
      </w:r>
      <w:r>
        <w:rPr>
          <w:spacing w:val="-43"/>
        </w:rPr>
      </w:r>
      <w:r>
        <w:rPr>
          <w:spacing w:val="-2"/>
        </w:rPr>
        <w:t>造管理和产业链优势，及时调整产品及市场推广战略，快速响应市场需求变化，推进智慧商业开放平台解</w:t>
      </w:r>
      <w:r>
        <w:rPr>
          <w:spacing w:val="-43"/>
        </w:rPr>
        <w:t> </w:t>
      </w:r>
      <w:r>
        <w:rPr>
          <w:spacing w:val="-43"/>
        </w:rPr>
      </w:r>
      <w:r>
        <w:rPr/>
        <w:t>决方案的落地及创新升级。</w:t>
      </w:r>
    </w:p>
    <w:p>
      <w:pPr>
        <w:pStyle w:val="Heading5"/>
        <w:spacing w:line="350" w:lineRule="auto" w:before="31"/>
        <w:ind w:right="1133" w:firstLine="420"/>
        <w:jc w:val="left"/>
      </w:pPr>
      <w:r>
        <w:rPr/>
        <w:t>报告期内，公司实现营业收入</w:t>
      </w:r>
      <w:r>
        <w:rPr>
          <w:rFonts w:ascii="宋体" w:hAnsi="宋体" w:cs="宋体" w:eastAsia="宋体" w:hint="default"/>
        </w:rPr>
        <w:t>129,463.36</w:t>
      </w:r>
      <w:r>
        <w:rPr/>
        <w:t>万元，较上年同期增长</w:t>
      </w:r>
      <w:r>
        <w:rPr>
          <w:rFonts w:ascii="宋体" w:hAnsi="宋体" w:cs="宋体" w:eastAsia="宋体" w:hint="default"/>
        </w:rPr>
        <w:t>16.40%</w:t>
      </w:r>
      <w:r>
        <w:rPr/>
        <w:t>；实现营业利润</w:t>
      </w:r>
      <w:r>
        <w:rPr>
          <w:rFonts w:ascii="宋体" w:hAnsi="宋体" w:cs="宋体" w:eastAsia="宋体" w:hint="default"/>
        </w:rPr>
        <w:t>16,292.85</w:t>
      </w:r>
      <w:r>
        <w:rPr/>
        <w:t>万</w:t>
      </w:r>
      <w:r>
        <w:rPr>
          <w:w w:val="100"/>
        </w:rPr>
        <w:t> </w:t>
      </w:r>
      <w:r>
        <w:rPr>
          <w:spacing w:val="-2"/>
        </w:rPr>
        <w:t>元，较上年同期增长</w:t>
      </w:r>
      <w:r>
        <w:rPr>
          <w:rFonts w:ascii="宋体" w:hAnsi="宋体" w:cs="宋体" w:eastAsia="宋体" w:hint="default"/>
          <w:spacing w:val="-2"/>
        </w:rPr>
        <w:t>6.02%</w:t>
      </w:r>
      <w:r>
        <w:rPr>
          <w:spacing w:val="-2"/>
        </w:rPr>
        <w:t>；实现归属于上市公司股东的净利润</w:t>
      </w:r>
      <w:r>
        <w:rPr>
          <w:rFonts w:ascii="宋体" w:hAnsi="宋体" w:cs="宋体" w:eastAsia="宋体" w:hint="default"/>
          <w:spacing w:val="-2"/>
        </w:rPr>
        <w:t>14,347.26</w:t>
      </w:r>
      <w:r>
        <w:rPr>
          <w:spacing w:val="-2"/>
        </w:rPr>
        <w:t>万元，较上年同期增长</w:t>
      </w:r>
      <w:r>
        <w:rPr>
          <w:rFonts w:ascii="宋体" w:hAnsi="宋体" w:cs="宋体" w:eastAsia="宋体" w:hint="default"/>
          <w:spacing w:val="-2"/>
        </w:rPr>
        <w:t>10.14%</w:t>
      </w:r>
      <w:r>
        <w:rPr>
          <w:spacing w:val="-2"/>
        </w:rPr>
        <w:t>；</w:t>
      </w:r>
      <w:r>
        <w:rPr>
          <w:spacing w:val="-4"/>
        </w:rPr>
        <w:t> </w:t>
      </w:r>
      <w:r>
        <w:rPr>
          <w:spacing w:val="-2"/>
        </w:rPr>
        <w:t>基本每股收益</w:t>
      </w:r>
      <w:r>
        <w:rPr>
          <w:rFonts w:ascii="宋体" w:hAnsi="宋体" w:cs="宋体" w:eastAsia="宋体" w:hint="default"/>
          <w:spacing w:val="-2"/>
        </w:rPr>
        <w:t>0.18</w:t>
      </w:r>
      <w:r>
        <w:rPr>
          <w:spacing w:val="-2"/>
        </w:rPr>
        <w:t>元。主要系报告期内，公司按照既定战略目标稳步推进各项工作，整体经营保持良好态</w:t>
      </w:r>
      <w:r>
        <w:rPr>
          <w:spacing w:val="-41"/>
        </w:rPr>
        <w:t> </w:t>
      </w:r>
      <w:r>
        <w:rPr>
          <w:spacing w:val="-41"/>
        </w:rPr>
      </w:r>
      <w:r>
        <w:rPr/>
        <w:t>势，智慧医疗业务持续增长。商业智能板块虽然</w:t>
      </w:r>
      <w:r>
        <w:rPr>
          <w:rFonts w:ascii="宋体" w:hAnsi="宋体" w:cs="宋体" w:eastAsia="宋体" w:hint="default"/>
        </w:rPr>
        <w:t>EAS</w:t>
      </w:r>
      <w:r>
        <w:rPr/>
        <w:t>业务盈利能力仍有下降，但</w:t>
      </w:r>
      <w:r>
        <w:rPr>
          <w:rFonts w:ascii="宋体" w:hAnsi="宋体" w:cs="宋体" w:eastAsia="宋体" w:hint="default"/>
        </w:rPr>
        <w:t>RFID</w:t>
      </w:r>
      <w:r>
        <w:rPr/>
        <w:t>标签业务及智慧商业</w:t>
      </w:r>
      <w:r>
        <w:rPr>
          <w:w w:val="100"/>
        </w:rPr>
        <w:t> </w:t>
      </w:r>
      <w:r>
        <w:rPr/>
        <w:t>解决方案业务实现了同比增长。</w:t>
      </w:r>
    </w:p>
    <w:p>
      <w:pPr>
        <w:pStyle w:val="Heading5"/>
        <w:spacing w:line="240" w:lineRule="auto" w:before="27"/>
        <w:ind w:left="573" w:right="1133"/>
        <w:jc w:val="left"/>
      </w:pPr>
      <w:r>
        <w:rPr/>
        <w:t>报告期内，具体经营情况回顾如下：</w:t>
      </w:r>
    </w:p>
    <w:p>
      <w:pPr>
        <w:pStyle w:val="Heading5"/>
        <w:spacing w:line="350" w:lineRule="auto" w:before="126"/>
        <w:ind w:left="573" w:right="1133" w:firstLine="2"/>
        <w:jc w:val="left"/>
      </w:pPr>
      <w:r>
        <w:rPr>
          <w:rFonts w:ascii="宋体" w:hAnsi="宋体" w:cs="宋体" w:eastAsia="宋体" w:hint="default"/>
          <w:b/>
          <w:bCs/>
        </w:rPr>
        <w:t>（一）技术研发方面</w:t>
      </w:r>
      <w:r>
        <w:rPr>
          <w:rFonts w:ascii="宋体" w:hAnsi="宋体" w:cs="宋体" w:eastAsia="宋体" w:hint="default"/>
          <w:b/>
          <w:bCs/>
          <w:w w:val="100"/>
        </w:rPr>
        <w:t> </w:t>
      </w:r>
      <w:r>
        <w:rPr>
          <w:spacing w:val="-2"/>
        </w:rPr>
        <w:t>公司在智慧医疗业务方面进一步提升了以临床数据为中心的智能开放平台顶层设计理念，公司智慧医</w:t>
      </w:r>
    </w:p>
    <w:p>
      <w:pPr>
        <w:pStyle w:val="Heading5"/>
        <w:spacing w:line="350" w:lineRule="auto" w:before="27"/>
        <w:ind w:right="1126"/>
        <w:jc w:val="both"/>
      </w:pPr>
      <w:r>
        <w:rPr>
          <w:spacing w:val="-2"/>
        </w:rPr>
        <w:t>疗产品以智能开放平台为基础，通过打造基于人工智能的临床、科研、质控、管理、教学为一体的医疗信</w:t>
      </w:r>
      <w:r>
        <w:rPr>
          <w:spacing w:val="-43"/>
        </w:rPr>
        <w:t> </w:t>
      </w:r>
      <w:r>
        <w:rPr>
          <w:spacing w:val="-43"/>
        </w:rPr>
      </w:r>
      <w:r>
        <w:rPr>
          <w:spacing w:val="-2"/>
        </w:rPr>
        <w:t>息化服务体系，高水平实现新型智慧医院的建设目标。公司进一步延伸大健康上下游产业链，聚焦信息服</w:t>
      </w:r>
      <w:r>
        <w:rPr>
          <w:spacing w:val="-44"/>
        </w:rPr>
        <w:t> </w:t>
      </w:r>
      <w:r>
        <w:rPr>
          <w:spacing w:val="-44"/>
        </w:rPr>
      </w:r>
      <w:r>
        <w:rPr>
          <w:spacing w:val="-2"/>
        </w:rPr>
        <w:t>务的个性化和服务体验的提升，打造从家庭、社区到医院的可及连贯的健康医疗服务生态体系，在为居民</w:t>
      </w:r>
      <w:r>
        <w:rPr>
          <w:spacing w:val="-44"/>
        </w:rPr>
        <w:t> </w:t>
      </w:r>
      <w:r>
        <w:rPr>
          <w:spacing w:val="-44"/>
        </w:rPr>
      </w:r>
      <w:r>
        <w:rPr/>
        <w:t>提供“全人全程、可及连贯”的医疗服务方面开启发展新格局。</w:t>
      </w:r>
    </w:p>
    <w:p>
      <w:pPr>
        <w:pStyle w:val="Heading5"/>
        <w:spacing w:line="350" w:lineRule="auto" w:before="29"/>
        <w:ind w:right="1126" w:firstLine="420"/>
        <w:jc w:val="both"/>
      </w:pPr>
      <w:r>
        <w:rPr>
          <w:spacing w:val="-2"/>
        </w:rPr>
        <w:t>报告期内，医惠科技“医养护一体化主动健康养老服务”入选国家《智慧健康养老产品及服务推广目</w:t>
      </w:r>
      <w:r>
        <w:rPr>
          <w:w w:val="100"/>
        </w:rPr>
        <w:t> </w:t>
      </w:r>
      <w:r>
        <w:rPr>
          <w:spacing w:val="-2"/>
        </w:rPr>
        <w:t>录》，公司打造可及连贯的健康服务模式得到了国家部委的高度认可；医惠科技参与的国家重点研发计划</w:t>
      </w:r>
      <w:r>
        <w:rPr>
          <w:spacing w:val="-43"/>
        </w:rPr>
        <w:t> </w:t>
      </w:r>
      <w:r>
        <w:rPr>
          <w:spacing w:val="-43"/>
        </w:rPr>
      </w:r>
      <w:r>
        <w:rPr/>
        <w:t>项目“生殖健康及重大出生缺陷防控研究”、 “重大慢性非传染性疾病防控研究”</w:t>
      </w:r>
      <w:r>
        <w:rPr>
          <w:spacing w:val="-7"/>
        </w:rPr>
        <w:t> </w:t>
      </w:r>
      <w:r>
        <w:rPr>
          <w:spacing w:val="-3"/>
        </w:rPr>
        <w:t>、“主动健康和老龄</w:t>
      </w:r>
      <w:r>
        <w:rPr>
          <w:w w:val="100"/>
        </w:rPr>
        <w:t> </w:t>
      </w:r>
      <w:r>
        <w:rPr>
          <w:spacing w:val="-2"/>
        </w:rPr>
        <w:t>化科技应对”均获得国家科技部立项支持，标志着公司研发的智能开放平台、物联网共享开放平台、大数</w:t>
      </w:r>
      <w:r>
        <w:rPr>
          <w:spacing w:val="-44"/>
        </w:rPr>
        <w:t> </w:t>
      </w:r>
      <w:r>
        <w:rPr>
          <w:spacing w:val="-44"/>
        </w:rPr>
      </w:r>
      <w:r>
        <w:rPr>
          <w:spacing w:val="-2"/>
        </w:rPr>
        <w:t>据与人工智能技术已在国家战略性、前瞻性科研课题研究中发挥重要作用。上述项目的研究成果将为构建</w:t>
      </w:r>
      <w:r>
        <w:rPr>
          <w:spacing w:val="-41"/>
        </w:rPr>
        <w:t> </w:t>
      </w:r>
      <w:r>
        <w:rPr>
          <w:spacing w:val="-41"/>
        </w:rPr>
      </w:r>
      <w:r>
        <w:rPr>
          <w:spacing w:val="-2"/>
        </w:rPr>
        <w:t>跨区域立体化出生缺陷综合防控网络、建立适合我国国情的心脑“协防共管”模式提供重要支撑，为我国</w:t>
      </w:r>
      <w:r>
        <w:rPr>
          <w:spacing w:val="-44"/>
        </w:rPr>
        <w:t> </w:t>
      </w:r>
      <w:r>
        <w:rPr>
          <w:spacing w:val="-44"/>
        </w:rPr>
      </w:r>
      <w:r>
        <w:rPr>
          <w:spacing w:val="-2"/>
        </w:rPr>
        <w:t>医养结合事业发展提供创新思路和可复制推广的模式；医惠科技“基于人工智能的临床辅助决策支持系统</w:t>
      </w:r>
      <w:r>
        <w:rPr>
          <w:spacing w:val="-42"/>
        </w:rPr>
        <w:t> </w:t>
      </w:r>
      <w:r>
        <w:rPr>
          <w:spacing w:val="-42"/>
        </w:rPr>
      </w:r>
      <w:r>
        <w:rPr>
          <w:spacing w:val="-2"/>
        </w:rPr>
        <w:t>研发”项目获浙江省科技厅重点研发计划立项支持，表明公司的医疗人工智能核心技术进一步得到了政府</w:t>
      </w:r>
      <w:r>
        <w:rPr>
          <w:spacing w:val="-43"/>
        </w:rPr>
        <w:t> </w:t>
      </w:r>
      <w:r>
        <w:rPr>
          <w:spacing w:val="-43"/>
        </w:rPr>
      </w:r>
      <w:r>
        <w:rPr/>
        <w:t>部门以及行业专家的高度认可。报告期内，公司创新研发的中西医临床术语体系框架</w:t>
      </w:r>
      <w:r>
        <w:rPr>
          <w:rFonts w:ascii="宋体" w:hAnsi="宋体" w:cs="宋体" w:eastAsia="宋体" w:hint="default"/>
        </w:rPr>
        <w:t>(ITCMWMCTS)</w:t>
      </w:r>
      <w:r>
        <w:rPr/>
        <w:t>，通过</w:t>
      </w:r>
    </w:p>
    <w:p>
      <w:pPr>
        <w:spacing w:after="0" w:line="350" w:lineRule="auto"/>
        <w:jc w:val="both"/>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0"/>
        <w:jc w:val="left"/>
      </w:pPr>
      <w:r>
        <w:rPr/>
        <w:t>了</w:t>
      </w:r>
      <w:r>
        <w:rPr>
          <w:rFonts w:ascii="宋体" w:hAnsi="宋体" w:cs="宋体" w:eastAsia="宋体" w:hint="default"/>
        </w:rPr>
        <w:t>ISO/DTS22990</w:t>
      </w:r>
      <w:r>
        <w:rPr/>
        <w:t>国际化标准组织批准，成为我国在该领域的第一个也是唯一一个国际标准。公司在商业智</w:t>
      </w:r>
      <w:r>
        <w:rPr>
          <w:w w:val="100"/>
        </w:rPr>
        <w:t> </w:t>
      </w:r>
      <w:r>
        <w:rPr/>
        <w:t>能业务方面凭借良好的制造管理水平、产能规模、品质和交货管控等方面的优势，在新零售业务及智慧城</w:t>
      </w:r>
      <w:r>
        <w:rPr>
          <w:w w:val="100"/>
        </w:rPr>
        <w:t> </w:t>
      </w:r>
      <w:r>
        <w:rPr>
          <w:spacing w:val="-5"/>
        </w:rPr>
        <w:t>市领域均进行了积极布局，报告期内，着重加强对满足客户个性化需求的高附加值产品和技术的研发储备，</w:t>
      </w:r>
      <w:r>
        <w:rPr>
          <w:spacing w:val="-6"/>
        </w:rPr>
        <w:t> </w:t>
      </w:r>
      <w:r>
        <w:rPr>
          <w:spacing w:val="-6"/>
        </w:rPr>
      </w:r>
      <w:r>
        <w:rPr/>
        <w:t>加强与行业内合作伙伴的技术交流，并在智能化零售的部分环节取得阶段性成果。公司全资子公司思创汇</w:t>
      </w:r>
      <w:r>
        <w:rPr>
          <w:w w:val="100"/>
        </w:rPr>
        <w:t> </w:t>
      </w:r>
      <w:r>
        <w:rPr/>
        <w:t>联“物联网智能传感识别芯片研究”项目获浙江省科技厅重点研发计划立项支持。该项目针对工业互联网</w:t>
      </w:r>
      <w:r>
        <w:rPr>
          <w:w w:val="100"/>
        </w:rPr>
        <w:t> </w:t>
      </w:r>
      <w:r>
        <w:rPr>
          <w:spacing w:val="-2"/>
        </w:rPr>
        <w:t>领域开展智能传感器、芯片研发及应用，突显了我公司技术在该行业领域的领先地位。报告期内，公司研</w:t>
      </w:r>
      <w:r>
        <w:rPr>
          <w:spacing w:val="-47"/>
        </w:rPr>
        <w:t> </w:t>
      </w:r>
      <w:r>
        <w:rPr>
          <w:spacing w:val="-47"/>
        </w:rPr>
      </w:r>
      <w:r>
        <w:rPr/>
        <w:t>发费用支出为</w:t>
      </w:r>
      <w:r>
        <w:rPr>
          <w:rFonts w:ascii="宋体" w:hAnsi="宋体" w:cs="宋体" w:eastAsia="宋体" w:hint="default"/>
        </w:rPr>
        <w:t>10,621.49</w:t>
      </w:r>
      <w:r>
        <w:rPr/>
        <w:t>万元，占营业收入的</w:t>
      </w:r>
      <w:r>
        <w:rPr>
          <w:rFonts w:ascii="宋体" w:hAnsi="宋体" w:cs="宋体" w:eastAsia="宋体" w:hint="default"/>
        </w:rPr>
        <w:t>8.20%</w:t>
      </w:r>
      <w:r>
        <w:rPr/>
        <w:t>，公司核心竞争力得到持续提升。</w:t>
      </w:r>
    </w:p>
    <w:p>
      <w:pPr>
        <w:pStyle w:val="Heading5"/>
        <w:spacing w:line="348" w:lineRule="auto" w:before="29"/>
        <w:ind w:left="573" w:right="1133" w:firstLine="2"/>
        <w:jc w:val="left"/>
      </w:pPr>
      <w:r>
        <w:rPr>
          <w:rFonts w:ascii="宋体" w:hAnsi="宋体" w:cs="宋体" w:eastAsia="宋体" w:hint="default"/>
          <w:b/>
          <w:bCs/>
        </w:rPr>
        <w:t>（二）产品创新方面</w:t>
      </w:r>
      <w:r>
        <w:rPr>
          <w:rFonts w:ascii="宋体" w:hAnsi="宋体" w:cs="宋体" w:eastAsia="宋体" w:hint="default"/>
          <w:b/>
          <w:bCs/>
          <w:w w:val="100"/>
        </w:rPr>
        <w:t> </w:t>
      </w:r>
      <w:r>
        <w:rPr>
          <w:spacing w:val="-2"/>
        </w:rPr>
        <w:t>报告期内，医惠科技凭借物联网、人工智能应用、平台数据交互三大核心技术，着眼于打造创新型智</w:t>
      </w:r>
    </w:p>
    <w:p>
      <w:pPr>
        <w:pStyle w:val="Heading5"/>
        <w:spacing w:line="350" w:lineRule="auto" w:before="32"/>
        <w:ind w:right="0"/>
        <w:jc w:val="left"/>
      </w:pPr>
      <w:r>
        <w:rPr>
          <w:spacing w:val="-2"/>
        </w:rPr>
        <w:t>慧医疗服务生态体系，继续提升医院信息化顶层设计能力和整体解决方案提供交付能力，产品的种类和数</w:t>
      </w:r>
      <w:r>
        <w:rPr>
          <w:spacing w:val="-44"/>
        </w:rPr>
        <w:t> </w:t>
      </w:r>
      <w:r>
        <w:rPr>
          <w:spacing w:val="-44"/>
        </w:rPr>
      </w:r>
      <w:r>
        <w:rPr>
          <w:spacing w:val="-2"/>
        </w:rPr>
        <w:t>量都得到进一步丰富和增加。报告期内，公司在杭州市下城区成功落地了全国首个针对慢性病长处方患者</w:t>
      </w:r>
      <w:r>
        <w:rPr>
          <w:spacing w:val="-44"/>
        </w:rPr>
        <w:t> </w:t>
      </w:r>
      <w:r>
        <w:rPr>
          <w:spacing w:val="-44"/>
        </w:rPr>
      </w:r>
      <w:r>
        <w:rPr/>
        <w:t>的线上线下一体化的居家健康管理服务方案，并在宁波市鄞州第二医院建立了首家疾病管理中心，开创了</w:t>
      </w:r>
      <w:r>
        <w:rPr>
          <w:w w:val="100"/>
        </w:rPr>
        <w:t> </w:t>
      </w:r>
      <w:r>
        <w:rPr>
          <w:spacing w:val="-5"/>
        </w:rPr>
        <w:t>具有国内领先水平的慢病人群健康管理新模式。该模式以智能化穿戴式居家监测设备为媒介，利用互联网、</w:t>
      </w:r>
      <w:r>
        <w:rPr>
          <w:spacing w:val="-4"/>
        </w:rPr>
        <w:t> </w:t>
      </w:r>
      <w:r>
        <w:rPr>
          <w:spacing w:val="-4"/>
        </w:rPr>
      </w:r>
      <w:r>
        <w:rPr>
          <w:spacing w:val="-2"/>
        </w:rPr>
        <w:t>人工智能等科技手段，协助医生为居家患者提供个性化的健康管理和干预治疗方案，将医院的服务从临床</w:t>
      </w:r>
      <w:r>
        <w:rPr>
          <w:spacing w:val="-44"/>
        </w:rPr>
        <w:t> </w:t>
      </w:r>
      <w:r>
        <w:rPr>
          <w:spacing w:val="-44"/>
        </w:rPr>
      </w:r>
      <w:r>
        <w:rPr>
          <w:spacing w:val="-2"/>
        </w:rPr>
        <w:t>治疗延伸到健康管理，服务广度从院内延伸至院外，实现患者在院和在家全过程同质化的病程管理。后续</w:t>
      </w:r>
      <w:r>
        <w:rPr>
          <w:spacing w:val="-44"/>
        </w:rPr>
        <w:t> </w:t>
      </w:r>
      <w:r>
        <w:rPr>
          <w:spacing w:val="-44"/>
        </w:rPr>
      </w:r>
      <w:r>
        <w:rPr/>
        <w:t>公司将在各级医院持续推动线上线下一体化的疾病管理中心以及院后健康管理中心的设立，探索公司新的</w:t>
      </w:r>
      <w:r>
        <w:rPr>
          <w:w w:val="100"/>
        </w:rPr>
        <w:t> </w:t>
      </w:r>
      <w:r>
        <w:rPr/>
        <w:t>业务模式和盈利增长点。报告期内，公司推出了打通互联网、物联网、</w:t>
      </w:r>
      <w:r>
        <w:rPr>
          <w:rFonts w:ascii="宋体" w:hAnsi="宋体" w:cs="宋体" w:eastAsia="宋体" w:hint="default"/>
        </w:rPr>
        <w:t>AI</w:t>
      </w:r>
      <w:r>
        <w:rPr/>
        <w:t>智能等服务的互联网医院</w:t>
      </w:r>
      <w:r>
        <w:rPr>
          <w:rFonts w:ascii="宋体" w:hAnsi="宋体" w:cs="宋体" w:eastAsia="宋体" w:hint="default"/>
        </w:rPr>
        <w:t>4.0</w:t>
      </w:r>
      <w:r>
        <w:rPr/>
        <w:t>方</w:t>
      </w:r>
      <w:r>
        <w:rPr>
          <w:w w:val="100"/>
        </w:rPr>
        <w:t> </w:t>
      </w:r>
      <w:r>
        <w:rPr/>
        <w:t>案，整合掌医、支付、宣教、</w:t>
      </w:r>
      <w:r>
        <w:rPr>
          <w:rFonts w:ascii="宋体" w:hAnsi="宋体" w:cs="宋体" w:eastAsia="宋体" w:hint="default"/>
        </w:rPr>
        <w:t>MDT</w:t>
      </w:r>
      <w:r>
        <w:rPr/>
        <w:t>、随访、专科电子病历、专病</w:t>
      </w:r>
      <w:r>
        <w:rPr>
          <w:rFonts w:ascii="宋体" w:hAnsi="宋体" w:cs="宋体" w:eastAsia="宋体" w:hint="default"/>
        </w:rPr>
        <w:t>AI</w:t>
      </w:r>
      <w:r>
        <w:rPr/>
        <w:t>辅助诊疗、物联网终端及互联网安全接</w:t>
      </w:r>
      <w:r>
        <w:rPr>
          <w:w w:val="100"/>
        </w:rPr>
        <w:t> </w:t>
      </w:r>
      <w:r>
        <w:rPr>
          <w:spacing w:val="-2"/>
        </w:rPr>
        <w:t>入等服务，着力打造有生态特色的互联网医院。同时公司利用自身在医疗应用软件微小化、专业化上的领</w:t>
      </w:r>
      <w:r>
        <w:rPr>
          <w:spacing w:val="-44"/>
        </w:rPr>
        <w:t> </w:t>
      </w:r>
      <w:r>
        <w:rPr>
          <w:spacing w:val="-44"/>
        </w:rPr>
      </w:r>
      <w:r>
        <w:rPr/>
        <w:t>先优势，与阿里巴巴钉钉成功开展“互联网</w:t>
      </w:r>
      <w:r>
        <w:rPr>
          <w:rFonts w:ascii="宋体" w:hAnsi="宋体" w:cs="宋体" w:eastAsia="宋体" w:hint="default"/>
        </w:rPr>
        <w:t>+</w:t>
      </w:r>
      <w:r>
        <w:rPr/>
        <w:t>医疗”的合作。公司一大批优秀的微小化应用软件如“智能</w:t>
      </w:r>
      <w:r>
        <w:rPr>
          <w:spacing w:val="-3"/>
          <w:w w:val="100"/>
        </w:rPr>
        <w:t> </w:t>
      </w:r>
      <w:r>
        <w:rPr/>
        <w:t>护理”、“排班管理”、“云随访”、“云</w:t>
      </w:r>
      <w:r>
        <w:rPr>
          <w:rFonts w:ascii="宋体" w:hAnsi="宋体" w:cs="宋体" w:eastAsia="宋体" w:hint="default"/>
        </w:rPr>
        <w:t>HIS</w:t>
      </w:r>
      <w:r>
        <w:rPr/>
        <w:t>”、“继续教育”等借助阿里钉钉的互联网平台，正被越</w:t>
      </w:r>
      <w:r>
        <w:rPr>
          <w:w w:val="100"/>
        </w:rPr>
        <w:t> </w:t>
      </w:r>
      <w:r>
        <w:rPr>
          <w:spacing w:val="-7"/>
        </w:rPr>
        <w:t>来越多的医院使用。在大数据人工智能的应用上，公司基于医疗专科大数据中心，以中西医融合本体库（国</w:t>
      </w:r>
      <w:r>
        <w:rPr>
          <w:spacing w:val="-23"/>
        </w:rPr>
        <w:t> </w:t>
      </w:r>
      <w:r>
        <w:rPr>
          <w:spacing w:val="-23"/>
        </w:rPr>
      </w:r>
      <w:r>
        <w:rPr>
          <w:spacing w:val="-2"/>
        </w:rPr>
        <w:t>际</w:t>
      </w:r>
      <w:r>
        <w:rPr>
          <w:rFonts w:ascii="宋体" w:hAnsi="宋体" w:cs="宋体" w:eastAsia="宋体" w:hint="default"/>
          <w:spacing w:val="-2"/>
        </w:rPr>
        <w:t>ISO</w:t>
      </w:r>
      <w:r>
        <w:rPr>
          <w:spacing w:val="-2"/>
        </w:rPr>
        <w:t>标准）为支撑，以公司自主研发的人工智能引擎</w:t>
      </w:r>
      <w:r>
        <w:rPr>
          <w:rFonts w:ascii="宋体" w:hAnsi="宋体" w:cs="宋体" w:eastAsia="宋体" w:hint="default"/>
          <w:spacing w:val="-2"/>
        </w:rPr>
        <w:t>ThinkGo</w:t>
      </w:r>
      <w:r>
        <w:rPr>
          <w:spacing w:val="-2"/>
        </w:rPr>
        <w:t>为依托，大力打造以人工智能为核心的国内</w:t>
      </w:r>
      <w:r>
        <w:rPr>
          <w:spacing w:val="-37"/>
        </w:rPr>
        <w:t> </w:t>
      </w:r>
      <w:r>
        <w:rPr>
          <w:spacing w:val="-37"/>
        </w:rPr>
      </w:r>
      <w:r>
        <w:rPr/>
        <w:t>领先的临床</w:t>
      </w:r>
      <w:r>
        <w:rPr>
          <w:rFonts w:ascii="宋体" w:hAnsi="宋体" w:cs="宋体" w:eastAsia="宋体" w:hint="default"/>
        </w:rPr>
        <w:t>/</w:t>
      </w:r>
      <w:r>
        <w:rPr/>
        <w:t>科研</w:t>
      </w:r>
      <w:r>
        <w:rPr>
          <w:rFonts w:ascii="宋体" w:hAnsi="宋体" w:cs="宋体" w:eastAsia="宋体" w:hint="default"/>
        </w:rPr>
        <w:t>/</w:t>
      </w:r>
      <w:r>
        <w:rPr/>
        <w:t>质控一体化的专科服务平台，为医院专科建设提供强大的临床辅助、科研和质控支持。</w:t>
      </w:r>
      <w:r>
        <w:rPr>
          <w:w w:val="100"/>
        </w:rPr>
        <w:t> </w:t>
      </w:r>
      <w:r>
        <w:rPr/>
        <w:t>同时，公司不断推出专科人工智能诊疗机器人，目前已有小儿手足口病、宫颈癌、乳腺癌、消化道早癌、</w:t>
      </w:r>
      <w:r>
        <w:rPr>
          <w:w w:val="100"/>
        </w:rPr>
        <w:t> </w:t>
      </w:r>
      <w:r>
        <w:rPr>
          <w:spacing w:val="-2"/>
        </w:rPr>
        <w:t>先天性心脏病、疝、川崎病、乙肝、肺炎、高血压、糖尿病、帕金森病、阿尔茨海默症、睡眠障碍等</w:t>
      </w:r>
      <w:r>
        <w:rPr>
          <w:rFonts w:ascii="宋体" w:hAnsi="宋体" w:cs="宋体" w:eastAsia="宋体" w:hint="default"/>
          <w:spacing w:val="-2"/>
        </w:rPr>
        <w:t>10</w:t>
      </w:r>
      <w:r>
        <w:rPr>
          <w:spacing w:val="-2"/>
        </w:rPr>
        <w:t>余</w:t>
      </w:r>
      <w:r>
        <w:rPr>
          <w:spacing w:val="-44"/>
        </w:rPr>
        <w:t> </w:t>
      </w:r>
      <w:r>
        <w:rPr/>
        <w:t>种常见疾病的单病种机器人运用于临床智能辅助诊断。公司的云随访机器人可以通过真人语音等多种交互</w:t>
      </w:r>
      <w:r>
        <w:rPr>
          <w:w w:val="100"/>
        </w:rPr>
        <w:t> </w:t>
      </w:r>
      <w:r>
        <w:rPr>
          <w:spacing w:val="-2"/>
        </w:rPr>
        <w:t>方式，对患者进行批量随访，在随访过程中对异常进行智能辅助判断，并做自动提醒等智能辅助处理，极</w:t>
      </w:r>
      <w:r>
        <w:rPr>
          <w:spacing w:val="-47"/>
        </w:rPr>
        <w:t> </w:t>
      </w:r>
      <w:r>
        <w:rPr>
          <w:spacing w:val="-47"/>
        </w:rPr>
      </w:r>
      <w:r>
        <w:rPr>
          <w:spacing w:val="-2"/>
        </w:rPr>
        <w:t>大地创新了随访模式。报告期内，公司进一步推进了医疗物联网智能终端、信息耗材的研发应用，其中选</w:t>
      </w:r>
      <w:r>
        <w:rPr>
          <w:spacing w:val="-50"/>
        </w:rPr>
        <w:t> </w:t>
      </w:r>
      <w:r>
        <w:rPr>
          <w:spacing w:val="-50"/>
        </w:rPr>
      </w:r>
      <w:r>
        <w:rPr/>
        <w:t>用高精度传感器自主研发升级的第二代体温贴已在医院试点使用；全新一代智能鞋也已完成算法优化和方</w:t>
      </w:r>
      <w:r>
        <w:rPr>
          <w:w w:val="100"/>
        </w:rPr>
        <w:t> </w:t>
      </w:r>
      <w:r>
        <w:rPr/>
        <w:t>案架构开发；同时还推出了基于创新型结构设计、具有自动分药及提醒患者吃药功能的智能药盒。借助一</w:t>
      </w:r>
      <w:r>
        <w:rPr>
          <w:w w:val="100"/>
        </w:rPr>
        <w:t> </w:t>
      </w:r>
      <w:r>
        <w:rPr/>
        <w:t>系列物联网终端，公司将基于人工智能的智能化医疗健康服务深入到家庭，实现对使用对象健康状况的全</w:t>
      </w:r>
      <w:r>
        <w:rPr>
          <w:w w:val="100"/>
        </w:rPr>
        <w:t> </w:t>
      </w:r>
      <w:r>
        <w:rPr/>
        <w:t>程管理及服务。</w:t>
      </w:r>
    </w:p>
    <w:p>
      <w:pPr>
        <w:pStyle w:val="Heading5"/>
        <w:spacing w:line="240" w:lineRule="auto" w:before="29"/>
        <w:ind w:left="573" w:right="0"/>
        <w:jc w:val="left"/>
      </w:pPr>
      <w:r>
        <w:rPr/>
        <w:t>公司商业智能事业部凭借自主研发优势，以及近年来集成应用方面的经验积累，进一步丰富</w:t>
      </w:r>
      <w:r>
        <w:rPr>
          <w:rFonts w:ascii="宋体" w:hAnsi="宋体" w:cs="宋体" w:eastAsia="宋体" w:hint="default"/>
        </w:rPr>
        <w:t>EAS</w:t>
      </w:r>
      <w:r>
        <w:rPr/>
        <w:t>标签、</w:t>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0"/>
        <w:jc w:val="left"/>
      </w:pPr>
      <w:r>
        <w:rPr>
          <w:rFonts w:ascii="宋体" w:hAnsi="宋体" w:cs="宋体" w:eastAsia="宋体" w:hint="default"/>
        </w:rPr>
        <w:t>RFID</w:t>
      </w:r>
      <w:r>
        <w:rPr/>
        <w:t>标签、</w:t>
      </w:r>
      <w:r>
        <w:rPr>
          <w:rFonts w:ascii="宋体" w:hAnsi="宋体" w:cs="宋体" w:eastAsia="宋体" w:hint="default"/>
        </w:rPr>
        <w:t>ESL</w:t>
      </w:r>
      <w:r>
        <w:rPr/>
        <w:t>电子变价标签、展保类产品等应用特定场景的各类基础标签和特种标签，并针对</w:t>
      </w:r>
      <w:r>
        <w:rPr>
          <w:rFonts w:ascii="宋体" w:hAnsi="宋体" w:cs="宋体" w:eastAsia="宋体" w:hint="default"/>
        </w:rPr>
        <w:t>RFID</w:t>
      </w:r>
      <w:r>
        <w:rPr/>
        <w:t>集成</w:t>
      </w:r>
      <w:r>
        <w:rPr>
          <w:spacing w:val="-3"/>
          <w:w w:val="100"/>
        </w:rPr>
        <w:t> </w:t>
      </w:r>
      <w:r>
        <w:rPr>
          <w:spacing w:val="-2"/>
        </w:rPr>
        <w:t>应用技术方案进行反复的设计论证，推出了智能、开放、可视、连贯的智慧商业管理平台，集合智慧商业</w:t>
      </w:r>
      <w:r>
        <w:rPr>
          <w:spacing w:val="-43"/>
        </w:rPr>
        <w:t> </w:t>
      </w:r>
      <w:r>
        <w:rPr>
          <w:spacing w:val="-43"/>
        </w:rPr>
      </w:r>
      <w:r>
        <w:rPr/>
        <w:t>感知终端数据采集、终端信息大数据分析、人工智能辅助决策等应用，打造商业物联应用开放生态体系。</w:t>
      </w:r>
      <w:r>
        <w:rPr>
          <w:w w:val="100"/>
        </w:rPr>
        <w:t> </w:t>
      </w:r>
      <w:r>
        <w:rPr/>
        <w:t>报告期内，公司自主研发的可实现商品自助结账开锁的智能结账设备，一经亮相就受到业内的普遍关注；</w:t>
      </w:r>
      <w:r>
        <w:rPr>
          <w:w w:val="100"/>
        </w:rPr>
        <w:t> </w:t>
      </w:r>
      <w:r>
        <w:rPr>
          <w:spacing w:val="-2"/>
        </w:rPr>
        <w:t>公司推出的智能促销货架能通过</w:t>
      </w:r>
      <w:r>
        <w:rPr>
          <w:rFonts w:ascii="宋体" w:hAnsi="宋体" w:cs="宋体" w:eastAsia="宋体" w:hint="default"/>
          <w:spacing w:val="-2"/>
        </w:rPr>
        <w:t>IOT+AI</w:t>
      </w:r>
      <w:r>
        <w:rPr>
          <w:spacing w:val="-2"/>
        </w:rPr>
        <w:t>技术采集客户消费行为数据，针对消费者画像进行大数据分析，促</w:t>
      </w:r>
      <w:r>
        <w:rPr>
          <w:spacing w:val="-38"/>
        </w:rPr>
        <w:t> </w:t>
      </w:r>
      <w:r>
        <w:rPr>
          <w:spacing w:val="-38"/>
        </w:rPr>
      </w:r>
      <w:r>
        <w:rPr>
          <w:spacing w:val="-2"/>
        </w:rPr>
        <w:t>进产品定价、目标客户定位、协助企业实现千人千面精准营销，并且在智能货架项目上成功突破了</w:t>
      </w:r>
      <w:r>
        <w:rPr>
          <w:rFonts w:ascii="宋体" w:hAnsi="宋体" w:cs="宋体" w:eastAsia="宋体" w:hint="default"/>
          <w:spacing w:val="-2"/>
        </w:rPr>
        <w:t>RFID</w:t>
      </w:r>
      <w:r>
        <w:rPr>
          <w:spacing w:val="-2"/>
        </w:rPr>
        <w:t>技</w:t>
      </w:r>
      <w:r>
        <w:rPr>
          <w:spacing w:val="-39"/>
        </w:rPr>
        <w:t> </w:t>
      </w:r>
      <w:r>
        <w:rPr>
          <w:spacing w:val="-2"/>
        </w:rPr>
        <w:t>术在液体商品中的使用限制；另外通过试衣间采集到的终端消费者试衣数据，帮助服装企业管理者分析消</w:t>
      </w:r>
      <w:r>
        <w:rPr>
          <w:spacing w:val="-43"/>
        </w:rPr>
        <w:t> </w:t>
      </w:r>
      <w:r>
        <w:rPr>
          <w:spacing w:val="-43"/>
        </w:rPr>
      </w:r>
      <w:r>
        <w:rPr>
          <w:spacing w:val="-2"/>
        </w:rPr>
        <w:t>费行为，对门店销售做出智能化预测，给消费者带来良好的购物体验。同时，公司智能冰柜组件集智能服</w:t>
      </w:r>
      <w:r>
        <w:rPr>
          <w:spacing w:val="-50"/>
        </w:rPr>
        <w:t> </w:t>
      </w:r>
      <w:r>
        <w:rPr>
          <w:spacing w:val="-50"/>
        </w:rPr>
      </w:r>
      <w:r>
        <w:rPr>
          <w:spacing w:val="-5"/>
        </w:rPr>
        <w:t>务器、商品识别组件、智能门控、销售结算等功能于一身，能够通过超高频</w:t>
      </w:r>
      <w:r>
        <w:rPr>
          <w:rFonts w:ascii="宋体" w:hAnsi="宋体" w:cs="宋体" w:eastAsia="宋体" w:hint="default"/>
          <w:spacing w:val="-5"/>
        </w:rPr>
        <w:t>RFID</w:t>
      </w:r>
      <w:r>
        <w:rPr>
          <w:spacing w:val="-5"/>
        </w:rPr>
        <w:t>技术对货品进行精准识别，</w:t>
      </w:r>
      <w:r>
        <w:rPr>
          <w:spacing w:val="-2"/>
        </w:rPr>
        <w:t> </w:t>
      </w:r>
      <w:r>
        <w:rPr>
          <w:spacing w:val="-2"/>
        </w:rPr>
        <w:t>实现消费者自由选货、便捷支付，并记录用户消费习惯、分析用户消费偏好，助力无人零售解决方案的发</w:t>
      </w:r>
      <w:r>
        <w:rPr>
          <w:spacing w:val="-50"/>
        </w:rPr>
        <w:t> </w:t>
      </w:r>
      <w:r>
        <w:rPr>
          <w:spacing w:val="-50"/>
        </w:rPr>
      </w:r>
      <w:r>
        <w:rPr>
          <w:spacing w:val="-2"/>
        </w:rPr>
        <w:t>展。在智慧商业开放平台下，每个方案不仅可以形成独立的子系统闭环管理，而且可以实现各子系统间的</w:t>
      </w:r>
      <w:r>
        <w:rPr>
          <w:spacing w:val="-43"/>
        </w:rPr>
        <w:t> </w:t>
      </w:r>
      <w:r>
        <w:rPr>
          <w:spacing w:val="-43"/>
        </w:rPr>
      </w:r>
      <w:r>
        <w:rPr>
          <w:spacing w:val="-2"/>
        </w:rPr>
        <w:t>数据实时互通共享，强化了企业对终端的控制，并通过智能数据信息更深度了解市场和用户的需求，有效</w:t>
      </w:r>
      <w:r>
        <w:rPr>
          <w:spacing w:val="-43"/>
        </w:rPr>
        <w:t> </w:t>
      </w:r>
      <w:r>
        <w:rPr>
          <w:spacing w:val="-43"/>
        </w:rPr>
      </w:r>
      <w:r>
        <w:rPr/>
        <w:t>地帮助企业提升整体利润率和供应链的体系管理。</w:t>
      </w:r>
    </w:p>
    <w:p>
      <w:pPr>
        <w:pStyle w:val="Heading5"/>
        <w:spacing w:line="348" w:lineRule="auto" w:before="29"/>
        <w:ind w:left="573" w:right="1133" w:firstLine="2"/>
        <w:jc w:val="left"/>
      </w:pPr>
      <w:r>
        <w:rPr>
          <w:rFonts w:ascii="宋体" w:hAnsi="宋体" w:cs="宋体" w:eastAsia="宋体" w:hint="default"/>
          <w:b/>
          <w:bCs/>
        </w:rPr>
        <w:t>（三）市场拓展方面</w:t>
      </w:r>
      <w:r>
        <w:rPr>
          <w:rFonts w:ascii="宋体" w:hAnsi="宋体" w:cs="宋体" w:eastAsia="宋体" w:hint="default"/>
          <w:b/>
          <w:bCs/>
          <w:w w:val="100"/>
        </w:rPr>
        <w:t> </w:t>
      </w:r>
      <w:r>
        <w:rPr>
          <w:rFonts w:ascii="宋体" w:hAnsi="宋体" w:cs="宋体" w:eastAsia="宋体" w:hint="default"/>
          <w:spacing w:val="-2"/>
        </w:rPr>
        <w:t>2018</w:t>
      </w:r>
      <w:r>
        <w:rPr>
          <w:spacing w:val="-2"/>
        </w:rPr>
        <w:t>年以来，医疗信息化行业利好政策不断，以电子病历、区域医联体和互联互通建设为重点，医疗</w:t>
      </w:r>
    </w:p>
    <w:p>
      <w:pPr>
        <w:pStyle w:val="Heading5"/>
        <w:spacing w:line="350" w:lineRule="auto" w:before="31"/>
        <w:ind w:right="1133"/>
        <w:jc w:val="left"/>
      </w:pPr>
      <w:r>
        <w:rPr>
          <w:spacing w:val="-2"/>
        </w:rPr>
        <w:t>信息化迎来投资建设高峰期，这其中互联互通的建设是关键。公司在业内率先开发的智能开放平台在实现</w:t>
      </w:r>
      <w:r>
        <w:rPr>
          <w:spacing w:val="-43"/>
        </w:rPr>
        <w:t> </w:t>
      </w:r>
      <w:r>
        <w:rPr>
          <w:spacing w:val="-43"/>
        </w:rPr>
      </w:r>
      <w:r>
        <w:rPr/>
        <w:t>医疗信息的互联互通上有非常显著的优势，公司以“大平台</w:t>
      </w:r>
      <w:r>
        <w:rPr>
          <w:rFonts w:ascii="宋体" w:hAnsi="宋体" w:cs="宋体" w:eastAsia="宋体" w:hint="default"/>
        </w:rPr>
        <w:t>+</w:t>
      </w:r>
      <w:r>
        <w:rPr/>
        <w:t>微小化应用”为特色的智慧医院架构在医院</w:t>
      </w:r>
      <w:r>
        <w:rPr>
          <w:w w:val="100"/>
        </w:rPr>
        <w:t> </w:t>
      </w:r>
      <w:r>
        <w:rPr>
          <w:spacing w:val="-2"/>
        </w:rPr>
        <w:t>高等级的互联互通测评、电子病历评审中已发挥出越来越突出的作用。因此行业的利好在公司的业务增长</w:t>
      </w:r>
      <w:r>
        <w:rPr>
          <w:spacing w:val="-42"/>
        </w:rPr>
        <w:t> </w:t>
      </w:r>
      <w:r>
        <w:rPr>
          <w:spacing w:val="-42"/>
        </w:rPr>
      </w:r>
      <w:r>
        <w:rPr>
          <w:spacing w:val="-2"/>
        </w:rPr>
        <w:t>上体现得更为明显。报告期内，公司紧紧抓住行业发展机遇，进一步加大市场拓展力度，在订单的总金额</w:t>
      </w:r>
      <w:r>
        <w:rPr>
          <w:spacing w:val="-50"/>
        </w:rPr>
        <w:t> </w:t>
      </w:r>
      <w:r>
        <w:rPr>
          <w:spacing w:val="-50"/>
        </w:rPr>
      </w:r>
      <w:r>
        <w:rPr>
          <w:spacing w:val="-2"/>
        </w:rPr>
        <w:t>以及平均金额上均有较为明显的提升。特别是在以智能开放平台为核心的智慧医院整体解决方案项目上，</w:t>
      </w:r>
      <w:r>
        <w:rPr>
          <w:spacing w:val="-21"/>
        </w:rPr>
        <w:t> </w:t>
      </w:r>
      <w:r>
        <w:rPr>
          <w:spacing w:val="-21"/>
        </w:rPr>
      </w:r>
      <w:r>
        <w:rPr>
          <w:spacing w:val="-2"/>
        </w:rPr>
        <w:t>公司中标、实施了上海交通大学附属新华医院智慧医院项目、广州市番禺区中心医院医疗业务云信息化项</w:t>
      </w:r>
      <w:r>
        <w:rPr>
          <w:spacing w:val="-42"/>
        </w:rPr>
        <w:t> </w:t>
      </w:r>
      <w:r>
        <w:rPr>
          <w:spacing w:val="-42"/>
        </w:rPr>
      </w:r>
      <w:r>
        <w:rPr/>
        <w:t>目、南京鼓楼医院江北国际医院智慧医院应用架构项目、湘潭市中心医院信息平台</w:t>
      </w:r>
      <w:r>
        <w:rPr>
          <w:rFonts w:ascii="宋体" w:hAnsi="宋体" w:cs="宋体" w:eastAsia="宋体" w:hint="default"/>
        </w:rPr>
        <w:t>+</w:t>
      </w:r>
      <w:r>
        <w:rPr/>
        <w:t>数据中心及应用建设</w:t>
      </w:r>
      <w:r>
        <w:rPr>
          <w:w w:val="100"/>
        </w:rPr>
        <w:t> </w:t>
      </w:r>
      <w:r>
        <w:rPr/>
        <w:t>项目、湖南省儿童医院大数据中心</w:t>
      </w:r>
      <w:r>
        <w:rPr>
          <w:rFonts w:ascii="宋体" w:hAnsi="宋体" w:cs="宋体" w:eastAsia="宋体" w:hint="default"/>
        </w:rPr>
        <w:t>+</w:t>
      </w:r>
      <w:r>
        <w:rPr/>
        <w:t>智慧医院建设项目、重庆市第十三人民医院医养康护系统项目、深圳</w:t>
      </w:r>
      <w:r>
        <w:rPr>
          <w:w w:val="100"/>
        </w:rPr>
        <w:t> </w:t>
      </w:r>
      <w:r>
        <w:rPr>
          <w:spacing w:val="-2"/>
        </w:rPr>
        <w:t>市儿童医院六级电子病历医院信息系统升级改造项目等一批单体金额在千万元级别以上的典型项目，不但</w:t>
      </w:r>
      <w:r>
        <w:rPr>
          <w:spacing w:val="-43"/>
        </w:rPr>
        <w:t> </w:t>
      </w:r>
      <w:r>
        <w:rPr>
          <w:spacing w:val="-43"/>
        </w:rPr>
      </w:r>
      <w:r>
        <w:rPr/>
        <w:t>为公司业绩的增长打下了坚实的基础，同时也让公司品牌得到了市场更为广泛的好评。</w:t>
      </w:r>
    </w:p>
    <w:p>
      <w:pPr>
        <w:pStyle w:val="Heading5"/>
        <w:spacing w:line="350" w:lineRule="auto" w:before="29"/>
        <w:ind w:right="0" w:firstLine="420"/>
        <w:jc w:val="left"/>
      </w:pPr>
      <w:r>
        <w:rPr/>
        <w:t>作为新零售技术的领军企业，报告期内公司继续不断完善无人零售方案，融合</w:t>
      </w:r>
      <w:r>
        <w:rPr>
          <w:rFonts w:ascii="宋体" w:hAnsi="宋体" w:cs="宋体" w:eastAsia="宋体" w:hint="default"/>
        </w:rPr>
        <w:t>AI</w:t>
      </w:r>
      <w:r>
        <w:rPr/>
        <w:t>、</w:t>
      </w:r>
      <w:r>
        <w:rPr>
          <w:rFonts w:ascii="宋体" w:hAnsi="宋体" w:cs="宋体" w:eastAsia="宋体" w:hint="default"/>
        </w:rPr>
        <w:t>RFID</w:t>
      </w:r>
      <w:r>
        <w:rPr/>
        <w:t>两大技术，以</w:t>
      </w:r>
      <w:r>
        <w:rPr>
          <w:w w:val="100"/>
        </w:rPr>
        <w:t> </w:t>
      </w:r>
      <w:r>
        <w:rPr>
          <w:spacing w:val="-5"/>
        </w:rPr>
        <w:t>无人零售技术帮助零售商提升效益，推动零售行业的数字化进程。公司助力苏宁、国美打造无人零售商店，</w:t>
      </w:r>
      <w:r>
        <w:rPr>
          <w:spacing w:val="-3"/>
        </w:rPr>
        <w:t> </w:t>
      </w:r>
      <w:r>
        <w:rPr>
          <w:spacing w:val="-3"/>
        </w:rPr>
      </w:r>
      <w:r>
        <w:rPr>
          <w:spacing w:val="-2"/>
        </w:rPr>
        <w:t>实现即拿即走的购物体验，并在百年名校南开大学成功建设南开无人零售智能购物仓。同时，随着公司时</w:t>
      </w:r>
      <w:r>
        <w:rPr>
          <w:spacing w:val="-44"/>
        </w:rPr>
        <w:t> </w:t>
      </w:r>
      <w:r>
        <w:rPr>
          <w:spacing w:val="-44"/>
        </w:rPr>
      </w:r>
      <w:r>
        <w:rPr>
          <w:spacing w:val="-6"/>
        </w:rPr>
        <w:t>尚行业</w:t>
      </w:r>
      <w:r>
        <w:rPr>
          <w:rFonts w:ascii="宋体" w:hAnsi="宋体" w:cs="宋体" w:eastAsia="宋体" w:hint="default"/>
          <w:spacing w:val="-6"/>
        </w:rPr>
        <w:t>RFID</w:t>
      </w:r>
      <w:r>
        <w:rPr>
          <w:spacing w:val="-6"/>
        </w:rPr>
        <w:t>全供应链解决方案不断落地，报告期内公司与太平鸟、喜歌、迪科尼等知名品牌开展合作，</w:t>
      </w:r>
      <w:r>
        <w:rPr>
          <w:rFonts w:ascii="宋体" w:hAnsi="宋体" w:cs="宋体" w:eastAsia="宋体" w:hint="default"/>
          <w:spacing w:val="-6"/>
        </w:rPr>
        <w:t>RFID</w:t>
      </w:r>
      <w:r>
        <w:rPr>
          <w:rFonts w:ascii="宋体" w:hAnsi="宋体" w:cs="宋体" w:eastAsia="宋体" w:hint="default"/>
          <w:spacing w:val="-42"/>
        </w:rPr>
        <w:t> </w:t>
      </w:r>
      <w:r>
        <w:rPr>
          <w:rFonts w:ascii="宋体" w:hAnsi="宋体" w:cs="宋体" w:eastAsia="宋体" w:hint="default"/>
          <w:spacing w:val="-42"/>
        </w:rPr>
      </w:r>
      <w:r>
        <w:rPr>
          <w:spacing w:val="-2"/>
        </w:rPr>
        <w:t>自动分拣系统、</w:t>
      </w:r>
      <w:r>
        <w:rPr>
          <w:rFonts w:ascii="宋体" w:hAnsi="宋体" w:cs="宋体" w:eastAsia="宋体" w:hint="default"/>
          <w:spacing w:val="-2"/>
        </w:rPr>
        <w:t>RFID</w:t>
      </w:r>
      <w:r>
        <w:rPr>
          <w:spacing w:val="-2"/>
        </w:rPr>
        <w:t>自助收银机等先后成功上线，推动了时尚行业的供应链数字化进程。通过与品牌商合</w:t>
      </w:r>
      <w:r>
        <w:rPr>
          <w:spacing w:val="-39"/>
        </w:rPr>
        <w:t> </w:t>
      </w:r>
      <w:r>
        <w:rPr>
          <w:spacing w:val="-39"/>
        </w:rPr>
      </w:r>
      <w:r>
        <w:rPr>
          <w:spacing w:val="-2"/>
        </w:rPr>
        <w:t>作共同打造智慧门店，开拓物联网的深层次应用，实现自助收银、试衣间智能一体化等，提升客户满意度</w:t>
      </w:r>
      <w:r>
        <w:rPr>
          <w:spacing w:val="-50"/>
        </w:rPr>
        <w:t> </w:t>
      </w:r>
      <w:r>
        <w:rPr>
          <w:spacing w:val="-50"/>
        </w:rPr>
      </w:r>
      <w:r>
        <w:rPr>
          <w:spacing w:val="-2"/>
        </w:rPr>
        <w:t>的同时搜集准确有效的用户数据，使其通过智能数据更深度地了解市场及用户需求，在助力时尚零售行业</w:t>
      </w:r>
      <w:r>
        <w:rPr>
          <w:spacing w:val="-44"/>
        </w:rPr>
        <w:t> </w:t>
      </w:r>
      <w:r>
        <w:rPr>
          <w:spacing w:val="-44"/>
        </w:rPr>
      </w:r>
      <w:r>
        <w:rPr/>
        <w:t>转型升级、推动产业智能化发展方面，发挥了积极作用。</w:t>
      </w:r>
    </w:p>
    <w:p>
      <w:pPr>
        <w:pStyle w:val="Heading4"/>
        <w:spacing w:line="240" w:lineRule="auto" w:before="29"/>
        <w:ind w:left="575" w:right="1133"/>
        <w:jc w:val="left"/>
        <w:rPr>
          <w:b w:val="0"/>
          <w:bCs w:val="0"/>
        </w:rPr>
      </w:pPr>
      <w:r>
        <w:rPr/>
        <w:t>（四）品牌建设方面</w:t>
      </w:r>
      <w:r>
        <w:rPr>
          <w:b w:val="0"/>
          <w:bCs w:val="0"/>
        </w:rPr>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Heading5"/>
        <w:spacing w:line="350" w:lineRule="auto" w:before="0"/>
        <w:ind w:right="1133" w:firstLine="420"/>
        <w:jc w:val="left"/>
      </w:pPr>
      <w:r>
        <w:rPr>
          <w:spacing w:val="-2"/>
        </w:rPr>
        <w:t>公司作为国内领先的智慧医疗整体架构承建商，以专业的智慧医疗等级评审项目实施经验、先进的信</w:t>
      </w:r>
      <w:r>
        <w:rPr>
          <w:w w:val="100"/>
        </w:rPr>
        <w:t> </w:t>
      </w:r>
      <w:r>
        <w:rPr/>
        <w:t>息化规划设计理念，实力支持多家医院高质量完成智慧医疗等级评审工作。报告期内，在</w:t>
      </w:r>
      <w:r>
        <w:rPr>
          <w:rFonts w:ascii="宋体" w:hAnsi="宋体" w:cs="宋体" w:eastAsia="宋体" w:hint="default"/>
        </w:rPr>
        <w:t>HIMSS</w:t>
      </w:r>
      <w:r>
        <w:rPr/>
        <w:t>评审项目</w:t>
      </w:r>
      <w:r>
        <w:rPr>
          <w:w w:val="100"/>
        </w:rPr>
        <w:t> </w:t>
      </w:r>
      <w:r>
        <w:rPr/>
        <w:t>上，公司助力复旦大学附属儿科医院、昆明市儿童医院分别通过</w:t>
      </w:r>
      <w:r>
        <w:rPr>
          <w:rFonts w:ascii="宋体" w:hAnsi="宋体" w:cs="宋体" w:eastAsia="宋体" w:hint="default"/>
        </w:rPr>
        <w:t>HIMSS</w:t>
      </w:r>
      <w:r>
        <w:rPr>
          <w:rFonts w:ascii="宋体" w:hAnsi="宋体" w:cs="宋体" w:eastAsia="宋体" w:hint="default"/>
          <w:spacing w:val="-5"/>
        </w:rPr>
        <w:t> </w:t>
      </w:r>
      <w:r>
        <w:rPr>
          <w:rFonts w:ascii="宋体" w:hAnsi="宋体" w:cs="宋体" w:eastAsia="宋体" w:hint="default"/>
        </w:rPr>
        <w:t>EMRAM</w:t>
      </w:r>
      <w:r>
        <w:rPr/>
        <w:t>（住院和急诊）七级评审，</w:t>
      </w:r>
      <w:r>
        <w:rPr>
          <w:w w:val="100"/>
        </w:rPr>
        <w:t> </w:t>
      </w:r>
      <w:r>
        <w:rPr>
          <w:spacing w:val="-2"/>
        </w:rPr>
        <w:t>助力清华大学附属垂杨柳医院、广州市妇女儿童医疗中心增城院区、北京市健宫医院、新疆医科大学第一</w:t>
      </w:r>
      <w:r>
        <w:rPr>
          <w:spacing w:val="-45"/>
        </w:rPr>
        <w:t> </w:t>
      </w:r>
      <w:r>
        <w:rPr>
          <w:spacing w:val="-45"/>
        </w:rPr>
      </w:r>
      <w:r>
        <w:rPr/>
        <w:t>附属医院昌吉分院分别通过</w:t>
      </w:r>
      <w:r>
        <w:rPr>
          <w:rFonts w:ascii="宋体" w:hAnsi="宋体" w:cs="宋体" w:eastAsia="宋体" w:hint="default"/>
        </w:rPr>
        <w:t>HIMSS</w:t>
      </w:r>
      <w:r>
        <w:rPr/>
        <w:t>六级评审；在互联互通测评项目上，公司助力首都医科大学宣武医院、</w:t>
      </w:r>
      <w:r>
        <w:rPr>
          <w:w w:val="100"/>
        </w:rPr>
        <w:t> </w:t>
      </w:r>
      <w:r>
        <w:rPr>
          <w:spacing w:val="-2"/>
        </w:rPr>
        <w:t>南京鼓楼医院、苏北人民医院分别通过了四级甲等测评；在电子病历应用分级评价项目上，公司助力苏北</w:t>
      </w:r>
      <w:r>
        <w:rPr>
          <w:spacing w:val="-45"/>
        </w:rPr>
        <w:t> </w:t>
      </w:r>
      <w:r>
        <w:rPr>
          <w:spacing w:val="-45"/>
        </w:rPr>
      </w:r>
      <w:r>
        <w:rPr>
          <w:spacing w:val="-2"/>
        </w:rPr>
        <w:t>人民医院通过了五级评审，同时还有一批医院客户的六级评审、五级评审正在紧锣密鼓进行中。上述多起</w:t>
      </w:r>
      <w:r>
        <w:rPr>
          <w:spacing w:val="-43"/>
        </w:rPr>
        <w:t> </w:t>
      </w:r>
      <w:r>
        <w:rPr>
          <w:spacing w:val="-43"/>
        </w:rPr>
      </w:r>
      <w:r>
        <w:rPr/>
        <w:t>典范项目的实施，得到了医院客户及行业同仁的高度认可，为公司进一步树立了良好的品牌优势。</w:t>
      </w:r>
    </w:p>
    <w:p>
      <w:pPr>
        <w:pStyle w:val="Heading5"/>
        <w:spacing w:line="350" w:lineRule="auto" w:before="27"/>
        <w:ind w:right="1126" w:firstLine="420"/>
        <w:jc w:val="both"/>
      </w:pPr>
      <w:r>
        <w:rPr>
          <w:spacing w:val="-2"/>
        </w:rPr>
        <w:t>报告期内，经过英特尔美国总部的评审，公司正式成为英特尔物联网生态合作伙伴，将在时尚零售领</w:t>
      </w:r>
      <w:r>
        <w:rPr>
          <w:w w:val="100"/>
        </w:rPr>
        <w:t> </w:t>
      </w:r>
      <w:r>
        <w:rPr>
          <w:spacing w:val="-2"/>
        </w:rPr>
        <w:t>域与英特尔加深合作、资源互补，共同推动零售行业透明供应链管理再上新台阶；公司全资子公司思创汇</w:t>
      </w:r>
      <w:r>
        <w:rPr>
          <w:spacing w:val="-44"/>
        </w:rPr>
        <w:t> </w:t>
      </w:r>
      <w:r>
        <w:rPr>
          <w:spacing w:val="-44"/>
        </w:rPr>
      </w:r>
      <w:r>
        <w:rPr>
          <w:spacing w:val="-2"/>
        </w:rPr>
        <w:t>联也通过了华为的“新供应商认证”成为其合格供应商，有助于公司在物联网领域扩大市场规模，提升行</w:t>
      </w:r>
      <w:r>
        <w:rPr>
          <w:spacing w:val="-43"/>
        </w:rPr>
        <w:t> </w:t>
      </w:r>
      <w:r>
        <w:rPr>
          <w:spacing w:val="-43"/>
        </w:rPr>
      </w:r>
      <w:r>
        <w:rPr/>
        <w:t>业影响力。</w:t>
      </w:r>
    </w:p>
    <w:p>
      <w:pPr>
        <w:pStyle w:val="Heading5"/>
        <w:spacing w:line="350" w:lineRule="auto" w:before="29"/>
        <w:ind w:right="1133" w:firstLine="420"/>
        <w:jc w:val="left"/>
      </w:pPr>
      <w:r>
        <w:rPr>
          <w:spacing w:val="-2"/>
        </w:rPr>
        <w:t>报告期内，公司在智慧医疗、物联网、互联网数据应用等领域获得的主要荣誉如下：公司凭借出色的</w:t>
      </w:r>
      <w:r>
        <w:rPr>
          <w:w w:val="100"/>
        </w:rPr>
        <w:t> </w:t>
      </w:r>
      <w:r>
        <w:rPr/>
        <w:t>综合实力，入选《互联网周刊》联合</w:t>
      </w:r>
      <w:r>
        <w:rPr>
          <w:rFonts w:ascii="宋体" w:hAnsi="宋体" w:cs="宋体" w:eastAsia="宋体" w:hint="default"/>
        </w:rPr>
        <w:t>eNet</w:t>
      </w:r>
      <w:r>
        <w:rPr/>
        <w:t>研究院发布的“</w:t>
      </w:r>
      <w:r>
        <w:rPr>
          <w:rFonts w:ascii="宋体" w:hAnsi="宋体" w:cs="宋体" w:eastAsia="宋体" w:hint="default"/>
        </w:rPr>
        <w:t>2018</w:t>
      </w:r>
      <w:r>
        <w:rPr/>
        <w:t>物联网企业</w:t>
      </w:r>
      <w:r>
        <w:rPr>
          <w:rFonts w:ascii="宋体" w:hAnsi="宋体" w:cs="宋体" w:eastAsia="宋体" w:hint="default"/>
        </w:rPr>
        <w:t>100</w:t>
      </w:r>
      <w:r>
        <w:rPr/>
        <w:t>强”榜单；浙江省信息化推</w:t>
      </w:r>
      <w:r>
        <w:rPr>
          <w:w w:val="100"/>
        </w:rPr>
        <w:t> </w:t>
      </w:r>
      <w:r>
        <w:rPr/>
        <w:t>进服务中心、浙江省经信智慧城市规划研究院授予全资子公司医惠科技“浙江省智慧城市建设成果优秀</w:t>
      </w:r>
      <w:r>
        <w:rPr>
          <w:w w:val="100"/>
        </w:rPr>
        <w:t> </w:t>
      </w:r>
      <w:r>
        <w:rPr/>
        <w:t>奖”；中国时尚行业</w:t>
      </w:r>
      <w:r>
        <w:rPr>
          <w:rFonts w:ascii="宋体" w:hAnsi="宋体" w:cs="宋体" w:eastAsia="宋体" w:hint="default"/>
        </w:rPr>
        <w:t>CIO</w:t>
      </w:r>
      <w:r>
        <w:rPr/>
        <w:t>联盟授予公司“</w:t>
      </w:r>
      <w:r>
        <w:rPr>
          <w:rFonts w:ascii="宋体" w:hAnsi="宋体" w:cs="宋体" w:eastAsia="宋体" w:hint="default"/>
        </w:rPr>
        <w:t>2017</w:t>
      </w:r>
      <w:r>
        <w:rPr/>
        <w:t>中国时尚行业信息化值得信赖产品奖”；中国连锁经营协会</w:t>
      </w:r>
      <w:r>
        <w:rPr>
          <w:w w:val="100"/>
        </w:rPr>
        <w:t> </w:t>
      </w:r>
      <w:r>
        <w:rPr/>
        <w:t>授予公司“</w:t>
      </w:r>
      <w:r>
        <w:rPr>
          <w:rFonts w:ascii="宋体" w:hAnsi="宋体" w:cs="宋体" w:eastAsia="宋体" w:hint="default"/>
        </w:rPr>
        <w:t>2018</w:t>
      </w:r>
      <w:r>
        <w:rPr/>
        <w:t>中国零售技术创新奖”；中国物联网产业应用联盟授予公司子公司中瑞思创“</w:t>
      </w:r>
      <w:r>
        <w:rPr>
          <w:rFonts w:ascii="宋体" w:hAnsi="宋体" w:cs="宋体" w:eastAsia="宋体" w:hint="default"/>
        </w:rPr>
        <w:t>2017</w:t>
      </w:r>
      <w:r>
        <w:rPr/>
        <w:t>中国</w:t>
      </w:r>
      <w:r>
        <w:rPr>
          <w:spacing w:val="-3"/>
          <w:w w:val="100"/>
        </w:rPr>
        <w:t> </w:t>
      </w:r>
      <w:r>
        <w:rPr>
          <w:rFonts w:ascii="宋体" w:hAnsi="宋体" w:cs="宋体" w:eastAsia="宋体" w:hint="default"/>
          <w:spacing w:val="-2"/>
        </w:rPr>
        <w:t>RFID</w:t>
      </w:r>
      <w:r>
        <w:rPr>
          <w:spacing w:val="-2"/>
        </w:rPr>
        <w:t>行业最有影响力成功应用奖”；中国通信工业协会物联网应用分会授予公司子公司中科思创“</w:t>
      </w:r>
      <w:r>
        <w:rPr>
          <w:rFonts w:ascii="宋体" w:hAnsi="宋体" w:cs="宋体" w:eastAsia="宋体" w:hint="default"/>
          <w:spacing w:val="-2"/>
        </w:rPr>
        <w:t>2018</w:t>
      </w:r>
      <w:r>
        <w:rPr>
          <w:spacing w:val="-2"/>
        </w:rPr>
        <w:t>中</w:t>
      </w:r>
      <w:r>
        <w:rPr>
          <w:spacing w:val="-39"/>
        </w:rPr>
        <w:t> </w:t>
      </w:r>
      <w:r>
        <w:rPr/>
        <w:t>国窄带物联网应用创新奖”；深圳国际物联网博览会（</w:t>
      </w:r>
      <w:r>
        <w:rPr>
          <w:rFonts w:ascii="宋体" w:hAnsi="宋体" w:cs="宋体" w:eastAsia="宋体" w:hint="default"/>
        </w:rPr>
        <w:t>IOTE</w:t>
      </w:r>
      <w:r>
        <w:rPr/>
        <w:t>）组委会授予公司“IOTE</w:t>
      </w:r>
      <w:r>
        <w:rPr>
          <w:spacing w:val="-8"/>
        </w:rPr>
        <w:t> </w:t>
      </w:r>
      <w:r>
        <w:rPr/>
        <w:t>2018‘金奖’创新</w:t>
      </w:r>
      <w:r>
        <w:rPr>
          <w:spacing w:val="-3"/>
          <w:w w:val="100"/>
        </w:rPr>
        <w:t> </w:t>
      </w:r>
      <w:r>
        <w:rPr/>
        <w:t>产品”等。</w:t>
      </w:r>
    </w:p>
    <w:p>
      <w:pPr>
        <w:pStyle w:val="Heading5"/>
        <w:spacing w:line="350" w:lineRule="auto" w:before="27"/>
        <w:ind w:left="573" w:right="1133" w:firstLine="2"/>
        <w:jc w:val="left"/>
      </w:pPr>
      <w:r>
        <w:rPr>
          <w:rFonts w:ascii="宋体" w:hAnsi="宋体" w:cs="宋体" w:eastAsia="宋体" w:hint="default"/>
          <w:b/>
          <w:bCs/>
        </w:rPr>
        <w:t>（五）公司治理方面</w:t>
      </w:r>
      <w:r>
        <w:rPr>
          <w:rFonts w:ascii="宋体" w:hAnsi="宋体" w:cs="宋体" w:eastAsia="宋体" w:hint="default"/>
          <w:b/>
          <w:bCs/>
          <w:w w:val="100"/>
        </w:rPr>
        <w:t> </w:t>
      </w:r>
      <w:r>
        <w:rPr>
          <w:spacing w:val="-2"/>
        </w:rPr>
        <w:t>公司严格按照相关法律法规及监管要求，并结合自身发展情况，建立健全公司内部控制制度，不断完</w:t>
      </w:r>
    </w:p>
    <w:p>
      <w:pPr>
        <w:pStyle w:val="Heading5"/>
        <w:spacing w:line="350" w:lineRule="auto" w:before="29"/>
        <w:ind w:right="0"/>
        <w:jc w:val="left"/>
      </w:pPr>
      <w:r>
        <w:rPr>
          <w:spacing w:val="-5"/>
        </w:rPr>
        <w:t>善公司治理结构。公司股东大会、董事会及董事会专门委员会、监事会均按照相关法律法规和《公司章程》</w:t>
      </w:r>
      <w:r>
        <w:rPr>
          <w:spacing w:val="-10"/>
        </w:rPr>
        <w:t> </w:t>
      </w:r>
      <w:r>
        <w:rPr>
          <w:spacing w:val="-10"/>
        </w:rPr>
      </w:r>
      <w:r>
        <w:rPr>
          <w:spacing w:val="-2"/>
        </w:rPr>
        <w:t>规范、有效运行，重点加强风险控制及内部管理。报告期内，公司及时调整业务板块运营机制，落实各核</w:t>
      </w:r>
      <w:r>
        <w:rPr>
          <w:spacing w:val="-43"/>
        </w:rPr>
        <w:t> </w:t>
      </w:r>
      <w:r>
        <w:rPr>
          <w:spacing w:val="-43"/>
        </w:rPr>
      </w:r>
      <w:r>
        <w:rPr>
          <w:spacing w:val="-2"/>
        </w:rPr>
        <w:t>心分子公司目标考核责任制，调整后的组织架构更加扁平化，各业务单元的考核更加清晰，运营效率得到</w:t>
      </w:r>
      <w:r>
        <w:rPr>
          <w:spacing w:val="-44"/>
        </w:rPr>
        <w:t> </w:t>
      </w:r>
      <w:r>
        <w:rPr>
          <w:spacing w:val="-44"/>
        </w:rPr>
      </w:r>
      <w:r>
        <w:rPr>
          <w:spacing w:val="-2"/>
        </w:rPr>
        <w:t>进一步提升。报告期内，公司顺利完成换届选举，产生了公司第四届董事会、监事会，同时董事会聘任了</w:t>
      </w:r>
      <w:r>
        <w:rPr>
          <w:spacing w:val="-43"/>
        </w:rPr>
        <w:t> </w:t>
      </w:r>
      <w:r>
        <w:rPr>
          <w:spacing w:val="-43"/>
        </w:rPr>
      </w:r>
      <w:r>
        <w:rPr>
          <w:spacing w:val="-2"/>
        </w:rPr>
        <w:t>新一届经营管理层领导班子，使公司治理结构更趋于合理，保障了三会规范运行，为实现公司的战略目标</w:t>
      </w:r>
      <w:r>
        <w:rPr>
          <w:spacing w:val="-43"/>
        </w:rPr>
        <w:t> </w:t>
      </w:r>
      <w:r>
        <w:rPr>
          <w:spacing w:val="-43"/>
        </w:rPr>
      </w:r>
      <w:r>
        <w:rPr/>
        <w:t>发挥积极的作用。</w:t>
      </w:r>
    </w:p>
    <w:p>
      <w:pPr>
        <w:pStyle w:val="Heading5"/>
        <w:spacing w:line="348" w:lineRule="auto" w:before="29"/>
        <w:ind w:left="573" w:right="1133" w:firstLine="2"/>
        <w:jc w:val="left"/>
      </w:pPr>
      <w:r>
        <w:rPr>
          <w:rFonts w:ascii="宋体" w:hAnsi="宋体" w:cs="宋体" w:eastAsia="宋体" w:hint="default"/>
          <w:b/>
          <w:bCs/>
        </w:rPr>
        <w:t>（六）人才建设方面</w:t>
      </w:r>
      <w:r>
        <w:rPr>
          <w:rFonts w:ascii="宋体" w:hAnsi="宋体" w:cs="宋体" w:eastAsia="宋体" w:hint="default"/>
          <w:b/>
          <w:bCs/>
          <w:w w:val="100"/>
        </w:rPr>
        <w:t> </w:t>
      </w:r>
      <w:r>
        <w:rPr>
          <w:spacing w:val="-2"/>
        </w:rPr>
        <w:t>报告期内，公司优化运营机制，提升经营管理活力，同时加强企业文化建设，吸引更多优秀人才。公</w:t>
      </w:r>
    </w:p>
    <w:p>
      <w:pPr>
        <w:pStyle w:val="Heading5"/>
        <w:spacing w:line="350" w:lineRule="auto" w:before="31"/>
        <w:ind w:right="1126"/>
        <w:jc w:val="both"/>
      </w:pPr>
      <w:r>
        <w:rPr>
          <w:spacing w:val="-2"/>
        </w:rPr>
        <w:t>司人力资源配合公司的组织架构，进一步完善定岗定编等工作；拓宽招聘渠道，优化招聘流程；建立内部</w:t>
      </w:r>
      <w:r>
        <w:rPr>
          <w:spacing w:val="-47"/>
        </w:rPr>
        <w:t> </w:t>
      </w:r>
      <w:r>
        <w:rPr>
          <w:spacing w:val="-47"/>
        </w:rPr>
      </w:r>
      <w:r>
        <w:rPr>
          <w:spacing w:val="-2"/>
        </w:rPr>
        <w:t>培训机制，制定培训计划并逐项实施。报告期内，公司根据组织架构和人员调整后的实际情况，进一步加</w:t>
      </w:r>
      <w:r>
        <w:rPr>
          <w:spacing w:val="-47"/>
        </w:rPr>
        <w:t> </w:t>
      </w:r>
      <w:r>
        <w:rPr>
          <w:spacing w:val="-47"/>
        </w:rPr>
      </w:r>
      <w:r>
        <w:rPr>
          <w:spacing w:val="-2"/>
        </w:rPr>
        <w:t>强了商业智能业务与智慧医疗业务的文化融合，并通过推行内部创业等激励方式，实现员工个人利益与公</w:t>
      </w:r>
      <w:r>
        <w:rPr>
          <w:spacing w:val="-43"/>
        </w:rPr>
        <w:t> </w:t>
      </w:r>
      <w:r>
        <w:rPr>
          <w:spacing w:val="-43"/>
        </w:rPr>
      </w:r>
      <w:r>
        <w:rPr>
          <w:spacing w:val="-2"/>
        </w:rPr>
        <w:t>司整体利益共同发展。另外，公司竞拍取得了杭州市滨江区的国有土地使用权，用于建设物联网、平台数</w:t>
      </w:r>
    </w:p>
    <w:p>
      <w:pPr>
        <w:spacing w:after="0" w:line="350" w:lineRule="auto"/>
        <w:jc w:val="both"/>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1133"/>
        <w:jc w:val="left"/>
      </w:pPr>
      <w:r>
        <w:rPr>
          <w:spacing w:val="-2"/>
        </w:rPr>
        <w:t>据交互和人工智能三块核心技术产品的产业化基地大楼，大楼建成后能够有效提升公司整体运营环境和外</w:t>
      </w:r>
      <w:r>
        <w:rPr>
          <w:spacing w:val="-43"/>
        </w:rPr>
        <w:t> </w:t>
      </w:r>
      <w:r>
        <w:rPr>
          <w:spacing w:val="-43"/>
        </w:rPr>
      </w:r>
      <w:r>
        <w:rPr/>
        <w:t>部形象，为员工提供更好的生产研发经营场地，有利于吸引并留住人才，满足日益增长的人才需求。</w:t>
      </w:r>
    </w:p>
    <w:p>
      <w:pPr>
        <w:spacing w:line="240" w:lineRule="auto" w:before="6"/>
        <w:rPr>
          <w:rFonts w:ascii="宋体" w:hAnsi="宋体" w:cs="宋体" w:eastAsia="宋体" w:hint="default"/>
          <w:sz w:val="16"/>
          <w:szCs w:val="16"/>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9"/>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1,294,633,555.55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1,112,251,720.34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16.40%</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731,613,625.90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698,773,328.65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62.83%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563,019,929.65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413,478,391.69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731,613,625.90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698,773,328.65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62.83%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563,019,929.65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413,478,391.69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422,969,662.37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429,860,231.07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871,663,893.18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682,391,489.27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61.35%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4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40" w:bottom="1160" w:left="980" w:right="0"/>
          <w:cols w:num="2" w:equalWidth="0">
            <w:col w:w="3213" w:space="56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731,613,625.90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502,476,658.59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563,019,929.65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239,219,189.87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731,613,625.90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502,476,658.59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563,019,929.65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239,219,189.87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422,969,662.37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271,092,661.55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871,663,893.18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470,603,186.90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行业分类</w:t>
      </w:r>
    </w:p>
    <w:p>
      <w:pPr>
        <w:pStyle w:val="BodyText"/>
        <w:spacing w:line="240" w:lineRule="auto" w:before="117"/>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387,502,551.85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343,499,818.84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44,464,051.58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47,084,892.61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70,510,055.16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68,532,465.81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商业智能</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502,476,658.59</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459,117,177.26</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硬件及外包服务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166,418,785.83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133,989,481.89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49,197,637.79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26,331,987.58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23,602,766.25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16,792,294.84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智慧医疗</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239,219,189.87</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177,113,764.32</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0"/>
        <w:rPr>
          <w:rFonts w:ascii="宋体" w:hAnsi="宋体" w:cs="宋体" w:eastAsia="宋体" w:hint="default"/>
          <w:sz w:val="12"/>
          <w:szCs w:val="12"/>
        </w:rPr>
      </w:pPr>
    </w:p>
    <w:p>
      <w:pPr>
        <w:pStyle w:val="Heading5"/>
        <w:spacing w:line="350" w:lineRule="auto" w:before="0"/>
        <w:ind w:right="1133" w:firstLine="420"/>
        <w:jc w:val="left"/>
      </w:pPr>
      <w:r>
        <w:rPr>
          <w:rFonts w:ascii="宋体" w:hAnsi="宋体" w:cs="宋体" w:eastAsia="宋体" w:hint="default"/>
          <w:spacing w:val="-2"/>
        </w:rPr>
        <w:t>1</w:t>
      </w:r>
      <w:r>
        <w:rPr>
          <w:spacing w:val="-2"/>
        </w:rPr>
        <w:t>、报告期内，公司全资子公司医惠科技认缴</w:t>
      </w:r>
      <w:r>
        <w:rPr>
          <w:rFonts w:ascii="宋体" w:hAnsi="宋体" w:cs="宋体" w:eastAsia="宋体" w:hint="default"/>
          <w:spacing w:val="-2"/>
        </w:rPr>
        <w:t>490</w:t>
      </w:r>
      <w:r>
        <w:rPr>
          <w:spacing w:val="-2"/>
        </w:rPr>
        <w:t>万元人民币参与设立江苏瑞康医惠医疗投资管理有限</w:t>
      </w:r>
      <w:r>
        <w:rPr>
          <w:w w:val="100"/>
        </w:rPr>
        <w:t> </w:t>
      </w:r>
      <w:r>
        <w:rPr/>
        <w:t>公司，医惠科技持有其</w:t>
      </w:r>
      <w:r>
        <w:rPr>
          <w:rFonts w:ascii="宋体" w:hAnsi="宋体" w:cs="宋体" w:eastAsia="宋体" w:hint="default"/>
        </w:rPr>
        <w:t>49%</w:t>
      </w:r>
      <w:r>
        <w:rPr/>
        <w:t>股权，根据《江苏瑞康医惠医疗投资管理有限公司章程》约定，该公司董事会</w:t>
      </w:r>
      <w:r>
        <w:rPr>
          <w:w w:val="100"/>
        </w:rPr>
        <w:t> </w:t>
      </w:r>
      <w:r>
        <w:rPr>
          <w:spacing w:val="-2"/>
        </w:rPr>
        <w:t>成员为</w:t>
      </w:r>
      <w:r>
        <w:rPr>
          <w:rFonts w:ascii="宋体" w:hAnsi="宋体" w:cs="宋体" w:eastAsia="宋体" w:hint="default"/>
          <w:spacing w:val="-2"/>
        </w:rPr>
        <w:t>5</w:t>
      </w:r>
      <w:r>
        <w:rPr>
          <w:spacing w:val="-2"/>
        </w:rPr>
        <w:t>人，医惠科技推荐</w:t>
      </w:r>
      <w:r>
        <w:rPr>
          <w:rFonts w:ascii="宋体" w:hAnsi="宋体" w:cs="宋体" w:eastAsia="宋体" w:hint="default"/>
          <w:spacing w:val="-2"/>
        </w:rPr>
        <w:t>3</w:t>
      </w:r>
      <w:r>
        <w:rPr>
          <w:spacing w:val="-2"/>
        </w:rPr>
        <w:t>人，董事会所做决议须经全体董事的过半数同意通过。因而，医惠科技拥有对</w:t>
      </w:r>
      <w:r>
        <w:rPr>
          <w:spacing w:val="-44"/>
        </w:rPr>
        <w:t> </w:t>
      </w:r>
      <w:r>
        <w:rPr>
          <w:spacing w:val="-44"/>
        </w:rPr>
      </w:r>
      <w:r>
        <w:rPr/>
        <w:t>该公司控制权，自</w:t>
      </w:r>
      <w:r>
        <w:rPr>
          <w:rFonts w:ascii="宋体" w:hAnsi="宋体" w:cs="宋体" w:eastAsia="宋体" w:hint="default"/>
        </w:rPr>
        <w:t>2018</w:t>
      </w:r>
      <w:r>
        <w:rPr/>
        <w:t>年</w:t>
      </w:r>
      <w:r>
        <w:rPr>
          <w:rFonts w:ascii="宋体" w:hAnsi="宋体" w:cs="宋体" w:eastAsia="宋体" w:hint="default"/>
        </w:rPr>
        <w:t>1</w:t>
      </w:r>
      <w:r>
        <w:rPr/>
        <w:t>月纳入公司合并报表范围。</w:t>
      </w:r>
    </w:p>
    <w:p>
      <w:pPr>
        <w:pStyle w:val="Heading5"/>
        <w:spacing w:line="350" w:lineRule="auto" w:before="29"/>
        <w:ind w:right="0" w:firstLine="420"/>
        <w:jc w:val="left"/>
      </w:pPr>
      <w:r>
        <w:rPr>
          <w:rFonts w:ascii="宋体" w:hAnsi="宋体" w:cs="宋体" w:eastAsia="宋体" w:hint="default"/>
          <w:spacing w:val="-5"/>
        </w:rPr>
        <w:t>2</w:t>
      </w:r>
      <w:r>
        <w:rPr>
          <w:spacing w:val="-5"/>
        </w:rPr>
        <w:t>、报告期内，公司全资子公司思创汇联认缴</w:t>
      </w:r>
      <w:r>
        <w:rPr>
          <w:rFonts w:ascii="宋体" w:hAnsi="宋体" w:cs="宋体" w:eastAsia="宋体" w:hint="default"/>
          <w:spacing w:val="-5"/>
        </w:rPr>
        <w:t>300</w:t>
      </w:r>
      <w:r>
        <w:rPr>
          <w:spacing w:val="-5"/>
        </w:rPr>
        <w:t>万元人民币参与设立杭州中瑞思创智能科技有限公司，</w:t>
      </w:r>
      <w:r>
        <w:rPr>
          <w:w w:val="100"/>
        </w:rPr>
        <w:t> </w:t>
      </w:r>
      <w:r>
        <w:rPr/>
        <w:t>思创汇联持有其</w:t>
      </w:r>
      <w:r>
        <w:rPr>
          <w:rFonts w:ascii="宋体" w:hAnsi="宋体" w:cs="宋体" w:eastAsia="宋体" w:hint="default"/>
        </w:rPr>
        <w:t>60%</w:t>
      </w:r>
      <w:r>
        <w:rPr/>
        <w:t>股权，杭州中瑞思创智能科技有限公司自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p>
    <w:p>
      <w:pPr>
        <w:pStyle w:val="Heading5"/>
        <w:spacing w:line="350" w:lineRule="auto" w:before="27"/>
        <w:ind w:right="1133" w:firstLine="420"/>
        <w:jc w:val="left"/>
      </w:pPr>
      <w:r>
        <w:rPr>
          <w:rFonts w:ascii="宋体" w:hAnsi="宋体" w:cs="宋体" w:eastAsia="宋体" w:hint="default"/>
          <w:spacing w:val="-2"/>
        </w:rPr>
        <w:t>3</w:t>
      </w:r>
      <w:r>
        <w:rPr>
          <w:spacing w:val="-2"/>
        </w:rPr>
        <w:t>、报告期内，公司控股子公司琅玕科技认缴</w:t>
      </w:r>
      <w:r>
        <w:rPr>
          <w:rFonts w:ascii="宋体" w:hAnsi="宋体" w:cs="宋体" w:eastAsia="宋体" w:hint="default"/>
          <w:spacing w:val="-2"/>
        </w:rPr>
        <w:t>300</w:t>
      </w:r>
      <w:r>
        <w:rPr>
          <w:spacing w:val="-2"/>
        </w:rPr>
        <w:t>万元人民币设立杭州好睡眠医疗投资管理有限公司，</w:t>
      </w:r>
      <w:r>
        <w:rPr>
          <w:w w:val="100"/>
        </w:rPr>
        <w:t> </w:t>
      </w:r>
      <w:r>
        <w:rPr/>
        <w:t>琅玕科技持有其</w:t>
      </w:r>
      <w:r>
        <w:rPr>
          <w:rFonts w:ascii="宋体" w:hAnsi="宋体" w:cs="宋体" w:eastAsia="宋体" w:hint="default"/>
        </w:rPr>
        <w:t>100%</w:t>
      </w:r>
      <w:r>
        <w:rPr/>
        <w:t>股权，杭州好睡眠医疗投资管理有限公司自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p>
    <w:p>
      <w:pPr>
        <w:pStyle w:val="Heading5"/>
        <w:spacing w:line="348" w:lineRule="auto" w:before="29"/>
        <w:ind w:right="1126" w:firstLine="420"/>
        <w:jc w:val="both"/>
      </w:pPr>
      <w:r>
        <w:rPr>
          <w:rFonts w:ascii="宋体" w:hAnsi="宋体" w:cs="宋体" w:eastAsia="宋体" w:hint="default"/>
          <w:spacing w:val="-2"/>
        </w:rPr>
        <w:t>4</w:t>
      </w:r>
      <w:r>
        <w:rPr>
          <w:spacing w:val="-2"/>
        </w:rPr>
        <w:t>、报告期内，公司控股子公司琅玕科技全资子公司杭州好睡眠医疗投资管理有限公司认缴</w:t>
      </w:r>
      <w:r>
        <w:rPr>
          <w:rFonts w:ascii="宋体" w:hAnsi="宋体" w:cs="宋体" w:eastAsia="宋体" w:hint="default"/>
          <w:spacing w:val="-2"/>
        </w:rPr>
        <w:t>100</w:t>
      </w:r>
      <w:r>
        <w:rPr>
          <w:spacing w:val="-2"/>
        </w:rPr>
        <w:t>万元人</w:t>
      </w:r>
      <w:r>
        <w:rPr>
          <w:w w:val="100"/>
        </w:rPr>
        <w:t> </w:t>
      </w:r>
      <w:r>
        <w:rPr>
          <w:spacing w:val="-2"/>
        </w:rPr>
        <w:t>民币设立杭州思力普诊所有限公司，杭州好睡眠医疗投资管理有限公司持有其</w:t>
      </w:r>
      <w:r>
        <w:rPr>
          <w:rFonts w:ascii="宋体" w:hAnsi="宋体" w:cs="宋体" w:eastAsia="宋体" w:hint="default"/>
          <w:spacing w:val="-2"/>
        </w:rPr>
        <w:t>100%</w:t>
      </w:r>
      <w:r>
        <w:rPr>
          <w:spacing w:val="-2"/>
        </w:rPr>
        <w:t>股权，杭州思力普诊所</w:t>
      </w:r>
      <w:r>
        <w:rPr>
          <w:spacing w:val="-38"/>
        </w:rPr>
        <w:t> </w:t>
      </w:r>
      <w:r>
        <w:rPr>
          <w:spacing w:val="-38"/>
        </w:rPr>
      </w:r>
      <w:r>
        <w:rPr/>
        <w:t>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p>
    <w:p>
      <w:pPr>
        <w:pStyle w:val="Heading5"/>
        <w:spacing w:line="348" w:lineRule="auto" w:before="31"/>
        <w:ind w:right="1133" w:firstLine="420"/>
        <w:jc w:val="left"/>
      </w:pPr>
      <w:r>
        <w:rPr>
          <w:rFonts w:ascii="宋体" w:hAnsi="宋体" w:cs="宋体" w:eastAsia="宋体" w:hint="default"/>
          <w:spacing w:val="-2"/>
        </w:rPr>
        <w:t>5</w:t>
      </w:r>
      <w:r>
        <w:rPr>
          <w:spacing w:val="-2"/>
        </w:rPr>
        <w:t>、报告期内，公司全资子公司医惠科技认缴</w:t>
      </w:r>
      <w:r>
        <w:rPr>
          <w:rFonts w:ascii="宋体" w:hAnsi="宋体" w:cs="宋体" w:eastAsia="宋体" w:hint="default"/>
          <w:spacing w:val="-2"/>
        </w:rPr>
        <w:t>150</w:t>
      </w:r>
      <w:r>
        <w:rPr>
          <w:spacing w:val="-2"/>
        </w:rPr>
        <w:t>万元人民币设立无锡市仁医医疗人工智能研究院，医</w:t>
      </w:r>
      <w:r>
        <w:rPr>
          <w:w w:val="100"/>
        </w:rPr>
        <w:t> </w:t>
      </w:r>
      <w:r>
        <w:rPr/>
        <w:t>惠科技持有其</w:t>
      </w:r>
      <w:r>
        <w:rPr>
          <w:rFonts w:ascii="宋体" w:hAnsi="宋体" w:cs="宋体" w:eastAsia="宋体" w:hint="default"/>
        </w:rPr>
        <w:t>100%</w:t>
      </w:r>
      <w:r>
        <w:rPr/>
        <w:t>股权，无锡市仁医医疗人工智能研究院自</w:t>
      </w:r>
      <w:r>
        <w:rPr>
          <w:rFonts w:ascii="宋体" w:hAnsi="宋体" w:cs="宋体" w:eastAsia="宋体" w:hint="default"/>
        </w:rPr>
        <w:t>2018</w:t>
      </w:r>
      <w:r>
        <w:rPr/>
        <w:t>年</w:t>
      </w:r>
      <w:r>
        <w:rPr>
          <w:rFonts w:ascii="宋体" w:hAnsi="宋体" w:cs="宋体" w:eastAsia="宋体" w:hint="default"/>
        </w:rPr>
        <w:t>2</w:t>
      </w:r>
      <w:r>
        <w:rPr/>
        <w:t>月纳入公司合并报表范围。</w:t>
      </w:r>
    </w:p>
    <w:p>
      <w:pPr>
        <w:pStyle w:val="Heading5"/>
        <w:spacing w:line="350" w:lineRule="auto" w:before="31"/>
        <w:ind w:right="1133" w:firstLine="420"/>
        <w:jc w:val="left"/>
      </w:pPr>
      <w:r>
        <w:rPr>
          <w:rFonts w:ascii="宋体" w:hAnsi="宋体" w:cs="宋体" w:eastAsia="宋体" w:hint="default"/>
          <w:spacing w:val="-2"/>
        </w:rPr>
        <w:t>6</w:t>
      </w:r>
      <w:r>
        <w:rPr>
          <w:spacing w:val="-2"/>
        </w:rPr>
        <w:t>、报告期内，公司全资子公司医惠科技认缴</w:t>
      </w:r>
      <w:r>
        <w:rPr>
          <w:rFonts w:ascii="宋体" w:hAnsi="宋体" w:cs="宋体" w:eastAsia="宋体" w:hint="default"/>
          <w:spacing w:val="-2"/>
        </w:rPr>
        <w:t>375</w:t>
      </w:r>
      <w:r>
        <w:rPr>
          <w:spacing w:val="-2"/>
        </w:rPr>
        <w:t>万元人民币参与设立杭州联源智能科技有限公司，医</w:t>
      </w:r>
      <w:r>
        <w:rPr>
          <w:w w:val="100"/>
        </w:rPr>
        <w:t> </w:t>
      </w:r>
      <w:r>
        <w:rPr/>
        <w:t>惠科技持有其</w:t>
      </w:r>
      <w:r>
        <w:rPr>
          <w:rFonts w:ascii="宋体" w:hAnsi="宋体" w:cs="宋体" w:eastAsia="宋体" w:hint="default"/>
        </w:rPr>
        <w:t>75%</w:t>
      </w:r>
      <w:r>
        <w:rPr/>
        <w:t>股权，杭州联源智能科技有限公司自</w:t>
      </w:r>
      <w:r>
        <w:rPr>
          <w:rFonts w:ascii="宋体" w:hAnsi="宋体" w:cs="宋体" w:eastAsia="宋体" w:hint="default"/>
        </w:rPr>
        <w:t>2018</w:t>
      </w:r>
      <w:r>
        <w:rPr/>
        <w:t>年</w:t>
      </w:r>
      <w:r>
        <w:rPr>
          <w:rFonts w:ascii="宋体" w:hAnsi="宋体" w:cs="宋体" w:eastAsia="宋体" w:hint="default"/>
        </w:rPr>
        <w:t>5</w:t>
      </w:r>
      <w:r>
        <w:rPr/>
        <w:t>月纳入公司合并报表范围。</w:t>
      </w:r>
    </w:p>
    <w:p>
      <w:pPr>
        <w:pStyle w:val="Heading5"/>
        <w:spacing w:line="350" w:lineRule="auto" w:before="27"/>
        <w:ind w:right="1133" w:firstLine="420"/>
        <w:jc w:val="left"/>
      </w:pPr>
      <w:r>
        <w:rPr>
          <w:rFonts w:ascii="宋体" w:hAnsi="宋体" w:cs="宋体" w:eastAsia="宋体" w:hint="default"/>
          <w:spacing w:val="-2"/>
        </w:rPr>
        <w:t>7</w:t>
      </w:r>
      <w:r>
        <w:rPr>
          <w:spacing w:val="-2"/>
        </w:rPr>
        <w:t>、报告期内，公司全资子公司医惠科技认缴</w:t>
      </w:r>
      <w:r>
        <w:rPr>
          <w:rFonts w:ascii="宋体" w:hAnsi="宋体" w:cs="宋体" w:eastAsia="宋体" w:hint="default"/>
          <w:spacing w:val="-2"/>
        </w:rPr>
        <w:t>300</w:t>
      </w:r>
      <w:r>
        <w:rPr>
          <w:spacing w:val="-2"/>
        </w:rPr>
        <w:t>万元人民币参与设立医惠科技（南京）有限公司，医</w:t>
      </w:r>
      <w:r>
        <w:rPr>
          <w:w w:val="100"/>
        </w:rPr>
        <w:t> </w:t>
      </w:r>
      <w:r>
        <w:rPr/>
        <w:t>惠科技持有其</w:t>
      </w:r>
      <w:r>
        <w:rPr>
          <w:rFonts w:ascii="宋体" w:hAnsi="宋体" w:cs="宋体" w:eastAsia="宋体" w:hint="default"/>
        </w:rPr>
        <w:t>60%</w:t>
      </w:r>
      <w:r>
        <w:rPr/>
        <w:t>股权，医惠科技（南京）有限公司自</w:t>
      </w:r>
      <w:r>
        <w:rPr>
          <w:rFonts w:ascii="宋体" w:hAnsi="宋体" w:cs="宋体" w:eastAsia="宋体" w:hint="default"/>
        </w:rPr>
        <w:t>2018</w:t>
      </w:r>
      <w:r>
        <w:rPr/>
        <w:t>年</w:t>
      </w:r>
      <w:r>
        <w:rPr>
          <w:rFonts w:ascii="宋体" w:hAnsi="宋体" w:cs="宋体" w:eastAsia="宋体" w:hint="default"/>
        </w:rPr>
        <w:t>10</w:t>
      </w:r>
      <w:r>
        <w:rPr/>
        <w:t>月纳入公司合并报表范围。</w:t>
      </w:r>
    </w:p>
    <w:p>
      <w:pPr>
        <w:pStyle w:val="Heading5"/>
        <w:spacing w:line="348" w:lineRule="auto" w:before="29"/>
        <w:ind w:right="1125" w:firstLine="420"/>
        <w:jc w:val="left"/>
      </w:pPr>
      <w:r>
        <w:rPr>
          <w:rFonts w:ascii="宋体" w:hAnsi="宋体" w:cs="宋体" w:eastAsia="宋体" w:hint="default"/>
        </w:rPr>
        <w:t>8</w:t>
      </w:r>
      <w:r>
        <w:rPr/>
        <w:t>、报告期内，公司控股子公司</w:t>
      </w:r>
      <w:r>
        <w:rPr>
          <w:rFonts w:ascii="宋体" w:hAnsi="宋体" w:cs="宋体" w:eastAsia="宋体" w:hint="default"/>
        </w:rPr>
        <w:t>EWELL</w:t>
      </w:r>
      <w:r>
        <w:rPr>
          <w:rFonts w:ascii="宋体" w:hAnsi="宋体" w:cs="宋体" w:eastAsia="宋体" w:hint="default"/>
          <w:spacing w:val="-49"/>
        </w:rPr>
        <w:t> </w:t>
      </w:r>
      <w:r>
        <w:rPr>
          <w:rFonts w:ascii="宋体" w:hAnsi="宋体" w:cs="宋体" w:eastAsia="宋体" w:hint="default"/>
        </w:rPr>
        <w:t>HONGKONG</w:t>
      </w:r>
      <w:r>
        <w:rPr>
          <w:rFonts w:ascii="宋体" w:hAnsi="宋体" w:cs="宋体" w:eastAsia="宋体" w:hint="default"/>
          <w:spacing w:val="-49"/>
        </w:rPr>
        <w:t> </w:t>
      </w:r>
      <w:r>
        <w:rPr>
          <w:rFonts w:ascii="宋体" w:hAnsi="宋体" w:cs="宋体" w:eastAsia="宋体" w:hint="default"/>
        </w:rPr>
        <w:t>LIMITED</w:t>
      </w:r>
      <w:r>
        <w:rPr/>
        <w:t>认缴</w:t>
      </w:r>
      <w:r>
        <w:rPr>
          <w:rFonts w:ascii="宋体" w:hAnsi="宋体" w:cs="宋体" w:eastAsia="宋体" w:hint="default"/>
        </w:rPr>
        <w:t>380</w:t>
      </w:r>
      <w:r>
        <w:rPr/>
        <w:t>万港币收购</w:t>
      </w:r>
      <w:r>
        <w:rPr>
          <w:rFonts w:ascii="宋体" w:hAnsi="宋体" w:cs="宋体" w:eastAsia="宋体" w:hint="default"/>
        </w:rPr>
        <w:t>Sun</w:t>
      </w:r>
      <w:r>
        <w:rPr>
          <w:rFonts w:ascii="宋体" w:hAnsi="宋体" w:cs="宋体" w:eastAsia="宋体" w:hint="default"/>
          <w:spacing w:val="-51"/>
        </w:rPr>
        <w:t> </w:t>
      </w:r>
      <w:r>
        <w:rPr>
          <w:rFonts w:ascii="宋体" w:hAnsi="宋体" w:cs="宋体" w:eastAsia="宋体" w:hint="default"/>
        </w:rPr>
        <w:t>Pacific</w:t>
      </w:r>
      <w:r>
        <w:rPr>
          <w:rFonts w:ascii="宋体" w:hAnsi="宋体" w:cs="宋体" w:eastAsia="宋体" w:hint="default"/>
          <w:spacing w:val="-49"/>
        </w:rPr>
        <w:t> </w:t>
      </w:r>
      <w:r>
        <w:rPr>
          <w:rFonts w:ascii="宋体" w:hAnsi="宋体" w:cs="宋体" w:eastAsia="宋体" w:hint="default"/>
        </w:rPr>
        <w:t>Link</w:t>
      </w:r>
      <w:r>
        <w:rPr>
          <w:rFonts w:ascii="宋体" w:hAnsi="宋体" w:cs="宋体" w:eastAsia="宋体" w:hint="default"/>
          <w:spacing w:val="-49"/>
        </w:rPr>
        <w:t> </w:t>
      </w:r>
      <w:r>
        <w:rPr>
          <w:rFonts w:ascii="宋体" w:hAnsi="宋体" w:cs="宋体" w:eastAsia="宋体" w:hint="default"/>
        </w:rPr>
        <w:t>Limited</w:t>
      </w:r>
      <w:r>
        <w:rPr>
          <w:rFonts w:ascii="宋体" w:hAnsi="宋体" w:cs="宋体" w:eastAsia="宋体" w:hint="default"/>
          <w:w w:val="100"/>
        </w:rPr>
        <w:t> </w:t>
      </w:r>
      <w:r>
        <w:rPr>
          <w:rFonts w:ascii="宋体" w:hAnsi="宋体" w:cs="宋体" w:eastAsia="宋体" w:hint="default"/>
        </w:rPr>
        <w:t>100%</w:t>
      </w:r>
      <w:r>
        <w:rPr/>
        <w:t>股权，</w:t>
      </w:r>
      <w:r>
        <w:rPr>
          <w:rFonts w:ascii="宋体" w:hAnsi="宋体" w:cs="宋体" w:eastAsia="宋体" w:hint="default"/>
        </w:rPr>
        <w:t>Sun Pacific Link</w:t>
      </w:r>
      <w:r>
        <w:rPr>
          <w:rFonts w:ascii="宋体" w:hAnsi="宋体" w:cs="宋体" w:eastAsia="宋体" w:hint="default"/>
          <w:spacing w:val="-7"/>
        </w:rPr>
        <w:t> </w:t>
      </w:r>
      <w:r>
        <w:rPr>
          <w:rFonts w:ascii="宋体" w:hAnsi="宋体" w:cs="宋体" w:eastAsia="宋体" w:hint="default"/>
        </w:rPr>
        <w:t>Limited</w:t>
      </w:r>
      <w:r>
        <w:rPr/>
        <w:t>自</w:t>
      </w:r>
      <w:r>
        <w:rPr>
          <w:rFonts w:ascii="宋体" w:hAnsi="宋体" w:cs="宋体" w:eastAsia="宋体" w:hint="default"/>
        </w:rPr>
        <w:t>2018</w:t>
      </w:r>
      <w:r>
        <w:rPr/>
        <w:t>年</w:t>
      </w:r>
      <w:r>
        <w:rPr>
          <w:rFonts w:ascii="宋体" w:hAnsi="宋体" w:cs="宋体" w:eastAsia="宋体" w:hint="default"/>
        </w:rPr>
        <w:t>11</w:t>
      </w:r>
      <w:r>
        <w:rPr/>
        <w:t>月纳入合并报表范围。</w:t>
      </w:r>
    </w:p>
    <w:p>
      <w:pPr>
        <w:pStyle w:val="Heading5"/>
        <w:spacing w:line="350" w:lineRule="auto" w:before="31"/>
        <w:ind w:right="0" w:firstLine="420"/>
        <w:jc w:val="left"/>
      </w:pPr>
      <w:r>
        <w:rPr>
          <w:rFonts w:ascii="宋体" w:hAnsi="宋体" w:cs="宋体" w:eastAsia="宋体" w:hint="default"/>
          <w:spacing w:val="-2"/>
        </w:rPr>
        <w:t>9</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日，由医惠科技、孙美凤和张丹芬投资设立的福建医惠医疗信息服务有限公司，</w:t>
      </w:r>
      <w:r>
        <w:rPr>
          <w:w w:val="100"/>
        </w:rPr>
        <w:t> </w:t>
      </w:r>
      <w:r>
        <w:rPr/>
        <w:t>各方实际出资额为</w:t>
      </w:r>
      <w:r>
        <w:rPr>
          <w:rFonts w:ascii="宋体" w:hAnsi="宋体" w:cs="宋体" w:eastAsia="宋体" w:hint="default"/>
        </w:rPr>
        <w:t>0</w:t>
      </w:r>
      <w:r>
        <w:rPr/>
        <w:t>，该公司未发生任何业务。</w:t>
      </w:r>
    </w:p>
    <w:p>
      <w:pPr>
        <w:pStyle w:val="Heading5"/>
        <w:spacing w:line="350" w:lineRule="auto" w:before="27"/>
        <w:ind w:right="1133" w:firstLine="420"/>
        <w:jc w:val="left"/>
      </w:pPr>
      <w:r>
        <w:rPr>
          <w:rFonts w:ascii="宋体" w:hAnsi="宋体" w:cs="宋体" w:eastAsia="宋体" w:hint="default"/>
          <w:spacing w:val="-2"/>
        </w:rPr>
        <w:t>10</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日，由医惠科技、上海融健医疗健康科技合伙企业（有限合伙）和陈世斌投资</w:t>
      </w:r>
      <w:r>
        <w:rPr>
          <w:w w:val="100"/>
        </w:rPr>
        <w:t> </w:t>
      </w:r>
      <w:r>
        <w:rPr/>
        <w:t>设立的上海惠沪信息技术有限公司，各方实际出资额为</w:t>
      </w:r>
      <w:r>
        <w:rPr>
          <w:rFonts w:ascii="宋体" w:hAnsi="宋体" w:cs="宋体" w:eastAsia="宋体" w:hint="default"/>
        </w:rPr>
        <w:t>0</w:t>
      </w:r>
      <w:r>
        <w:rPr/>
        <w:t>，该公司未发生任何业务。</w:t>
      </w:r>
    </w:p>
    <w:p>
      <w:pPr>
        <w:pStyle w:val="Heading5"/>
        <w:spacing w:line="348" w:lineRule="auto" w:before="29"/>
        <w:ind w:right="1133" w:firstLine="420"/>
        <w:jc w:val="left"/>
      </w:pPr>
      <w:r>
        <w:rPr>
          <w:rFonts w:ascii="宋体" w:hAnsi="宋体" w:cs="宋体" w:eastAsia="宋体" w:hint="default"/>
          <w:spacing w:val="-2"/>
        </w:rPr>
        <w:t>11</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日，由杭州华洁医疗科技有限公司设立的杭州医惠医疗智能科技有限公司，实</w:t>
      </w:r>
      <w:r>
        <w:rPr>
          <w:w w:val="100"/>
        </w:rPr>
        <w:t> </w:t>
      </w:r>
      <w:r>
        <w:rPr/>
        <w:t>际出资额为</w:t>
      </w:r>
      <w:r>
        <w:rPr>
          <w:rFonts w:ascii="宋体" w:hAnsi="宋体" w:cs="宋体" w:eastAsia="宋体" w:hint="default"/>
        </w:rPr>
        <w:t>0</w:t>
      </w:r>
      <w:r>
        <w:rPr/>
        <w:t>，该公司未发生任何业务。</w:t>
      </w:r>
    </w:p>
    <w:p>
      <w:pPr>
        <w:spacing w:line="240" w:lineRule="auto" w:before="10"/>
        <w:rPr>
          <w:rFonts w:ascii="宋体" w:hAnsi="宋体" w:cs="宋体" w:eastAsia="宋体" w:hint="default"/>
          <w:sz w:val="18"/>
          <w:szCs w:val="18"/>
        </w:rPr>
      </w:pPr>
    </w:p>
    <w:p>
      <w:pPr>
        <w:pStyle w:val="Heading4"/>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225,309,003.78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59,849,129.40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52,350,478.45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45,866,410.38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37,198,275.86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30,044,709.69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225,309,003.78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17.40%</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171,957,154.55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76,181,533.31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40,176,054.84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22,731,159.48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18,191,159.14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14,677,247.78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171,957,154.55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30.98%</w:t>
            </w:r>
          </w:p>
        </w:tc>
      </w:tr>
    </w:tbl>
    <w:p>
      <w:pPr>
        <w:pStyle w:val="BodyText"/>
        <w:spacing w:line="240" w:lineRule="auto" w:before="49"/>
        <w:ind w:right="1133"/>
        <w:jc w:val="left"/>
      </w:pPr>
      <w:r>
        <w:rPr/>
        <w:t>主要供应商其他情况说明</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86,377,596.51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74,583,969.71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见合并报表项目注释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销售费用明细</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144,970,049.16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116,477,211.73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见合并报表项目注释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管理费用明细</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39,000,372.10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16,215,416.20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9"/>
              <w:jc w:val="center"/>
              <w:rPr>
                <w:rFonts w:ascii="宋体" w:hAnsi="宋体" w:cs="宋体" w:eastAsia="宋体" w:hint="default"/>
                <w:sz w:val="18"/>
                <w:szCs w:val="18"/>
              </w:rPr>
            </w:pPr>
            <w:r>
              <w:rPr>
                <w:rFonts w:ascii="宋体" w:hAnsi="宋体" w:cs="宋体" w:eastAsia="宋体" w:hint="default"/>
                <w:sz w:val="18"/>
                <w:szCs w:val="18"/>
              </w:rPr>
              <w:t>主要系本期外币借款增加引起利息</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40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支出及汇兑损失增加所致。</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106,214,943.06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96,174,682.53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10.44%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412"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2"/>
          <w:szCs w:val="12"/>
        </w:rPr>
      </w:pPr>
    </w:p>
    <w:p>
      <w:pPr>
        <w:pStyle w:val="Heading5"/>
        <w:spacing w:line="348" w:lineRule="auto" w:before="0"/>
        <w:ind w:left="412" w:right="1126" w:firstLine="420"/>
        <w:jc w:val="both"/>
      </w:pPr>
      <w:r>
        <w:rPr>
          <w:spacing w:val="-2"/>
        </w:rPr>
        <w:t>公司持续注重产品研发的投入和自身产业技术的积累，针对行业发展趋势，积极布局新产品的研发和</w:t>
      </w:r>
      <w:r>
        <w:rPr>
          <w:w w:val="100"/>
        </w:rPr>
        <w:t> </w:t>
      </w:r>
      <w:r>
        <w:rPr>
          <w:spacing w:val="-2"/>
        </w:rPr>
        <w:t>技术的储备工作。报告期内，公司研发总投入</w:t>
      </w:r>
      <w:r>
        <w:rPr>
          <w:rFonts w:ascii="宋体" w:hAnsi="宋体" w:cs="宋体" w:eastAsia="宋体" w:hint="default"/>
          <w:spacing w:val="-2"/>
        </w:rPr>
        <w:t>11,980.43</w:t>
      </w:r>
      <w:r>
        <w:rPr>
          <w:spacing w:val="-2"/>
        </w:rPr>
        <w:t>万元，占营业收入的</w:t>
      </w:r>
      <w:r>
        <w:rPr>
          <w:rFonts w:ascii="宋体" w:hAnsi="宋体" w:cs="宋体" w:eastAsia="宋体" w:hint="default"/>
          <w:spacing w:val="-2"/>
        </w:rPr>
        <w:t>9.25%</w:t>
      </w:r>
      <w:r>
        <w:rPr>
          <w:spacing w:val="-2"/>
        </w:rPr>
        <w:t>，研发支出资本化金额</w:t>
      </w:r>
      <w:r>
        <w:rPr>
          <w:spacing w:val="-36"/>
        </w:rPr>
        <w:t> </w:t>
      </w:r>
      <w:r>
        <w:rPr>
          <w:spacing w:val="-36"/>
        </w:rPr>
      </w:r>
      <w:r>
        <w:rPr>
          <w:rFonts w:ascii="宋体" w:hAnsi="宋体" w:cs="宋体" w:eastAsia="宋体" w:hint="default"/>
        </w:rPr>
        <w:t>1,358.93</w:t>
      </w:r>
      <w:r>
        <w:rPr/>
        <w:t>万元，占研发总投入的</w:t>
      </w:r>
      <w:r>
        <w:rPr>
          <w:rFonts w:ascii="宋体" w:hAnsi="宋体" w:cs="宋体" w:eastAsia="宋体" w:hint="default"/>
        </w:rPr>
        <w:t>11.34%</w:t>
      </w:r>
      <w:r>
        <w:rPr/>
        <w:t>。报告期内公司进行的主要研发项目如下：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52"/>
        <w:ind w:left="0" w:right="764"/>
        <w:jc w:val="right"/>
      </w:pPr>
      <w:r>
        <w:rPr/>
        <w:pict>
          <v:shape style="position:absolute;margin-left:41.880001pt;margin-top:-382.00827pt;width:511.8pt;height:525.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1913"/>
                    <w:gridCol w:w="3474"/>
                    <w:gridCol w:w="1183"/>
                    <w:gridCol w:w="2934"/>
                  </w:tblGrid>
                  <w:tr>
                    <w:trPr>
                      <w:trHeight w:val="67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研发项目名称</w:t>
                        </w:r>
                        <w:r>
                          <w:rPr>
                            <w:rFonts w:ascii="宋体" w:hAnsi="宋体" w:cs="宋体" w:eastAsia="宋体" w:hint="default"/>
                            <w:sz w:val="18"/>
                            <w:szCs w:val="18"/>
                          </w:rPr>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99" w:right="0"/>
                          <w:jc w:val="left"/>
                          <w:rPr>
                            <w:rFonts w:ascii="宋体" w:hAnsi="宋体" w:cs="宋体" w:eastAsia="宋体" w:hint="default"/>
                            <w:sz w:val="18"/>
                            <w:szCs w:val="18"/>
                          </w:rPr>
                        </w:pPr>
                        <w:r>
                          <w:rPr>
                            <w:rFonts w:ascii="宋体" w:hAnsi="宋体" w:cs="宋体" w:eastAsia="宋体" w:hint="default"/>
                            <w:b/>
                            <w:bCs/>
                            <w:sz w:val="18"/>
                            <w:szCs w:val="18"/>
                          </w:rPr>
                          <w:t>研发项目的目的</w:t>
                        </w:r>
                        <w:r>
                          <w:rPr>
                            <w:rFonts w:ascii="宋体" w:hAnsi="宋体" w:cs="宋体" w:eastAsia="宋体" w:hint="default"/>
                            <w:sz w:val="18"/>
                            <w:szCs w:val="18"/>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6"/>
                          <w:ind w:left="194" w:right="5" w:hanging="18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项目进展</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已达</w:t>
                        </w:r>
                        <w:r>
                          <w:rPr>
                            <w:rFonts w:ascii="宋体" w:hAnsi="宋体" w:cs="宋体" w:eastAsia="宋体" w:hint="default"/>
                            <w:b/>
                            <w:bCs/>
                            <w:spacing w:val="2"/>
                            <w:w w:val="99"/>
                            <w:sz w:val="18"/>
                            <w:szCs w:val="18"/>
                          </w:rPr>
                          <w:t> </w:t>
                        </w:r>
                        <w:r>
                          <w:rPr>
                            <w:rFonts w:ascii="宋体" w:hAnsi="宋体" w:cs="宋体" w:eastAsia="宋体" w:hint="default"/>
                            <w:b/>
                            <w:bCs/>
                            <w:sz w:val="18"/>
                            <w:szCs w:val="18"/>
                          </w:rPr>
                          <w:t>到的状态</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b/>
                            <w:bCs/>
                            <w:sz w:val="18"/>
                            <w:szCs w:val="18"/>
                          </w:rPr>
                          <w:t>预计对公司未来发展的影响</w:t>
                        </w:r>
                        <w:r>
                          <w:rPr>
                            <w:rFonts w:ascii="宋体" w:hAnsi="宋体" w:cs="宋体" w:eastAsia="宋体" w:hint="default"/>
                            <w:sz w:val="18"/>
                            <w:szCs w:val="18"/>
                          </w:rPr>
                        </w:r>
                      </w:p>
                    </w:tc>
                  </w:tr>
                  <w:tr>
                    <w:trPr>
                      <w:trHeight w:val="195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基于磁感应技术的全自 动防损开锁系统</w:t>
                        </w:r>
                        <w:r>
                          <w:rPr>
                            <w:rFonts w:ascii="Times New Roman" w:hAnsi="Times New Roman" w:cs="Times New Roman" w:eastAsia="Times New Roman" w:hint="default"/>
                            <w:sz w:val="18"/>
                            <w:szCs w:val="18"/>
                          </w:rPr>
                          <w:t>-</w:t>
                        </w:r>
                        <w:r>
                          <w:rPr>
                            <w:rFonts w:ascii="宋体" w:hAnsi="宋体" w:cs="宋体" w:eastAsia="宋体" w:hint="default"/>
                            <w:sz w:val="18"/>
                            <w:szCs w:val="18"/>
                          </w:rPr>
                          <w:t>公共</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6"/>
                          <w:ind w:left="4" w:right="31"/>
                          <w:jc w:val="both"/>
                          <w:rPr>
                            <w:rFonts w:ascii="宋体" w:hAnsi="宋体" w:cs="宋体" w:eastAsia="宋体" w:hint="default"/>
                            <w:sz w:val="18"/>
                            <w:szCs w:val="18"/>
                          </w:rPr>
                        </w:pPr>
                        <w:r>
                          <w:rPr>
                            <w:rFonts w:ascii="宋体" w:hAnsi="宋体" w:cs="宋体" w:eastAsia="宋体" w:hint="default"/>
                            <w:sz w:val="18"/>
                            <w:szCs w:val="18"/>
                          </w:rPr>
                          <w:t>防损项目市场已经历</w:t>
                        </w:r>
                        <w:r>
                          <w:rPr>
                            <w:rFonts w:ascii="Times New Roman" w:hAnsi="Times New Roman" w:cs="Times New Roman" w:eastAsia="Times New Roman" w:hint="default"/>
                            <w:sz w:val="18"/>
                            <w:szCs w:val="18"/>
                          </w:rPr>
                          <w:t>20</w:t>
                        </w:r>
                        <w:r>
                          <w:rPr>
                            <w:rFonts w:ascii="宋体" w:hAnsi="宋体" w:cs="宋体" w:eastAsia="宋体" w:hint="default"/>
                            <w:sz w:val="18"/>
                            <w:szCs w:val="18"/>
                          </w:rPr>
                          <w:t>多年，技术的发展是 各级商业应用商和生产商所期待突破的，在 原来的三球锁紧、钢柱锁等纯机械锁的基础 上，增加一款完全靠电磁感应开锁，将颠覆 防损行业的理念，提升失窍可靠性，增加防 损有效性</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2"/>
                          <w:ind w:left="4" w:right="32"/>
                          <w:jc w:val="both"/>
                          <w:rPr>
                            <w:rFonts w:ascii="宋体" w:hAnsi="宋体" w:cs="宋体" w:eastAsia="宋体" w:hint="default"/>
                            <w:sz w:val="18"/>
                            <w:szCs w:val="18"/>
                          </w:rPr>
                        </w:pPr>
                        <w:r>
                          <w:rPr>
                            <w:rFonts w:ascii="宋体" w:hAnsi="宋体" w:cs="宋体" w:eastAsia="宋体" w:hint="default"/>
                            <w:sz w:val="18"/>
                            <w:szCs w:val="18"/>
                          </w:rPr>
                          <w:t>此项目开发成功，将给本公司带来在 防损领域的新的市场机会，此项目可 以将产品系列化，做出一系列防盗概 念，从而为公司带来收益</w:t>
                        </w:r>
                      </w:p>
                    </w:tc>
                  </w:tr>
                  <w:tr>
                    <w:trPr>
                      <w:trHeight w:val="1954"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基于互联网的医院患者 服务及人工智能云平台</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4" w:right="32"/>
                          <w:jc w:val="left"/>
                          <w:rPr>
                            <w:rFonts w:ascii="宋体" w:hAnsi="宋体" w:cs="宋体" w:eastAsia="宋体" w:hint="default"/>
                            <w:sz w:val="18"/>
                            <w:szCs w:val="18"/>
                          </w:rPr>
                        </w:pPr>
                        <w:r>
                          <w:rPr>
                            <w:rFonts w:ascii="宋体" w:hAnsi="宋体" w:cs="宋体" w:eastAsia="宋体" w:hint="default"/>
                            <w:sz w:val="18"/>
                            <w:szCs w:val="18"/>
                          </w:rPr>
                          <w:t>建立医患良好互动的服务平台，打造基于人 工智能的医疗云平台</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通过在大连大学附属中山医院进行患 者服务平台和人工智能云平台的建 设，可形成公司医疗人工智能的标杆 项目，有助于公司多学科联合会诊系 </w:t>
                        </w:r>
                        <w:r>
                          <w:rPr>
                            <w:rFonts w:ascii="宋体" w:hAnsi="宋体" w:cs="宋体" w:eastAsia="宋体" w:hint="default"/>
                            <w:spacing w:val="-4"/>
                            <w:w w:val="99"/>
                            <w:sz w:val="18"/>
                            <w:szCs w:val="18"/>
                          </w:rPr>
                          <w:t>统、</w:t>
                        </w:r>
                        <w:r>
                          <w:rPr>
                            <w:rFonts w:ascii="Times New Roman" w:hAnsi="Times New Roman" w:cs="Times New Roman" w:eastAsia="Times New Roman" w:hint="default"/>
                            <w:spacing w:val="-4"/>
                            <w:w w:val="99"/>
                            <w:sz w:val="18"/>
                            <w:szCs w:val="18"/>
                          </w:rPr>
                          <w:t>ThinkGo</w:t>
                        </w:r>
                        <w:r>
                          <w:rPr>
                            <w:rFonts w:ascii="宋体" w:hAnsi="宋体" w:cs="宋体" w:eastAsia="宋体" w:hint="default"/>
                            <w:spacing w:val="-4"/>
                            <w:w w:val="99"/>
                            <w:sz w:val="18"/>
                            <w:szCs w:val="18"/>
                          </w:rPr>
                          <w:t>智能辅诊系统等人工智能</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产品的推广</w:t>
                        </w:r>
                      </w:p>
                    </w:tc>
                  </w:tr>
                  <w:tr>
                    <w:trPr>
                      <w:trHeight w:val="2354"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近场模拟远场在线测试 系统的研究</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解决远场性能测试存在的占用较大场地、测 试设备较大移动困难、测量准确性不高、不 </w:t>
                        </w:r>
                        <w:r>
                          <w:rPr>
                            <w:rFonts w:ascii="宋体" w:hAnsi="宋体" w:cs="宋体" w:eastAsia="宋体" w:hint="default"/>
                            <w:spacing w:val="-2"/>
                            <w:sz w:val="18"/>
                            <w:szCs w:val="18"/>
                          </w:rPr>
                          <w:t>能在线</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测试等问题，实现使用同一套测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试设备即可对</w:t>
                        </w:r>
                        <w:r>
                          <w:rPr>
                            <w:rFonts w:ascii="Times New Roman" w:hAnsi="Times New Roman" w:cs="Times New Roman" w:eastAsia="Times New Roman" w:hint="default"/>
                            <w:sz w:val="18"/>
                            <w:szCs w:val="18"/>
                          </w:rPr>
                          <w:t>UHF</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Inlay</w:t>
                        </w:r>
                        <w:r>
                          <w:rPr>
                            <w:rFonts w:ascii="宋体" w:hAnsi="宋体" w:cs="宋体" w:eastAsia="宋体" w:hint="default"/>
                            <w:sz w:val="18"/>
                            <w:szCs w:val="18"/>
                          </w:rPr>
                          <w:t>产品远场性能及近 场性能进行在线测试，加强产品质量管控， 减小不良产品出货风险，不断提升企业的质 量优势</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2" w:right="0"/>
                          <w:jc w:val="left"/>
                          <w:rPr>
                            <w:rFonts w:ascii="Times New Roman" w:hAnsi="Times New Roman" w:cs="Times New Roman" w:eastAsia="Times New Roman" w:hint="default"/>
                            <w:sz w:val="20"/>
                            <w:szCs w:val="20"/>
                          </w:rPr>
                        </w:pPr>
                        <w:r>
                          <w:rPr>
                            <w:rFonts w:ascii="Times New Roman"/>
                            <w:sz w:val="20"/>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4" w:right="32"/>
                          <w:jc w:val="left"/>
                          <w:rPr>
                            <w:rFonts w:ascii="宋体" w:hAnsi="宋体" w:cs="宋体" w:eastAsia="宋体" w:hint="default"/>
                            <w:sz w:val="18"/>
                            <w:szCs w:val="18"/>
                          </w:rPr>
                        </w:pPr>
                        <w:r>
                          <w:rPr>
                            <w:rFonts w:ascii="宋体" w:hAnsi="宋体" w:cs="宋体" w:eastAsia="宋体" w:hint="default"/>
                            <w:sz w:val="18"/>
                            <w:szCs w:val="18"/>
                          </w:rPr>
                          <w:t>本项目的成功研发填补了我司对产品 远场性能一致性管控的空白，减少了 </w:t>
                        </w:r>
                        <w:r>
                          <w:rPr>
                            <w:rFonts w:ascii="Times New Roman" w:hAnsi="Times New Roman" w:cs="Times New Roman" w:eastAsia="Times New Roman" w:hint="default"/>
                            <w:sz w:val="18"/>
                            <w:szCs w:val="18"/>
                          </w:rPr>
                          <w:t>RFID</w:t>
                        </w:r>
                        <w:r>
                          <w:rPr>
                            <w:rFonts w:ascii="宋体" w:hAnsi="宋体" w:cs="宋体" w:eastAsia="宋体" w:hint="default"/>
                            <w:sz w:val="18"/>
                            <w:szCs w:val="18"/>
                          </w:rPr>
                          <w:t>标签产品在应用端远场读写性 能不一致导致的异常问题</w:t>
                        </w:r>
                      </w:p>
                    </w:tc>
                  </w:tr>
                  <w:tr>
                    <w:trPr>
                      <w:trHeight w:val="1717"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离线小型暗箱测试系统</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9"/>
                          <w:ind w:left="4" w:right="32"/>
                          <w:jc w:val="both"/>
                          <w:rPr>
                            <w:rFonts w:ascii="宋体" w:hAnsi="宋体" w:cs="宋体" w:eastAsia="宋体" w:hint="default"/>
                            <w:sz w:val="18"/>
                            <w:szCs w:val="18"/>
                          </w:rPr>
                        </w:pPr>
                        <w:r>
                          <w:rPr>
                            <w:rFonts w:ascii="宋体" w:hAnsi="宋体" w:cs="宋体" w:eastAsia="宋体" w:hint="default"/>
                            <w:sz w:val="18"/>
                            <w:szCs w:val="18"/>
                          </w:rPr>
                          <w:t>解决现有灵敏度测试设备体积较大、测试系 统复杂、测试操作繁琐、测试效率低下、设 备购置成本较高等问题，研制出离线小型暗 箱测试系统，缩小测试系统尺寸，简化操作 步骤，降低设备投入成本</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20"/>
                            <w:szCs w:val="20"/>
                          </w:rPr>
                        </w:pPr>
                        <w:r>
                          <w:rPr>
                            <w:rFonts w:ascii="Times New Roman"/>
                            <w:sz w:val="20"/>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99"/>
                          <w:ind w:left="4" w:right="32"/>
                          <w:jc w:val="left"/>
                          <w:rPr>
                            <w:rFonts w:ascii="宋体" w:hAnsi="宋体" w:cs="宋体" w:eastAsia="宋体" w:hint="default"/>
                            <w:sz w:val="18"/>
                            <w:szCs w:val="18"/>
                          </w:rPr>
                        </w:pPr>
                        <w:r>
                          <w:rPr>
                            <w:rFonts w:ascii="宋体" w:hAnsi="宋体" w:cs="宋体" w:eastAsia="宋体" w:hint="default"/>
                            <w:sz w:val="18"/>
                            <w:szCs w:val="18"/>
                          </w:rPr>
                          <w:t>本项目的研发提升了标签灵敏度检测 的准确性，加大了公司对产品灵敏度 </w:t>
                        </w:r>
                        <w:r>
                          <w:rPr>
                            <w:rFonts w:ascii="宋体" w:hAnsi="宋体" w:cs="宋体" w:eastAsia="宋体" w:hint="default"/>
                            <w:spacing w:val="-4"/>
                            <w:sz w:val="18"/>
                            <w:szCs w:val="18"/>
                          </w:rPr>
                          <w:t>的管控力度，节省了灵敏度管控成本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推动了本公司</w:t>
                        </w:r>
                        <w:r>
                          <w:rPr>
                            <w:rFonts w:ascii="Times New Roman" w:hAnsi="Times New Roman" w:cs="Times New Roman" w:eastAsia="Times New Roman" w:hint="default"/>
                            <w:sz w:val="18"/>
                            <w:szCs w:val="18"/>
                          </w:rPr>
                          <w:t>RFID</w:t>
                        </w:r>
                        <w:r>
                          <w:rPr>
                            <w:rFonts w:ascii="宋体" w:hAnsi="宋体" w:cs="宋体" w:eastAsia="宋体" w:hint="default"/>
                            <w:sz w:val="18"/>
                            <w:szCs w:val="18"/>
                          </w:rPr>
                          <w:t>标签制造更高性 能、更低成本的方向发展</w:t>
                        </w:r>
                      </w:p>
                    </w:tc>
                  </w:tr>
                  <w:tr>
                    <w:trPr>
                      <w:trHeight w:val="75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73"/>
                          <w:ind w:left="4" w:right="94"/>
                          <w:jc w:val="left"/>
                          <w:rPr>
                            <w:rFonts w:ascii="宋体" w:hAnsi="宋体" w:cs="宋体" w:eastAsia="宋体" w:hint="default"/>
                            <w:sz w:val="20"/>
                            <w:szCs w:val="20"/>
                          </w:rPr>
                        </w:pPr>
                        <w:r>
                          <w:rPr>
                            <w:rFonts w:ascii="宋体" w:hAnsi="宋体" w:cs="宋体" w:eastAsia="宋体" w:hint="default"/>
                            <w:sz w:val="20"/>
                            <w:szCs w:val="20"/>
                          </w:rPr>
                          <w:t>导电胶快速固化工艺</w:t>
                        </w:r>
                        <w:r>
                          <w:rPr>
                            <w:rFonts w:ascii="宋体" w:hAnsi="宋体" w:cs="宋体" w:eastAsia="宋体" w:hint="default"/>
                            <w:w w:val="99"/>
                            <w:sz w:val="20"/>
                            <w:szCs w:val="20"/>
                          </w:rPr>
                          <w:t> </w:t>
                        </w:r>
                        <w:r>
                          <w:rPr>
                            <w:rFonts w:ascii="宋体" w:hAnsi="宋体" w:cs="宋体" w:eastAsia="宋体" w:hint="default"/>
                            <w:sz w:val="20"/>
                            <w:szCs w:val="20"/>
                          </w:rPr>
                          <w:t>研究</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73"/>
                          <w:ind w:left="4" w:right="100"/>
                          <w:jc w:val="left"/>
                          <w:rPr>
                            <w:rFonts w:ascii="宋体" w:hAnsi="宋体" w:cs="宋体" w:eastAsia="宋体" w:hint="default"/>
                            <w:sz w:val="20"/>
                            <w:szCs w:val="20"/>
                          </w:rPr>
                        </w:pPr>
                        <w:r>
                          <w:rPr>
                            <w:rFonts w:ascii="宋体" w:hAnsi="宋体" w:cs="宋体" w:eastAsia="宋体" w:hint="default"/>
                            <w:spacing w:val="-3"/>
                            <w:sz w:val="20"/>
                            <w:szCs w:val="20"/>
                          </w:rPr>
                          <w:t>缩短热压时间，提升热压模块工作效率</w:t>
                        </w:r>
                        <w:r>
                          <w:rPr>
                            <w:rFonts w:ascii="宋体" w:hAnsi="宋体" w:cs="宋体" w:eastAsia="宋体" w:hint="default"/>
                            <w:w w:val="99"/>
                            <w:sz w:val="20"/>
                            <w:szCs w:val="20"/>
                          </w:rPr>
                          <w:t> </w:t>
                        </w:r>
                        <w:r>
                          <w:rPr>
                            <w:rFonts w:ascii="宋体" w:hAnsi="宋体" w:cs="宋体" w:eastAsia="宋体" w:hint="default"/>
                            <w:sz w:val="20"/>
                            <w:szCs w:val="20"/>
                          </w:rPr>
                          <w:t>进而提升绑定机生产效率</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before="73"/>
                          <w:ind w:left="-118"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2" w:lineRule="exact"/>
                          <w:ind w:left="352" w:right="0"/>
                          <w:jc w:val="left"/>
                          <w:rPr>
                            <w:rFonts w:ascii="Times New Roman" w:hAnsi="Times New Roman" w:cs="Times New Roman" w:eastAsia="Times New Roman" w:hint="default"/>
                            <w:sz w:val="20"/>
                            <w:szCs w:val="20"/>
                          </w:rPr>
                        </w:pPr>
                        <w:r>
                          <w:rPr>
                            <w:rFonts w:ascii="Times New Roman"/>
                            <w:sz w:val="20"/>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73"/>
                          <w:ind w:left="4" w:right="3"/>
                          <w:jc w:val="left"/>
                          <w:rPr>
                            <w:rFonts w:ascii="宋体" w:hAnsi="宋体" w:cs="宋体" w:eastAsia="宋体" w:hint="default"/>
                            <w:sz w:val="20"/>
                            <w:szCs w:val="20"/>
                          </w:rPr>
                        </w:pPr>
                        <w:r>
                          <w:rPr>
                            <w:rFonts w:ascii="宋体" w:hAnsi="宋体" w:cs="宋体" w:eastAsia="宋体" w:hint="default"/>
                            <w:spacing w:val="-6"/>
                            <w:w w:val="99"/>
                            <w:sz w:val="20"/>
                            <w:szCs w:val="20"/>
                          </w:rPr>
                          <w:t>缩短了热压时间，提高了</w:t>
                        </w:r>
                        <w:r>
                          <w:rPr>
                            <w:rFonts w:ascii="Times New Roman" w:hAnsi="Times New Roman" w:cs="Times New Roman" w:eastAsia="Times New Roman" w:hint="default"/>
                            <w:spacing w:val="-6"/>
                            <w:w w:val="99"/>
                            <w:sz w:val="20"/>
                            <w:szCs w:val="20"/>
                          </w:rPr>
                          <w:t>Inlay</w:t>
                        </w:r>
                        <w:r>
                          <w:rPr>
                            <w:rFonts w:ascii="宋体" w:hAnsi="宋体" w:cs="宋体" w:eastAsia="宋体" w:hint="default"/>
                            <w:spacing w:val="-6"/>
                            <w:w w:val="99"/>
                            <w:sz w:val="20"/>
                            <w:szCs w:val="20"/>
                          </w:rPr>
                          <w:t>的生</w:t>
                        </w:r>
                        <w:r>
                          <w:rPr>
                            <w:rFonts w:ascii="宋体" w:hAnsi="宋体" w:cs="宋体" w:eastAsia="宋体" w:hint="default"/>
                            <w:spacing w:val="-84"/>
                            <w:w w:val="99"/>
                            <w:sz w:val="20"/>
                            <w:szCs w:val="20"/>
                          </w:rPr>
                          <w:t> </w:t>
                        </w:r>
                        <w:r>
                          <w:rPr>
                            <w:rFonts w:ascii="宋体" w:hAnsi="宋体" w:cs="宋体" w:eastAsia="宋体" w:hint="default"/>
                            <w:sz w:val="20"/>
                            <w:szCs w:val="20"/>
                          </w:rPr>
                          <w:t>产效率，降低了生产成本</w:t>
                        </w:r>
                      </w:p>
                    </w:tc>
                  </w:tr>
                  <w:tr>
                    <w:trPr>
                      <w:trHeight w:val="107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92" w:lineRule="auto"/>
                          <w:ind w:left="4" w:right="94"/>
                          <w:jc w:val="left"/>
                          <w:rPr>
                            <w:rFonts w:ascii="宋体" w:hAnsi="宋体" w:cs="宋体" w:eastAsia="宋体" w:hint="default"/>
                            <w:sz w:val="20"/>
                            <w:szCs w:val="20"/>
                          </w:rPr>
                        </w:pPr>
                        <w:r>
                          <w:rPr>
                            <w:rFonts w:ascii="宋体" w:hAnsi="宋体" w:cs="宋体" w:eastAsia="宋体" w:hint="default"/>
                            <w:sz w:val="20"/>
                            <w:szCs w:val="20"/>
                          </w:rPr>
                          <w:t>复合在线高速测试系</w:t>
                        </w:r>
                        <w:r>
                          <w:rPr>
                            <w:rFonts w:ascii="宋体" w:hAnsi="宋体" w:cs="宋体" w:eastAsia="宋体" w:hint="default"/>
                            <w:w w:val="99"/>
                            <w:sz w:val="20"/>
                            <w:szCs w:val="20"/>
                          </w:rPr>
                          <w:t> </w:t>
                        </w:r>
                        <w:r>
                          <w:rPr>
                            <w:rFonts w:ascii="宋体" w:hAnsi="宋体" w:cs="宋体" w:eastAsia="宋体" w:hint="default"/>
                            <w:sz w:val="20"/>
                            <w:szCs w:val="20"/>
                          </w:rPr>
                          <w:t>统的设计与实现</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76" w:lineRule="auto"/>
                          <w:ind w:left="4" w:right="-1"/>
                          <w:jc w:val="left"/>
                          <w:rPr>
                            <w:rFonts w:ascii="宋体" w:hAnsi="宋体" w:cs="宋体" w:eastAsia="宋体" w:hint="default"/>
                            <w:sz w:val="20"/>
                            <w:szCs w:val="20"/>
                          </w:rPr>
                        </w:pPr>
                        <w:r>
                          <w:rPr>
                            <w:rFonts w:ascii="宋体" w:hAnsi="宋体" w:cs="宋体" w:eastAsia="宋体" w:hint="default"/>
                            <w:w w:val="95"/>
                            <w:sz w:val="20"/>
                            <w:szCs w:val="20"/>
                          </w:rPr>
                          <w:t>满足双道、多道生产对标签</w:t>
                        </w:r>
                        <w:r>
                          <w:rPr>
                            <w:rFonts w:ascii="Times New Roman" w:hAnsi="Times New Roman" w:cs="Times New Roman" w:eastAsia="Times New Roman" w:hint="default"/>
                            <w:w w:val="95"/>
                            <w:sz w:val="20"/>
                            <w:szCs w:val="20"/>
                          </w:rPr>
                          <w:t>100%</w:t>
                        </w:r>
                        <w:r>
                          <w:rPr>
                            <w:rFonts w:ascii="宋体" w:hAnsi="宋体" w:cs="宋体" w:eastAsia="宋体" w:hint="default"/>
                            <w:w w:val="95"/>
                            <w:sz w:val="20"/>
                            <w:szCs w:val="20"/>
                          </w:rPr>
                          <w:t>在线高</w:t>
                        </w:r>
                        <w:r>
                          <w:rPr>
                            <w:rFonts w:ascii="宋体" w:hAnsi="宋体" w:cs="宋体" w:eastAsia="宋体" w:hint="default"/>
                            <w:spacing w:val="64"/>
                            <w:w w:val="95"/>
                            <w:sz w:val="20"/>
                            <w:szCs w:val="20"/>
                          </w:rPr>
                          <w:t> </w:t>
                        </w:r>
                        <w:r>
                          <w:rPr>
                            <w:rFonts w:ascii="宋体" w:hAnsi="宋体" w:cs="宋体" w:eastAsia="宋体" w:hint="default"/>
                            <w:sz w:val="20"/>
                            <w:szCs w:val="20"/>
                          </w:rPr>
                          <w:t>速测试的要求</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52" w:right="0"/>
                          <w:jc w:val="left"/>
                          <w:rPr>
                            <w:rFonts w:ascii="Times New Roman" w:hAnsi="Times New Roman" w:cs="Times New Roman" w:eastAsia="Times New Roman" w:hint="default"/>
                            <w:sz w:val="20"/>
                            <w:szCs w:val="20"/>
                          </w:rPr>
                        </w:pPr>
                        <w:r>
                          <w:rPr>
                            <w:rFonts w:ascii="Times New Roman"/>
                            <w:sz w:val="20"/>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73"/>
                          <w:ind w:left="4" w:right="2"/>
                          <w:jc w:val="left"/>
                          <w:rPr>
                            <w:rFonts w:ascii="宋体" w:hAnsi="宋体" w:cs="宋体" w:eastAsia="宋体" w:hint="default"/>
                            <w:sz w:val="20"/>
                            <w:szCs w:val="20"/>
                          </w:rPr>
                        </w:pPr>
                        <w:r>
                          <w:rPr>
                            <w:rFonts w:ascii="宋体" w:hAnsi="宋体" w:cs="宋体" w:eastAsia="宋体" w:hint="default"/>
                            <w:sz w:val="20"/>
                            <w:szCs w:val="20"/>
                          </w:rPr>
                          <w:t>复合在线高速测试系统的成功研</w:t>
                        </w:r>
                        <w:r>
                          <w:rPr>
                            <w:rFonts w:ascii="宋体" w:hAnsi="宋体" w:cs="宋体" w:eastAsia="宋体" w:hint="default"/>
                            <w:w w:val="99"/>
                            <w:sz w:val="20"/>
                            <w:szCs w:val="20"/>
                          </w:rPr>
                          <w:t> </w:t>
                        </w:r>
                        <w:r>
                          <w:rPr>
                            <w:rFonts w:ascii="宋体" w:hAnsi="宋体" w:cs="宋体" w:eastAsia="宋体" w:hint="default"/>
                            <w:spacing w:val="-6"/>
                            <w:sz w:val="20"/>
                            <w:szCs w:val="20"/>
                          </w:rPr>
                          <w:t>发，保证了双道、多道生产对标签</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在线高速测试的要求</w:t>
                        </w:r>
                      </w:p>
                    </w:tc>
                  </w:tr>
                </w:tbl>
                <w:p>
                  <w:pPr/>
                </w:p>
              </w:txbxContent>
            </v:textbox>
            <w10:wrap type="none"/>
          </v:shape>
        </w:pict>
      </w:r>
      <w:r>
        <w:rPr/>
        <w:t>，</w:t>
      </w:r>
    </w:p>
    <w:p>
      <w:pPr>
        <w:spacing w:after="0" w:line="240" w:lineRule="auto"/>
        <w:jc w:val="right"/>
        <w:sectPr>
          <w:pgSz w:w="11910" w:h="16840"/>
          <w:pgMar w:header="745" w:footer="979" w:top="1040" w:bottom="1160" w:left="7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0" w:right="763"/>
        <w:jc w:val="right"/>
      </w:pPr>
      <w:r>
        <w:rPr/>
        <w:pict>
          <v:shape style="position:absolute;margin-left:41.880001pt;margin-top:-180.898285pt;width:511.8pt;height:621.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1913"/>
                    <w:gridCol w:w="3474"/>
                    <w:gridCol w:w="1183"/>
                    <w:gridCol w:w="2934"/>
                  </w:tblGrid>
                  <w:tr>
                    <w:trPr>
                      <w:trHeight w:val="163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2"/>
                          <w:ind w:left="4" w:right="91"/>
                          <w:jc w:val="both"/>
                          <w:rPr>
                            <w:rFonts w:ascii="宋体" w:hAnsi="宋体" w:cs="宋体" w:eastAsia="宋体" w:hint="default"/>
                            <w:sz w:val="18"/>
                            <w:szCs w:val="18"/>
                          </w:rPr>
                        </w:pPr>
                        <w:r>
                          <w:rPr>
                            <w:rFonts w:ascii="宋体" w:hAnsi="宋体" w:cs="宋体" w:eastAsia="宋体" w:hint="default"/>
                            <w:sz w:val="18"/>
                            <w:szCs w:val="18"/>
                          </w:rPr>
                          <w:t>大数据处理与分析共性 关键技术研究与基础平 台研发</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2"/>
                          <w:ind w:left="4" w:right="32"/>
                          <w:jc w:val="both"/>
                          <w:rPr>
                            <w:rFonts w:ascii="宋体" w:hAnsi="宋体" w:cs="宋体" w:eastAsia="宋体" w:hint="default"/>
                            <w:sz w:val="18"/>
                            <w:szCs w:val="18"/>
                          </w:rPr>
                        </w:pPr>
                        <w:r>
                          <w:rPr>
                            <w:rFonts w:ascii="宋体" w:hAnsi="宋体" w:cs="宋体" w:eastAsia="宋体" w:hint="default"/>
                            <w:sz w:val="18"/>
                            <w:szCs w:val="18"/>
                          </w:rPr>
                          <w:t>集成跨媒体数据采集和处理、跨媒体知识计 算以及跨媒体跨界服务等关键算法和技术， 提供智慧医疗服务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4" w:right="0"/>
                          <w:jc w:val="both"/>
                          <w:rPr>
                            <w:rFonts w:ascii="宋体" w:hAnsi="宋体" w:cs="宋体" w:eastAsia="宋体" w:hint="default"/>
                            <w:sz w:val="18"/>
                            <w:szCs w:val="18"/>
                          </w:rPr>
                        </w:pPr>
                        <w:r>
                          <w:rPr>
                            <w:rFonts w:ascii="宋体" w:hAnsi="宋体" w:cs="宋体" w:eastAsia="宋体" w:hint="default"/>
                            <w:sz w:val="18"/>
                            <w:szCs w:val="18"/>
                          </w:rPr>
                          <w:t>为重大流行疾病预警预测和防控提供 </w:t>
                        </w:r>
                        <w:r>
                          <w:rPr>
                            <w:rFonts w:ascii="宋体" w:hAnsi="宋体" w:cs="宋体" w:eastAsia="宋体" w:hint="default"/>
                            <w:spacing w:val="-5"/>
                            <w:sz w:val="18"/>
                            <w:szCs w:val="18"/>
                          </w:rPr>
                          <w:t>科学依据，探究互联网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智慧医疗跨界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服务模式的创新，推动互联网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智慧医</w:t>
                        </w:r>
                        <w:r>
                          <w:rPr>
                            <w:rFonts w:ascii="宋体" w:hAnsi="宋体" w:cs="宋体" w:eastAsia="宋体" w:hint="default"/>
                            <w:spacing w:val="-74"/>
                            <w:sz w:val="18"/>
                            <w:szCs w:val="18"/>
                          </w:rPr>
                          <w:t> </w:t>
                        </w:r>
                        <w:r>
                          <w:rPr>
                            <w:rFonts w:ascii="宋体" w:hAnsi="宋体" w:cs="宋体" w:eastAsia="宋体" w:hint="default"/>
                            <w:sz w:val="18"/>
                            <w:szCs w:val="18"/>
                          </w:rPr>
                          <w:t>疗与跨媒体大数据的深度耦合，为精 准医疗破题</w:t>
                        </w:r>
                      </w:p>
                    </w:tc>
                  </w:tr>
                  <w:tr>
                    <w:trPr>
                      <w:trHeight w:val="131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2"/>
                          <w:ind w:left="4" w:right="91"/>
                          <w:jc w:val="left"/>
                          <w:rPr>
                            <w:rFonts w:ascii="宋体" w:hAnsi="宋体" w:cs="宋体" w:eastAsia="宋体" w:hint="default"/>
                            <w:sz w:val="18"/>
                            <w:szCs w:val="18"/>
                          </w:rPr>
                        </w:pPr>
                        <w:r>
                          <w:rPr>
                            <w:rFonts w:ascii="宋体" w:hAnsi="宋体" w:cs="宋体" w:eastAsia="宋体" w:hint="default"/>
                            <w:sz w:val="18"/>
                            <w:szCs w:val="18"/>
                          </w:rPr>
                          <w:t>人工智能技术在医疗健 康领域的应用</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6" w:lineRule="auto"/>
                          <w:ind w:left="4" w:right="32"/>
                          <w:jc w:val="both"/>
                          <w:rPr>
                            <w:rFonts w:ascii="宋体" w:hAnsi="宋体" w:cs="宋体" w:eastAsia="宋体" w:hint="default"/>
                            <w:sz w:val="18"/>
                            <w:szCs w:val="18"/>
                          </w:rPr>
                        </w:pPr>
                        <w:r>
                          <w:rPr>
                            <w:rFonts w:ascii="宋体" w:hAnsi="宋体" w:cs="宋体" w:eastAsia="宋体" w:hint="default"/>
                            <w:sz w:val="18"/>
                            <w:szCs w:val="18"/>
                          </w:rPr>
                          <w:t>研究医疗人工智能关键技术及服务健康中国 战略，开展人工智能技术在医疗健康领域的 应用研发</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90%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8"/>
                          <w:ind w:left="4" w:right="32"/>
                          <w:jc w:val="left"/>
                          <w:rPr>
                            <w:rFonts w:ascii="宋体" w:hAnsi="宋体" w:cs="宋体" w:eastAsia="宋体" w:hint="default"/>
                            <w:sz w:val="18"/>
                            <w:szCs w:val="18"/>
                          </w:rPr>
                        </w:pPr>
                        <w:r>
                          <w:rPr>
                            <w:rFonts w:ascii="宋体" w:hAnsi="宋体" w:cs="宋体" w:eastAsia="宋体" w:hint="default"/>
                            <w:sz w:val="18"/>
                            <w:szCs w:val="18"/>
                          </w:rPr>
                          <w:t>通过在医疗人工智能领域的应用开 发，积极运用新一代信息技术对产品 进行创新升级，可有效提升公司核心 竞争力</w:t>
                        </w:r>
                      </w:p>
                    </w:tc>
                  </w:tr>
                  <w:tr>
                    <w:trPr>
                      <w:trHeight w:val="163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穿戴式人体生理参数监 测技术和设备研发</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6" w:lineRule="auto"/>
                          <w:ind w:left="4" w:right="32"/>
                          <w:jc w:val="both"/>
                          <w:rPr>
                            <w:rFonts w:ascii="宋体" w:hAnsi="宋体" w:cs="宋体" w:eastAsia="宋体" w:hint="default"/>
                            <w:sz w:val="18"/>
                            <w:szCs w:val="18"/>
                          </w:rPr>
                        </w:pPr>
                        <w:r>
                          <w:rPr>
                            <w:rFonts w:ascii="宋体" w:hAnsi="宋体" w:cs="宋体" w:eastAsia="宋体" w:hint="default"/>
                            <w:sz w:val="18"/>
                            <w:szCs w:val="18"/>
                          </w:rPr>
                          <w:t>针对穿戴式人体生理参数监测要求，研发一 套多参数监测的人体体域网系统，包括专用 传感器、信号处理、集成芯片技术、移动终 端</w:t>
                        </w:r>
                        <w:r>
                          <w:rPr>
                            <w:rFonts w:ascii="Times New Roman" w:hAnsi="Times New Roman" w:cs="Times New Roman" w:eastAsia="Times New Roman" w:hint="default"/>
                            <w:sz w:val="18"/>
                            <w:szCs w:val="18"/>
                          </w:rPr>
                          <w:t>APP</w:t>
                        </w:r>
                        <w:r>
                          <w:rPr>
                            <w:rFonts w:ascii="宋体" w:hAnsi="宋体" w:cs="宋体" w:eastAsia="宋体" w:hint="default"/>
                            <w:sz w:val="18"/>
                            <w:szCs w:val="18"/>
                          </w:rPr>
                          <w:t>和数据处理服务云平台</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70%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有效地促进可穿戴医疗健康设备的普 </w:t>
                        </w:r>
                        <w:r>
                          <w:rPr>
                            <w:rFonts w:ascii="宋体" w:hAnsi="宋体" w:cs="宋体" w:eastAsia="宋体" w:hint="default"/>
                            <w:spacing w:val="-3"/>
                            <w:sz w:val="18"/>
                            <w:szCs w:val="18"/>
                          </w:rPr>
                          <w:t>及，随着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医疗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深入推进信息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化，以及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健康中国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建设的全面提速</w:t>
                        </w:r>
                        <w:r>
                          <w:rPr>
                            <w:rFonts w:ascii="宋体" w:hAnsi="宋体" w:cs="宋体" w:eastAsia="宋体" w:hint="default"/>
                            <w:spacing w:val="-77"/>
                            <w:sz w:val="18"/>
                            <w:szCs w:val="18"/>
                          </w:rPr>
                          <w:t> </w:t>
                        </w:r>
                        <w:r>
                          <w:rPr>
                            <w:rFonts w:ascii="宋体" w:hAnsi="宋体" w:cs="宋体" w:eastAsia="宋体" w:hint="default"/>
                            <w:sz w:val="18"/>
                            <w:szCs w:val="18"/>
                          </w:rPr>
                          <w:t>可穿戴医疗设备有望步入快速发展 期，市场规模将不断扩大</w:t>
                        </w:r>
                      </w:p>
                    </w:tc>
                  </w:tr>
                  <w:tr>
                    <w:trPr>
                      <w:trHeight w:val="195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4" w:right="0"/>
                          <w:jc w:val="left"/>
                          <w:rPr>
                            <w:rFonts w:ascii="宋体" w:hAnsi="宋体" w:cs="宋体" w:eastAsia="宋体" w:hint="default"/>
                            <w:sz w:val="18"/>
                            <w:szCs w:val="18"/>
                          </w:rPr>
                        </w:pPr>
                        <w:r>
                          <w:rPr>
                            <w:rFonts w:ascii="宋体" w:hAnsi="宋体" w:cs="宋体" w:eastAsia="宋体" w:hint="default"/>
                            <w:sz w:val="18"/>
                            <w:szCs w:val="18"/>
                          </w:rPr>
                          <w:t>智慧门店</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服务平台</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4" w:right="0"/>
                          <w:jc w:val="left"/>
                          <w:rPr>
                            <w:rFonts w:ascii="宋体" w:hAnsi="宋体" w:cs="宋体" w:eastAsia="宋体" w:hint="default"/>
                            <w:sz w:val="18"/>
                            <w:szCs w:val="18"/>
                          </w:rPr>
                        </w:pPr>
                        <w:r>
                          <w:rPr>
                            <w:rFonts w:ascii="宋体" w:hAnsi="宋体" w:cs="宋体" w:eastAsia="宋体" w:hint="default"/>
                            <w:sz w:val="18"/>
                            <w:szCs w:val="18"/>
                          </w:rPr>
                          <w:t>推动商业物联网的落地，帮助商家应用成功</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60%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8"/>
                          <w:ind w:left="4" w:right="32"/>
                          <w:jc w:val="both"/>
                          <w:rPr>
                            <w:rFonts w:ascii="宋体" w:hAnsi="宋体" w:cs="宋体" w:eastAsia="宋体" w:hint="default"/>
                            <w:sz w:val="18"/>
                            <w:szCs w:val="18"/>
                          </w:rPr>
                        </w:pPr>
                        <w:r>
                          <w:rPr>
                            <w:rFonts w:ascii="宋体" w:hAnsi="宋体" w:cs="宋体" w:eastAsia="宋体" w:hint="default"/>
                            <w:sz w:val="18"/>
                            <w:szCs w:val="18"/>
                          </w:rPr>
                          <w:t>智慧门店商业平台的开发成功，将有 助于公司在商业领域推动物联网方案 的落地及标准化普及，是公司战略转 型的里程碑，是我们从硬件集成商转 向真正的智能商业方案解决商的战略 突破</w:t>
                        </w:r>
                      </w:p>
                    </w:tc>
                  </w:tr>
                  <w:tr>
                    <w:trPr>
                      <w:trHeight w:val="163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4" w:lineRule="auto"/>
                          <w:ind w:left="4" w:right="72"/>
                          <w:jc w:val="both"/>
                          <w:rPr>
                            <w:rFonts w:ascii="宋体" w:hAnsi="宋体" w:cs="宋体" w:eastAsia="宋体" w:hint="default"/>
                            <w:sz w:val="18"/>
                            <w:szCs w:val="18"/>
                          </w:rPr>
                        </w:pPr>
                        <w:r>
                          <w:rPr>
                            <w:rFonts w:ascii="宋体" w:hAnsi="宋体" w:cs="宋体" w:eastAsia="宋体" w:hint="default"/>
                            <w:sz w:val="18"/>
                            <w:szCs w:val="18"/>
                          </w:rPr>
                          <w:t>基于多核低功耗高速计 算技术的</w:t>
                        </w:r>
                        <w:r>
                          <w:rPr>
                            <w:rFonts w:ascii="Times New Roman" w:hAnsi="Times New Roman" w:cs="Times New Roman" w:eastAsia="Times New Roman" w:hint="default"/>
                            <w:sz w:val="18"/>
                            <w:szCs w:val="18"/>
                          </w:rPr>
                          <w:t>ESL</w:t>
                        </w:r>
                        <w:r>
                          <w:rPr>
                            <w:rFonts w:ascii="宋体" w:hAnsi="宋体" w:cs="宋体" w:eastAsia="宋体" w:hint="default"/>
                            <w:sz w:val="18"/>
                            <w:szCs w:val="18"/>
                          </w:rPr>
                          <w:t>智能数据 系统</w:t>
                        </w:r>
                        <w:r>
                          <w:rPr>
                            <w:rFonts w:ascii="Times New Roman" w:hAnsi="Times New Roman" w:cs="Times New Roman" w:eastAsia="Times New Roman" w:hint="default"/>
                            <w:sz w:val="18"/>
                            <w:szCs w:val="18"/>
                          </w:rPr>
                          <w:t>-</w:t>
                        </w:r>
                        <w:r>
                          <w:rPr>
                            <w:rFonts w:ascii="宋体" w:hAnsi="宋体" w:cs="宋体" w:eastAsia="宋体" w:hint="default"/>
                            <w:sz w:val="18"/>
                            <w:szCs w:val="18"/>
                          </w:rPr>
                          <w:t>公共（</w:t>
                        </w:r>
                        <w:r>
                          <w:rPr>
                            <w:rFonts w:ascii="Times New Roman" w:hAnsi="Times New Roman" w:cs="Times New Roman" w:eastAsia="Times New Roman" w:hint="default"/>
                            <w:sz w:val="18"/>
                            <w:szCs w:val="18"/>
                          </w:rPr>
                          <w:t>ESL</w:t>
                        </w:r>
                        <w:r>
                          <w:rPr>
                            <w:rFonts w:ascii="宋体" w:hAnsi="宋体" w:cs="宋体" w:eastAsia="宋体" w:hint="default"/>
                            <w:sz w:val="18"/>
                            <w:szCs w:val="18"/>
                          </w:rPr>
                          <w:t>服装吊 牌）</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4"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ESL</w:t>
                        </w:r>
                        <w:r>
                          <w:rPr>
                            <w:rFonts w:ascii="宋体" w:hAnsi="宋体" w:cs="宋体" w:eastAsia="宋体" w:hint="default"/>
                            <w:sz w:val="18"/>
                            <w:szCs w:val="18"/>
                          </w:rPr>
                          <w:t>产品在商超已成熟应用，但是服装门店 尚无可应用版本，在国外代理商要求下，国 外服装经销商迫切需要一款可以自动刷新价 格的电子价格牌以提升他们的品牌形象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50%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4" w:right="32"/>
                          <w:jc w:val="left"/>
                          <w:rPr>
                            <w:rFonts w:ascii="宋体" w:hAnsi="宋体" w:cs="宋体" w:eastAsia="宋体" w:hint="default"/>
                            <w:sz w:val="18"/>
                            <w:szCs w:val="18"/>
                          </w:rPr>
                        </w:pPr>
                        <w:r>
                          <w:rPr>
                            <w:rFonts w:ascii="宋体" w:hAnsi="宋体" w:cs="宋体" w:eastAsia="宋体" w:hint="default"/>
                            <w:sz w:val="18"/>
                            <w:szCs w:val="18"/>
                          </w:rPr>
                          <w:t>此产品开发成功，为</w:t>
                        </w:r>
                        <w:r>
                          <w:rPr>
                            <w:rFonts w:ascii="Times New Roman" w:hAnsi="Times New Roman" w:cs="Times New Roman" w:eastAsia="Times New Roman" w:hint="default"/>
                            <w:sz w:val="18"/>
                            <w:szCs w:val="18"/>
                          </w:rPr>
                          <w:t>ESL</w:t>
                        </w:r>
                        <w:r>
                          <w:rPr>
                            <w:rFonts w:ascii="宋体" w:hAnsi="宋体" w:cs="宋体" w:eastAsia="宋体" w:hint="default"/>
                            <w:sz w:val="18"/>
                            <w:szCs w:val="18"/>
                          </w:rPr>
                          <w:t>在服装领域 的应用开启了商业道路；同时，为我 们在智能服装门店的全面智能化方面 及我们的商业</w:t>
                        </w:r>
                        <w:r>
                          <w:rPr>
                            <w:rFonts w:ascii="Times New Roman" w:hAnsi="Times New Roman" w:cs="Times New Roman" w:eastAsia="Times New Roman" w:hint="default"/>
                            <w:sz w:val="18"/>
                            <w:szCs w:val="18"/>
                          </w:rPr>
                          <w:t>SAAS</w:t>
                        </w:r>
                        <w:r>
                          <w:rPr>
                            <w:rFonts w:ascii="宋体" w:hAnsi="宋体" w:cs="宋体" w:eastAsia="宋体" w:hint="default"/>
                            <w:sz w:val="18"/>
                            <w:szCs w:val="18"/>
                          </w:rPr>
                          <w:t>平台的联动方面 带来了极大的成功应用可能性</w:t>
                        </w:r>
                      </w:p>
                    </w:tc>
                  </w:tr>
                  <w:tr>
                    <w:trPr>
                      <w:trHeight w:val="1637"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医养结合智能信息技术 研究及系统开发</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26" w:lineRule="auto"/>
                          <w:ind w:left="4" w:right="32"/>
                          <w:jc w:val="left"/>
                          <w:rPr>
                            <w:rFonts w:ascii="宋体" w:hAnsi="宋体" w:cs="宋体" w:eastAsia="宋体" w:hint="default"/>
                            <w:sz w:val="18"/>
                            <w:szCs w:val="18"/>
                          </w:rPr>
                        </w:pPr>
                        <w:r>
                          <w:rPr>
                            <w:rFonts w:ascii="宋体" w:hAnsi="宋体" w:cs="宋体" w:eastAsia="宋体" w:hint="default"/>
                            <w:sz w:val="18"/>
                            <w:szCs w:val="18"/>
                          </w:rPr>
                          <w:t>建立医养护融合智慧养老服务平台，打造智 慧健康养老</w:t>
                        </w:r>
                        <w:r>
                          <w:rPr>
                            <w:rFonts w:ascii="Times New Roman" w:hAnsi="Times New Roman" w:cs="Times New Roman" w:eastAsia="Times New Roman" w:hint="default"/>
                            <w:sz w:val="18"/>
                            <w:szCs w:val="18"/>
                          </w:rPr>
                          <w:t>“</w:t>
                        </w:r>
                        <w:r>
                          <w:rPr>
                            <w:rFonts w:ascii="宋体" w:hAnsi="宋体" w:cs="宋体" w:eastAsia="宋体" w:hint="default"/>
                            <w:sz w:val="18"/>
                            <w:szCs w:val="18"/>
                          </w:rPr>
                          <w:t>护联网</w:t>
                        </w:r>
                        <w:r>
                          <w:rPr>
                            <w:rFonts w:ascii="Times New Roman" w:hAnsi="Times New Roman" w:cs="Times New Roman" w:eastAsia="Times New Roman" w:hint="default"/>
                            <w:sz w:val="18"/>
                            <w:szCs w:val="18"/>
                          </w:rPr>
                          <w:t>”</w:t>
                        </w:r>
                        <w:r>
                          <w:rPr>
                            <w:rFonts w:ascii="宋体" w:hAnsi="宋体" w:cs="宋体" w:eastAsia="宋体" w:hint="default"/>
                            <w:sz w:val="18"/>
                            <w:szCs w:val="18"/>
                          </w:rPr>
                          <w:t>生态圈</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45%</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8"/>
                          <w:ind w:left="4" w:right="32"/>
                          <w:jc w:val="both"/>
                          <w:rPr>
                            <w:rFonts w:ascii="宋体" w:hAnsi="宋体" w:cs="宋体" w:eastAsia="宋体" w:hint="default"/>
                            <w:sz w:val="18"/>
                            <w:szCs w:val="18"/>
                          </w:rPr>
                        </w:pPr>
                        <w:r>
                          <w:rPr>
                            <w:rFonts w:ascii="宋体" w:hAnsi="宋体" w:cs="宋体" w:eastAsia="宋体" w:hint="default"/>
                            <w:sz w:val="18"/>
                            <w:szCs w:val="18"/>
                          </w:rPr>
                          <w:t>面对中国日益庞大的健康养老服务市 场需求，通过智慧养老应用开发及示 范验证可有效提升公司在养老服务市 场的影响力与竞争力，进一步为公司 拓展新兴市场</w:t>
                        </w:r>
                      </w:p>
                    </w:tc>
                  </w:tr>
                  <w:tr>
                    <w:trPr>
                      <w:trHeight w:val="2595"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326" w:lineRule="auto"/>
                          <w:ind w:left="4" w:right="91"/>
                          <w:jc w:val="left"/>
                          <w:rPr>
                            <w:rFonts w:ascii="宋体" w:hAnsi="宋体" w:cs="宋体" w:eastAsia="宋体" w:hint="default"/>
                            <w:sz w:val="18"/>
                            <w:szCs w:val="18"/>
                          </w:rPr>
                        </w:pPr>
                        <w:r>
                          <w:rPr>
                            <w:rFonts w:ascii="宋体" w:hAnsi="宋体" w:cs="宋体" w:eastAsia="宋体" w:hint="default"/>
                            <w:sz w:val="18"/>
                            <w:szCs w:val="18"/>
                          </w:rPr>
                          <w:t>精准医疗决策支持系统 研发</w:t>
                        </w:r>
                      </w:p>
                    </w:tc>
                    <w:tc>
                      <w:tcPr>
                        <w:tcW w:w="3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26" w:lineRule="auto"/>
                          <w:ind w:left="4" w:right="33"/>
                          <w:jc w:val="both"/>
                          <w:rPr>
                            <w:rFonts w:ascii="宋体" w:hAnsi="宋体" w:cs="宋体" w:eastAsia="宋体" w:hint="default"/>
                            <w:sz w:val="18"/>
                            <w:szCs w:val="18"/>
                          </w:rPr>
                        </w:pPr>
                        <w:r>
                          <w:rPr>
                            <w:rFonts w:ascii="宋体" w:hAnsi="宋体" w:cs="宋体" w:eastAsia="宋体" w:hint="default"/>
                            <w:sz w:val="18"/>
                            <w:szCs w:val="18"/>
                          </w:rPr>
                          <w:t>开展基因组学、大数据、人工智能等技术研 究，对疾病进行细分及精确诊断，研究构建 基于临床医疗数据的科研信息平台、临床医 疗数据搜索引擎设计、临床循证知识推送系 统开发应用</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30%</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4" w:right="32"/>
                          <w:jc w:val="both"/>
                          <w:rPr>
                            <w:rFonts w:ascii="宋体" w:hAnsi="宋体" w:cs="宋体" w:eastAsia="宋体" w:hint="default"/>
                            <w:sz w:val="18"/>
                            <w:szCs w:val="18"/>
                          </w:rPr>
                        </w:pPr>
                        <w:r>
                          <w:rPr>
                            <w:rFonts w:ascii="宋体" w:hAnsi="宋体" w:cs="宋体" w:eastAsia="宋体" w:hint="default"/>
                            <w:sz w:val="18"/>
                            <w:szCs w:val="18"/>
                          </w:rPr>
                          <w:t>突破重大疾病及高频罕见病的生物标 记物发现方法及系统研究开发，建立 面向疾病综合应用的临床决策支持系 统，实现风险预测、早期筛查、分子 </w:t>
                        </w:r>
                        <w:r>
                          <w:rPr>
                            <w:rFonts w:ascii="宋体" w:hAnsi="宋体" w:cs="宋体" w:eastAsia="宋体" w:hint="default"/>
                            <w:spacing w:val="-4"/>
                            <w:sz w:val="18"/>
                            <w:szCs w:val="18"/>
                          </w:rPr>
                          <w:t>分型、靶向治疗、疗效和安全性预测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预后监控以及个性化治疗。项目可提 升公司产品的核心竞争力，推动中国 医疗服务水平和质量的提升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76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412"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72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35.62%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119,804,253.79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104,930,575.85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97,812,840.41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13,589,310.73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9,340,635.67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9,921,949.11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1,271,383,739.52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1,267,757,776.41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1,273,634,216.03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1,084,069,058.12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-2,250,476.51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183,688,718.29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101,312,012.99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116,379,294.11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363,118,740.89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284,782,561.97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-261,806,727.90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-168,403,267.86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717,044,639.40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379,293,500.00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409,392,555.52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658,080,560.37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307,652,083.88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-278,787,060.37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42,401,223.15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-265,030,739.25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116.00%</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5"/>
        <w:spacing w:line="278" w:lineRule="auto" w:before="107"/>
        <w:ind w:right="1133" w:firstLine="420"/>
        <w:jc w:val="left"/>
      </w:pPr>
      <w:r>
        <w:rPr>
          <w:spacing w:val="-2"/>
        </w:rPr>
        <w:t>经营活动产生的现金流量净额较去年同比下降</w:t>
      </w:r>
      <w:r>
        <w:rPr>
          <w:rFonts w:ascii="宋体" w:hAnsi="宋体" w:cs="宋体" w:eastAsia="宋体" w:hint="default"/>
          <w:spacing w:val="-2"/>
        </w:rPr>
        <w:t>101.23%</w:t>
      </w:r>
      <w:r>
        <w:rPr>
          <w:spacing w:val="-2"/>
        </w:rPr>
        <w:t>，主要系公司分期回款项目增加、项目体量更</w:t>
      </w:r>
      <w:r>
        <w:rPr>
          <w:w w:val="100"/>
        </w:rPr>
        <w:t> </w:t>
      </w:r>
      <w:r>
        <w:rPr/>
        <w:t>大、实施周期更长以及战略合作过程中支付运营款增加及分期回款项目的影响；</w:t>
      </w:r>
    </w:p>
    <w:p>
      <w:pPr>
        <w:pStyle w:val="Heading5"/>
        <w:spacing w:line="280" w:lineRule="auto" w:before="10"/>
        <w:ind w:right="1133" w:firstLine="420"/>
        <w:jc w:val="left"/>
      </w:pPr>
      <w:r>
        <w:rPr>
          <w:spacing w:val="-2"/>
        </w:rPr>
        <w:t>投资活动产生的现金流量净额较去年同比下降</w:t>
      </w:r>
      <w:r>
        <w:rPr>
          <w:rFonts w:ascii="宋体" w:hAnsi="宋体" w:cs="宋体" w:eastAsia="宋体" w:hint="default"/>
          <w:spacing w:val="-2"/>
        </w:rPr>
        <w:t>55.46%</w:t>
      </w:r>
      <w:r>
        <w:rPr>
          <w:spacing w:val="-2"/>
        </w:rPr>
        <w:t>，主要系公司支付丰廪医健、宁波三创、深圳智</w:t>
      </w:r>
      <w:r>
        <w:rPr>
          <w:w w:val="100"/>
        </w:rPr>
        <w:t> </w:t>
      </w:r>
      <w:r>
        <w:rPr/>
        <w:t>慧医学等投资款所致；</w:t>
      </w:r>
    </w:p>
    <w:p>
      <w:pPr>
        <w:pStyle w:val="Heading5"/>
        <w:spacing w:line="278" w:lineRule="auto" w:before="8"/>
        <w:ind w:right="0" w:firstLine="420"/>
        <w:jc w:val="left"/>
      </w:pPr>
      <w:r>
        <w:rPr>
          <w:spacing w:val="-2"/>
        </w:rPr>
        <w:t>筹资活动产生的现金流量净额较去年同比增长</w:t>
      </w:r>
      <w:r>
        <w:rPr>
          <w:rFonts w:ascii="宋体" w:hAnsi="宋体" w:cs="宋体" w:eastAsia="宋体" w:hint="default"/>
          <w:spacing w:val="-2"/>
        </w:rPr>
        <w:t>210.35%</w:t>
      </w:r>
      <w:r>
        <w:rPr>
          <w:spacing w:val="-2"/>
        </w:rPr>
        <w:t>，主要系公司为满足日常经营及战略投资需求，</w:t>
      </w:r>
      <w:r>
        <w:rPr>
          <w:w w:val="100"/>
        </w:rPr>
        <w:t> </w:t>
      </w:r>
      <w:r>
        <w:rPr/>
        <w:t>增加对银行的长短期借款所致。</w:t>
      </w:r>
    </w:p>
    <w:p>
      <w:pPr>
        <w:spacing w:after="0" w:line="278"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244"/>
        <w:gridCol w:w="98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244" w:type="dxa"/>
            <w:tcBorders>
              <w:top w:val="single" w:sz="13" w:space="0" w:color="FFFFFF"/>
              <w:left w:val="single" w:sz="4" w:space="0" w:color="000000"/>
              <w:bottom w:val="nil" w:sz="6" w:space="0" w:color="auto"/>
              <w:right w:val="single" w:sz="4" w:space="0" w:color="000000"/>
            </w:tcBorders>
            <w:shd w:val="clear" w:color="auto" w:fill="D2D2D2"/>
          </w:tcPr>
          <w:p>
            <w:pPr/>
          </w:p>
        </w:tc>
        <w:tc>
          <w:tcPr>
            <w:tcW w:w="984"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395" w:right="3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482,794,143.90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429,625,738.95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775,700,936.92</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22.65%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600,132,291.47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1.97%</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主要系随智慧医疗业务销售规模的 扩大，应收款相应增加所致。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246,776,678.36</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7.21%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276,587,305.45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9.53%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主要系公司加强存货管理，存货周转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效率提升所致。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64,326,422.31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25,719,710.03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324,840,817.49</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9.49%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169,244,019.48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5.83%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3.66%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主要系公司本期增加对丰廪医健、宁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波三创、深圳智慧医学等投资且对其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有重大影响所致。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63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300,292,739.88</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8.77%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349,058,241.06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-3.26%</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系统及设备生产建设项 </w:t>
            </w:r>
            <w:r>
              <w:rPr>
                <w:rFonts w:ascii="宋体" w:hAnsi="宋体" w:cs="宋体" w:eastAsia="宋体" w:hint="default"/>
                <w:spacing w:val="-2"/>
                <w:sz w:val="18"/>
                <w:szCs w:val="18"/>
              </w:rPr>
              <w:t>目的房屋建筑物投入使用后，公司统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一规划使用生产办公场所，并将部分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厂房对外出租转入投资性房地产所 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629"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20,133,141.32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5,821,946.87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567,025,913.80</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16.56%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322,800,000.00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5.44%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主要系公司日常经营周转资金增加 引起的银行借款增加。</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192,948,000.00</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5.64%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4.48%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主要系公司投资项目增加引起的银 行借款增加。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44" w:type="dxa"/>
            <w:vMerge/>
            <w:tcBorders>
              <w:left w:val="single" w:sz="9" w:space="0" w:color="D2D2D2"/>
              <w:right w:val="single" w:sz="4" w:space="0" w:color="000000"/>
            </w:tcBorders>
          </w:tcPr>
          <w:p>
            <w:pPr/>
          </w:p>
        </w:tc>
        <w:tc>
          <w:tcPr>
            <w:tcW w:w="98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9" w:space="0" w:color="D2D2D2"/>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r>
        <w:rPr/>
        <w:pict>
          <v:group style="position:absolute;margin-left:91.704002pt;margin-top:681.695984pt;width:34.1pt;height:77.05pt;mso-position-horizontal-relative:page;mso-position-vertical-relative:page;z-index:-1080184" coordorigin="1834,13634" coordsize="682,1541">
            <v:shape style="position:absolute;left:1834;top:13634;width:682;height:1541" coordorigin="1834,13634" coordsize="682,1541" path="m1834,15175l2516,15175,2516,13634,1834,13634,1834,15175xe" filled="true" fillcolor="#ffffff" stroked="false">
              <v:path arrowok="t"/>
              <v:fill type="solid"/>
            </v:shape>
            <w10:wrap type="none"/>
          </v:group>
        </w:pict>
      </w: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410"/>
        <w:gridCol w:w="2410"/>
        <w:gridCol w:w="2268"/>
      </w:tblGrid>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8" w:hRule="exact"/>
        </w:trPr>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172"/>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1,979,000.30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信用证保证金</w:t>
            </w:r>
          </w:p>
        </w:tc>
      </w:tr>
      <w:tr>
        <w:trPr>
          <w:trHeight w:val="346" w:hRule="exact"/>
        </w:trPr>
        <w:tc>
          <w:tcPr>
            <w:tcW w:w="2410"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12,656,550.00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承兑汇票保证金</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14,635,550.30</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196,019,425.00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164,882,400.00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18.88%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855"/>
        <w:gridCol w:w="617"/>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5" w:right="48" w:hanging="181"/>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宁波三 创瑞海 投资管 理有限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1"/>
              <w:jc w:val="left"/>
              <w:rPr>
                <w:rFonts w:ascii="宋体" w:hAnsi="宋体" w:cs="宋体" w:eastAsia="宋体" w:hint="default"/>
                <w:sz w:val="18"/>
                <w:szCs w:val="18"/>
              </w:rPr>
            </w:pPr>
            <w:r>
              <w:rPr>
                <w:rFonts w:ascii="宋体" w:hAnsi="宋体" w:cs="宋体" w:eastAsia="宋体" w:hint="default"/>
                <w:sz w:val="18"/>
                <w:szCs w:val="18"/>
              </w:rPr>
              <w:t>投资管 </w:t>
            </w:r>
            <w:r>
              <w:rPr>
                <w:rFonts w:ascii="宋体" w:hAnsi="宋体" w:cs="宋体" w:eastAsia="宋体" w:hint="default"/>
                <w:spacing w:val="-22"/>
                <w:sz w:val="18"/>
                <w:szCs w:val="18"/>
              </w:rPr>
              <w:t>理、资产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-3,975.96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4">
              <w:r>
                <w:rPr>
                  <w:rFonts w:ascii="Times New Roman" w:hAnsi="Times New Roman" w:cs="Times New Roman" w:eastAsia="Times New Roman" w:hint="default"/>
                  <w:sz w:val="18"/>
                  <w:szCs w:val="18"/>
                </w:rPr>
                <w:t>http://w</w:t>
              </w:r>
            </w:hyperlink>
          </w:p>
          <w:p>
            <w:pPr>
              <w:pStyle w:val="TableParagraph"/>
              <w:spacing w:line="362" w:lineRule="auto" w:before="23"/>
              <w:ind w:left="24" w:right="22"/>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441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杭州丰 廪医健 股权投 资合伙 </w:t>
            </w:r>
            <w:r>
              <w:rPr>
                <w:rFonts w:ascii="宋体" w:hAnsi="宋体" w:cs="宋体" w:eastAsia="宋体" w:hint="default"/>
                <w:spacing w:val="-21"/>
                <w:sz w:val="18"/>
                <w:szCs w:val="18"/>
              </w:rPr>
              <w:t>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股权投 </w:t>
            </w:r>
            <w:r>
              <w:rPr>
                <w:rFonts w:ascii="宋体" w:hAnsi="宋体" w:cs="宋体" w:eastAsia="宋体" w:hint="default"/>
                <w:spacing w:val="-22"/>
                <w:sz w:val="18"/>
                <w:szCs w:val="18"/>
              </w:rPr>
              <w:t>资、股权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投资管 理</w:t>
            </w:r>
          </w:p>
          <w:p>
            <w:pPr>
              <w:pStyle w:val="TableParagraph"/>
              <w:spacing w:line="240" w:lineRule="auto" w:before="1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北京丰 廪投资 有限公 司、宁 波梅山 保税港 区丰廪 甘永投 资合伙 企业</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合伙企 业合伙 期限自 首批募 集资金 到账之 日起满 四年之 日止。 其中前 三年为 投资 期，后 一年为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-22,649.44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38" w:lineRule="auto"/>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4">
              <w:r>
                <w:rPr>
                  <w:rFonts w:ascii="Times New Roman" w:hAnsi="Times New Roman" w:cs="Times New Roman" w:eastAsia="Times New Roman" w:hint="default"/>
                  <w:sz w:val="18"/>
                  <w:szCs w:val="18"/>
                </w:rPr>
                <w:t>http://w</w:t>
              </w:r>
            </w:hyperlink>
          </w:p>
          <w:p>
            <w:pPr>
              <w:pStyle w:val="TableParagraph"/>
              <w:spacing w:line="362" w:lineRule="auto" w:before="23"/>
              <w:ind w:left="24" w:right="22"/>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855"/>
        <w:gridCol w:w="617"/>
        <w:gridCol w:w="734"/>
        <w:gridCol w:w="722"/>
      </w:tblGrid>
      <w:tr>
        <w:trPr>
          <w:trHeight w:val="5355"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7"/>
              <w:jc w:val="left"/>
              <w:rPr>
                <w:rFonts w:ascii="宋体" w:hAnsi="宋体" w:cs="宋体" w:eastAsia="宋体" w:hint="default"/>
                <w:sz w:val="18"/>
                <w:szCs w:val="18"/>
              </w:rPr>
            </w:pPr>
            <w:r>
              <w:rPr>
                <w:rFonts w:ascii="宋体" w:hAnsi="宋体" w:cs="宋体" w:eastAsia="宋体" w:hint="default"/>
                <w:sz w:val="18"/>
                <w:szCs w:val="18"/>
              </w:rPr>
              <w:t>回收 期。经 营期满 经普通 合伙人 书面同 意，合 伙企业 可延 续，每 次延续 期限不 超过一 年，最 多可延 续两 次。</w:t>
            </w: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-26,625.40</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5"/>
        <w:gridCol w:w="653"/>
        <w:gridCol w:w="650"/>
        <w:gridCol w:w="653"/>
        <w:gridCol w:w="653"/>
        <w:gridCol w:w="650"/>
        <w:gridCol w:w="653"/>
      </w:tblGrid>
      <w:tr>
        <w:trPr>
          <w:trHeight w:val="1650"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0"/>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智慧医疗产业 化基地项目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智慧医疗</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00.23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尚未建 设完毕</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00.23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00.23</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after="0" w:line="340" w:lineRule="auto"/>
        <w:jc w:val="left"/>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4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4851" w:space="397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1453"/>
        <w:gridCol w:w="1044"/>
        <w:gridCol w:w="1047"/>
        <w:gridCol w:w="1046"/>
        <w:gridCol w:w="1045"/>
        <w:gridCol w:w="1044"/>
        <w:gridCol w:w="10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816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72"/>
              <w:jc w:val="center"/>
              <w:rPr>
                <w:rFonts w:ascii="宋体" w:hAnsi="宋体" w:cs="宋体" w:eastAsia="宋体" w:hint="default"/>
                <w:sz w:val="18"/>
                <w:szCs w:val="18"/>
              </w:rPr>
            </w:pPr>
            <w:r>
              <w:rPr>
                <w:rFonts w:ascii="宋体" w:hAnsi="宋体" w:cs="宋体" w:eastAsia="宋体" w:hint="default"/>
                <w:sz w:val="18"/>
                <w:szCs w:val="18"/>
              </w:rPr>
              <w:t>医惠科技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技术开发、技术服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务、技术咨询、成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果转让</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 </w:t>
            </w:r>
            <w:r>
              <w:rPr>
                <w:rFonts w:ascii="宋体" w:hAnsi="宋体" w:cs="宋体" w:eastAsia="宋体" w:hint="default"/>
                <w:spacing w:val="-6"/>
                <w:sz w:val="18"/>
                <w:szCs w:val="18"/>
              </w:rPr>
              <w:t>软、硬件、网络设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r>
              <w:rPr>
                <w:rFonts w:ascii="Times New Roman" w:hAnsi="Times New Roman" w:cs="Times New Roman" w:eastAsia="Times New Roman" w:hint="default"/>
                <w:sz w:val="18"/>
                <w:szCs w:val="18"/>
              </w:rPr>
              <w:t>,</w:t>
            </w:r>
            <w:r>
              <w:rPr>
                <w:rFonts w:ascii="宋体" w:hAnsi="宋体" w:cs="宋体" w:eastAsia="宋体" w:hint="default"/>
                <w:sz w:val="18"/>
                <w:szCs w:val="18"/>
              </w:rPr>
              <w:t>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物联 网技术</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计算机系 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工业自动 化控制系统</w:t>
            </w:r>
            <w:r>
              <w:rPr>
                <w:rFonts w:ascii="Times New Roman" w:hAnsi="Times New Roman" w:cs="Times New Roman" w:eastAsia="Times New Roman" w:hint="default"/>
                <w:sz w:val="18"/>
                <w:szCs w:val="18"/>
              </w:rPr>
              <w:t>,</w:t>
            </w:r>
            <w:r>
              <w:rPr>
                <w:rFonts w:ascii="宋体" w:hAnsi="宋体" w:cs="宋体" w:eastAsia="宋体" w:hint="default"/>
                <w:sz w:val="18"/>
                <w:szCs w:val="18"/>
              </w:rPr>
              <w:t>网络 安全设备</w:t>
            </w:r>
            <w:r>
              <w:rPr>
                <w:rFonts w:ascii="Times New Roman" w:hAnsi="Times New Roman" w:cs="Times New Roman" w:eastAsia="Times New Roman" w:hint="default"/>
                <w:sz w:val="18"/>
                <w:szCs w:val="18"/>
              </w:rPr>
              <w:t>,</w:t>
            </w:r>
            <w:r>
              <w:rPr>
                <w:rFonts w:ascii="宋体" w:hAnsi="宋体" w:cs="宋体" w:eastAsia="宋体" w:hint="default"/>
                <w:sz w:val="18"/>
                <w:szCs w:val="18"/>
              </w:rPr>
              <w:t>人工智 能技术</w:t>
            </w:r>
            <w:r>
              <w:rPr>
                <w:rFonts w:ascii="Times New Roman" w:hAnsi="Times New Roman" w:cs="Times New Roman" w:eastAsia="Times New Roman" w:hint="default"/>
                <w:sz w:val="18"/>
                <w:szCs w:val="18"/>
              </w:rPr>
              <w:t>,</w:t>
            </w:r>
            <w:r>
              <w:rPr>
                <w:rFonts w:ascii="宋体" w:hAnsi="宋体" w:cs="宋体" w:eastAsia="宋体" w:hint="default"/>
                <w:sz w:val="18"/>
                <w:szCs w:val="18"/>
              </w:rPr>
              <w:t>数据存储 技术</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医疗技术</w:t>
            </w:r>
            <w:r>
              <w:rPr>
                <w:rFonts w:ascii="Times New Roman" w:hAnsi="Times New Roman" w:cs="Times New Roman" w:eastAsia="Times New Roman" w:hint="default"/>
                <w:sz w:val="18"/>
                <w:szCs w:val="18"/>
              </w:rPr>
              <w:t>;</w:t>
            </w:r>
            <w:r>
              <w:rPr>
                <w:rFonts w:ascii="宋体" w:hAnsi="宋体" w:cs="宋体" w:eastAsia="宋体" w:hint="default"/>
                <w:sz w:val="18"/>
                <w:szCs w:val="18"/>
              </w:rPr>
              <w:t>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工业产品设 计、产品外观设 </w:t>
            </w:r>
            <w:r>
              <w:rPr>
                <w:rFonts w:ascii="宋体" w:hAnsi="宋体" w:cs="宋体" w:eastAsia="宋体" w:hint="default"/>
                <w:spacing w:val="-6"/>
                <w:sz w:val="18"/>
                <w:szCs w:val="18"/>
              </w:rPr>
              <w:t>计、会展会务、企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业管理咨询、以承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接服务外包方式 从事信息技术支 </w:t>
            </w:r>
            <w:r>
              <w:rPr>
                <w:rFonts w:ascii="宋体" w:hAnsi="宋体" w:cs="宋体" w:eastAsia="宋体" w:hint="default"/>
                <w:spacing w:val="-6"/>
                <w:sz w:val="18"/>
                <w:szCs w:val="18"/>
              </w:rPr>
              <w:t>持管理、软件开发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外包服务、第二类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增值电信业务中 的信息服务业务 </w:t>
            </w:r>
            <w:r>
              <w:rPr>
                <w:rFonts w:ascii="Times New Roman" w:hAnsi="Times New Roman" w:cs="Times New Roman" w:eastAsia="Times New Roman" w:hint="default"/>
                <w:sz w:val="18"/>
                <w:szCs w:val="18"/>
              </w:rPr>
              <w:t>(</w:t>
            </w:r>
            <w:r>
              <w:rPr>
                <w:rFonts w:ascii="宋体" w:hAnsi="宋体" w:cs="宋体" w:eastAsia="宋体" w:hint="default"/>
                <w:sz w:val="18"/>
                <w:szCs w:val="18"/>
              </w:rPr>
              <w:t>仅限互联网信息 服务</w:t>
            </w:r>
            <w:r>
              <w:rPr>
                <w:rFonts w:ascii="Times New Roman" w:hAnsi="Times New Roman" w:cs="Times New Roman" w:eastAsia="Times New Roman" w:hint="default"/>
                <w:sz w:val="18"/>
                <w:szCs w:val="18"/>
              </w:rPr>
              <w:t>);</w:t>
            </w:r>
            <w:r>
              <w:rPr>
                <w:rFonts w:ascii="宋体" w:hAnsi="宋体" w:cs="宋体" w:eastAsia="宋体" w:hint="default"/>
                <w:sz w:val="18"/>
                <w:szCs w:val="18"/>
              </w:rPr>
              <w:t>承接</w:t>
            </w:r>
            <w:r>
              <w:rPr>
                <w:rFonts w:ascii="Times New Roman" w:hAnsi="Times New Roman" w:cs="Times New Roman" w:eastAsia="Times New Roman" w:hint="default"/>
                <w:sz w:val="18"/>
                <w:szCs w:val="18"/>
              </w:rPr>
              <w:t>:</w:t>
            </w:r>
            <w:r>
              <w:rPr>
                <w:rFonts w:ascii="宋体" w:hAnsi="宋体" w:cs="宋体" w:eastAsia="宋体" w:hint="default"/>
                <w:sz w:val="18"/>
                <w:szCs w:val="18"/>
              </w:rPr>
              <w:t>综合 网络布线工程</w:t>
            </w:r>
            <w:r>
              <w:rPr>
                <w:rFonts w:ascii="Times New Roman" w:hAnsi="Times New Roman" w:cs="Times New Roman" w:eastAsia="Times New Roman" w:hint="default"/>
                <w:sz w:val="18"/>
                <w:szCs w:val="18"/>
              </w:rPr>
              <w:t>,</w:t>
            </w:r>
            <w:r>
              <w:rPr>
                <w:rFonts w:ascii="宋体" w:hAnsi="宋体" w:cs="宋体" w:eastAsia="宋体" w:hint="default"/>
                <w:sz w:val="18"/>
                <w:szCs w:val="18"/>
              </w:rPr>
              <w:t>通 讯工程</w:t>
            </w:r>
            <w:r>
              <w:rPr>
                <w:rFonts w:ascii="Times New Roman" w:hAnsi="Times New Roman" w:cs="Times New Roman" w:eastAsia="Times New Roman" w:hint="default"/>
                <w:sz w:val="18"/>
                <w:szCs w:val="18"/>
              </w:rPr>
              <w:t>,</w:t>
            </w:r>
            <w:r>
              <w:rPr>
                <w:rFonts w:ascii="宋体" w:hAnsi="宋体" w:cs="宋体" w:eastAsia="宋体" w:hint="default"/>
                <w:sz w:val="18"/>
                <w:szCs w:val="18"/>
              </w:rPr>
              <w:t>弱电工程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60,000,000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1,118,937,61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838,837,165.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521,135,093.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148,726,015.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136,630,680.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1453"/>
        <w:gridCol w:w="1044"/>
        <w:gridCol w:w="1047"/>
        <w:gridCol w:w="1046"/>
        <w:gridCol w:w="1045"/>
        <w:gridCol w:w="1044"/>
        <w:gridCol w:w="1046"/>
      </w:tblGrid>
      <w:tr>
        <w:trPr>
          <w:trHeight w:val="4419"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【除承接</w:t>
            </w:r>
            <w:r>
              <w:rPr>
                <w:rFonts w:ascii="Times New Roman" w:hAnsi="Times New Roman" w:cs="Times New Roman" w:eastAsia="Times New Roman" w:hint="default"/>
                <w:sz w:val="18"/>
                <w:szCs w:val="18"/>
              </w:rPr>
              <w:t>(</w:t>
            </w:r>
            <w:r>
              <w:rPr>
                <w:rFonts w:ascii="宋体" w:hAnsi="宋体" w:cs="宋体" w:eastAsia="宋体" w:hint="default"/>
                <w:sz w:val="18"/>
                <w:szCs w:val="18"/>
              </w:rPr>
              <w:t>修、试</w:t>
            </w:r>
            <w:r>
              <w:rPr>
                <w:rFonts w:ascii="Times New Roman" w:hAnsi="Times New Roman" w:cs="Times New Roman" w:eastAsia="Times New Roman" w:hint="default"/>
                <w:sz w:val="18"/>
                <w:szCs w:val="18"/>
              </w:rPr>
              <w:t>) </w:t>
            </w:r>
            <w:r>
              <w:rPr>
                <w:rFonts w:ascii="宋体" w:hAnsi="宋体" w:cs="宋体" w:eastAsia="宋体" w:hint="default"/>
                <w:sz w:val="18"/>
                <w:szCs w:val="18"/>
              </w:rPr>
              <w:t>电力设施】</w:t>
            </w:r>
            <w:r>
              <w:rPr>
                <w:rFonts w:ascii="Times New Roman" w:hAnsi="Times New Roman" w:cs="Times New Roman" w:eastAsia="Times New Roman" w:hint="default"/>
                <w:sz w:val="18"/>
                <w:szCs w:val="18"/>
              </w:rPr>
              <w:t>(</w:t>
            </w:r>
            <w:r>
              <w:rPr>
                <w:rFonts w:ascii="宋体" w:hAnsi="宋体" w:cs="宋体" w:eastAsia="宋体" w:hint="default"/>
                <w:sz w:val="18"/>
                <w:szCs w:val="18"/>
              </w:rPr>
              <w:t>凭资 质经营</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 网路工程</w:t>
            </w:r>
            <w:r>
              <w:rPr>
                <w:rFonts w:ascii="Times New Roman" w:hAnsi="Times New Roman" w:cs="Times New Roman" w:eastAsia="Times New Roman" w:hint="default"/>
                <w:sz w:val="18"/>
                <w:szCs w:val="18"/>
              </w:rPr>
              <w:t>;</w:t>
            </w: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计 </w:t>
            </w:r>
            <w:r>
              <w:rPr>
                <w:rFonts w:ascii="宋体" w:hAnsi="宋体" w:cs="宋体" w:eastAsia="宋体" w:hint="default"/>
                <w:spacing w:val="-6"/>
                <w:sz w:val="18"/>
                <w:szCs w:val="18"/>
              </w:rPr>
              <w:t>算机软、硬件及配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件、网络设备、通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讯设备、智能自动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化设备、机电设 </w:t>
            </w:r>
            <w:r>
              <w:rPr>
                <w:rFonts w:ascii="宋体" w:hAnsi="宋体" w:cs="宋体" w:eastAsia="宋体" w:hint="default"/>
                <w:spacing w:val="-6"/>
                <w:sz w:val="18"/>
                <w:szCs w:val="18"/>
              </w:rPr>
              <w:t>备、电子产品、服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装服饰、鞋帽、第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一类医疗器械、第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二类医疗器械</w:t>
            </w:r>
            <w:r>
              <w:rPr>
                <w:rFonts w:ascii="Times New Roman" w:hAnsi="Times New Roman" w:cs="Times New Roman" w:eastAsia="Times New Roman" w:hint="default"/>
                <w:sz w:val="18"/>
                <w:szCs w:val="18"/>
              </w:rPr>
              <w:t>;</w:t>
            </w:r>
            <w:r>
              <w:rPr>
                <w:rFonts w:ascii="宋体" w:hAnsi="宋体" w:cs="宋体" w:eastAsia="宋体" w:hint="default"/>
                <w:sz w:val="18"/>
                <w:szCs w:val="18"/>
              </w:rPr>
              <w:t>货 </w:t>
            </w:r>
            <w:r>
              <w:rPr>
                <w:rFonts w:ascii="宋体" w:hAnsi="宋体" w:cs="宋体" w:eastAsia="宋体" w:hint="default"/>
                <w:spacing w:val="-6"/>
                <w:sz w:val="18"/>
                <w:szCs w:val="18"/>
              </w:rPr>
              <w:t>物进出口、技术进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出口</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无线射频材料、器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材、设备及系统、 电子产品的生产 制造、开发及销 售</w:t>
            </w:r>
            <w:r>
              <w:rPr>
                <w:rFonts w:ascii="Times New Roman" w:hAnsi="Times New Roman" w:cs="Times New Roman" w:eastAsia="Times New Roman" w:hint="default"/>
                <w:sz w:val="18"/>
                <w:szCs w:val="18"/>
              </w:rPr>
              <w:t>;</w:t>
            </w:r>
            <w:r>
              <w:rPr>
                <w:rFonts w:ascii="宋体" w:hAnsi="宋体" w:cs="宋体" w:eastAsia="宋体" w:hint="default"/>
                <w:sz w:val="18"/>
                <w:szCs w:val="18"/>
              </w:rPr>
              <w:t>机械设备租赁</w:t>
            </w:r>
            <w:r>
              <w:rPr>
                <w:rFonts w:ascii="Times New Roman" w:hAnsi="Times New Roman" w:cs="Times New Roman" w:eastAsia="Times New Roman" w:hint="default"/>
                <w:sz w:val="18"/>
                <w:szCs w:val="18"/>
              </w:rPr>
              <w:t>; </w:t>
            </w:r>
            <w:r>
              <w:rPr>
                <w:rFonts w:ascii="宋体" w:hAnsi="宋体" w:cs="宋体" w:eastAsia="宋体" w:hint="default"/>
                <w:sz w:val="18"/>
                <w:szCs w:val="18"/>
              </w:rPr>
              <w:t>自营和代理各类 商品和技术的进 出口业务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291,213,376.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212,323,968.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347,870,102.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47,805,418.4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40,784,248.7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1133"/>
        <w:jc w:val="left"/>
      </w:pPr>
      <w:r>
        <w:rPr/>
        <w:t>报告期内取得和处置子公司的情况</w:t>
      </w:r>
    </w:p>
    <w:p>
      <w:pPr>
        <w:pStyle w:val="BodyText"/>
        <w:spacing w:line="338"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7"/>
        <w:rPr>
          <w:rFonts w:ascii="宋体" w:hAnsi="宋体" w:cs="宋体" w:eastAsia="宋体" w:hint="default"/>
          <w:b/>
          <w:bCs/>
          <w:sz w:val="31"/>
          <w:szCs w:val="31"/>
        </w:rPr>
      </w:pPr>
    </w:p>
    <w:p>
      <w:pPr>
        <w:spacing w:line="348" w:lineRule="auto" w:before="0"/>
        <w:ind w:left="573" w:right="8223" w:firstLine="2"/>
        <w:jc w:val="left"/>
        <w:rPr>
          <w:rFonts w:ascii="宋体" w:hAnsi="宋体" w:cs="宋体" w:eastAsia="宋体" w:hint="default"/>
          <w:sz w:val="21"/>
          <w:szCs w:val="21"/>
        </w:rPr>
      </w:pPr>
      <w:r>
        <w:rPr>
          <w:rFonts w:ascii="宋体" w:hAnsi="宋体" w:cs="宋体" w:eastAsia="宋体" w:hint="default"/>
          <w:b/>
          <w:bCs/>
          <w:sz w:val="21"/>
          <w:szCs w:val="21"/>
        </w:rPr>
        <w:t>（一）行业格局和趋势</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、智慧医疗行业</w:t>
      </w:r>
    </w:p>
    <w:p>
      <w:pPr>
        <w:pStyle w:val="Heading5"/>
        <w:spacing w:line="240" w:lineRule="auto" w:before="31"/>
        <w:ind w:left="573" w:right="1133"/>
        <w:jc w:val="left"/>
      </w:pPr>
      <w:r>
        <w:rPr/>
        <w:t>（</w:t>
      </w:r>
      <w:r>
        <w:rPr>
          <w:rFonts w:ascii="宋体" w:hAnsi="宋体" w:cs="宋体" w:eastAsia="宋体" w:hint="default"/>
        </w:rPr>
        <w:t>1</w:t>
      </w:r>
      <w:r>
        <w:rPr/>
        <w:t>）智慧医疗行业发展现状及政策背景</w:t>
      </w:r>
    </w:p>
    <w:p>
      <w:pPr>
        <w:pStyle w:val="Heading5"/>
        <w:spacing w:line="348" w:lineRule="auto" w:before="126"/>
        <w:ind w:left="573" w:right="1133"/>
        <w:jc w:val="left"/>
      </w:pPr>
      <w:r>
        <w:rPr/>
        <w:t>①行业发展现状</w:t>
      </w:r>
      <w:r>
        <w:rPr>
          <w:spacing w:val="-103"/>
        </w:rPr>
        <w:t> </w:t>
      </w:r>
      <w:r>
        <w:rPr>
          <w:spacing w:val="-103"/>
        </w:rPr>
      </w:r>
      <w:r>
        <w:rPr>
          <w:spacing w:val="-2"/>
        </w:rPr>
        <w:t>智慧医疗是指在医疗信息化的基础上，利用先进的互联网技术和物联网技术并通过智能化的方式，将</w:t>
      </w:r>
    </w:p>
    <w:p>
      <w:pPr>
        <w:pStyle w:val="Heading5"/>
        <w:spacing w:line="350" w:lineRule="auto" w:before="31"/>
        <w:ind w:right="0"/>
        <w:jc w:val="left"/>
      </w:pPr>
      <w:r>
        <w:rPr>
          <w:spacing w:val="-2"/>
        </w:rPr>
        <w:t>与医疗卫生服务相关的人员、信息、设备、资源连接起来，实现患者与医务人员、医疗机构、医疗设备之</w:t>
      </w:r>
      <w:r>
        <w:rPr>
          <w:spacing w:val="-42"/>
        </w:rPr>
        <w:t> </w:t>
      </w:r>
      <w:r>
        <w:rPr>
          <w:spacing w:val="-42"/>
        </w:rPr>
      </w:r>
      <w:r>
        <w:rPr>
          <w:spacing w:val="-2"/>
        </w:rPr>
        <w:t>间形成互动的信息化医疗，以保证患者及时获得预防性和治疗性的医疗服务。一方面，受益于国家政策对</w:t>
      </w:r>
      <w:r>
        <w:rPr>
          <w:spacing w:val="-45"/>
        </w:rPr>
        <w:t> </w:t>
      </w:r>
      <w:r>
        <w:rPr>
          <w:spacing w:val="-45"/>
        </w:rPr>
      </w:r>
      <w:r>
        <w:rPr>
          <w:spacing w:val="-5"/>
        </w:rPr>
        <w:t>医疗信息化行业的大力支持、医院内生需求以及物联网、大数据、人工智能等新兴技术的兴起等因素影响， </w:t>
      </w:r>
      <w:r>
        <w:rPr>
          <w:spacing w:val="-5"/>
        </w:rPr>
      </w:r>
      <w:r>
        <w:rPr>
          <w:spacing w:val="-2"/>
        </w:rPr>
        <w:t>近年来国内医疗信息化市场投资规模持续扩大；另一方面，随着国内经济的快速发展，社会生活水平的提</w:t>
      </w:r>
    </w:p>
    <w:p>
      <w:pPr>
        <w:spacing w:after="0" w:line="35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0"/>
        <w:jc w:val="left"/>
      </w:pPr>
      <w:r>
        <w:rPr/>
        <w:t>高以及政府对公共卫生事业投入的增加，近年来人们对诊疗保健的需求从被动、应对性的就医诊疗，逐渐</w:t>
      </w:r>
      <w:r>
        <w:rPr>
          <w:w w:val="100"/>
        </w:rPr>
        <w:t> </w:t>
      </w:r>
      <w:r>
        <w:rPr>
          <w:spacing w:val="-2"/>
        </w:rPr>
        <w:t>转向主动、常态性的预防保健，众多医疗机构加大对智能化、信息化的投入以满足患者更高水平的服务需</w:t>
      </w:r>
      <w:r>
        <w:rPr>
          <w:spacing w:val="-45"/>
        </w:rPr>
        <w:t> </w:t>
      </w:r>
      <w:r>
        <w:rPr>
          <w:spacing w:val="-45"/>
        </w:rPr>
      </w:r>
      <w:r>
        <w:rPr>
          <w:spacing w:val="-2"/>
        </w:rPr>
        <w:t>求。根据</w:t>
      </w:r>
      <w:r>
        <w:rPr>
          <w:rFonts w:ascii="宋体" w:hAnsi="宋体" w:cs="宋体" w:eastAsia="宋体" w:hint="default"/>
          <w:spacing w:val="-2"/>
        </w:rPr>
        <w:t>IDC</w:t>
      </w:r>
      <w:r>
        <w:rPr>
          <w:spacing w:val="-2"/>
        </w:rPr>
        <w:t>数据，我国医疗信息化市场总花费规模将从</w:t>
      </w:r>
      <w:r>
        <w:rPr>
          <w:rFonts w:ascii="宋体" w:hAnsi="宋体" w:cs="宋体" w:eastAsia="宋体" w:hint="default"/>
          <w:spacing w:val="-2"/>
        </w:rPr>
        <w:t>2010</w:t>
      </w:r>
      <w:r>
        <w:rPr>
          <w:spacing w:val="-2"/>
        </w:rPr>
        <w:t>年的</w:t>
      </w:r>
      <w:r>
        <w:rPr>
          <w:rFonts w:ascii="宋体" w:hAnsi="宋体" w:cs="宋体" w:eastAsia="宋体" w:hint="default"/>
          <w:spacing w:val="-2"/>
        </w:rPr>
        <w:t>124.41</w:t>
      </w:r>
      <w:r>
        <w:rPr>
          <w:spacing w:val="-2"/>
        </w:rPr>
        <w:t>亿元增长到</w:t>
      </w:r>
      <w:r>
        <w:rPr>
          <w:rFonts w:ascii="宋体" w:hAnsi="宋体" w:cs="宋体" w:eastAsia="宋体" w:hint="default"/>
          <w:spacing w:val="-2"/>
        </w:rPr>
        <w:t>2020</w:t>
      </w:r>
      <w:r>
        <w:rPr>
          <w:spacing w:val="-2"/>
        </w:rPr>
        <w:t>年的</w:t>
      </w:r>
      <w:r>
        <w:rPr>
          <w:rFonts w:ascii="宋体" w:hAnsi="宋体" w:cs="宋体" w:eastAsia="宋体" w:hint="default"/>
          <w:spacing w:val="-2"/>
        </w:rPr>
        <w:t>430.55</w:t>
      </w:r>
      <w:r>
        <w:rPr>
          <w:spacing w:val="-2"/>
        </w:rPr>
        <w:t>亿元，</w:t>
      </w:r>
      <w:r>
        <w:rPr>
          <w:spacing w:val="-19"/>
        </w:rPr>
        <w:t> </w:t>
      </w:r>
      <w:r>
        <w:rPr>
          <w:spacing w:val="-19"/>
        </w:rPr>
      </w:r>
      <w:r>
        <w:rPr>
          <w:spacing w:val="-2"/>
        </w:rPr>
        <w:t>年均复合增长率为</w:t>
      </w:r>
      <w:r>
        <w:rPr>
          <w:rFonts w:ascii="宋体" w:hAnsi="宋体" w:cs="宋体" w:eastAsia="宋体" w:hint="default"/>
          <w:spacing w:val="-2"/>
        </w:rPr>
        <w:t>13.22%</w:t>
      </w:r>
      <w:r>
        <w:rPr>
          <w:spacing w:val="-2"/>
        </w:rPr>
        <w:t>。</w:t>
      </w:r>
      <w:r>
        <w:rPr>
          <w:rFonts w:ascii="宋体" w:hAnsi="宋体" w:cs="宋体" w:eastAsia="宋体" w:hint="default"/>
          <w:spacing w:val="-2"/>
        </w:rPr>
        <w:t>IDC</w:t>
      </w:r>
      <w:r>
        <w:rPr>
          <w:spacing w:val="-2"/>
        </w:rPr>
        <w:t>预测，从组织结构上看我国医疗信息化市场仍将以医院市场为主，占据</w:t>
      </w:r>
      <w:r>
        <w:rPr>
          <w:rFonts w:ascii="宋体" w:hAnsi="宋体" w:cs="宋体" w:eastAsia="宋体" w:hint="default"/>
          <w:spacing w:val="-2"/>
        </w:rPr>
        <w:t>80%</w:t>
      </w:r>
      <w:r>
        <w:rPr>
          <w:rFonts w:ascii="宋体" w:hAnsi="宋体" w:cs="宋体" w:eastAsia="宋体" w:hint="default"/>
          <w:spacing w:val="-34"/>
        </w:rPr>
        <w:t> </w:t>
      </w:r>
      <w:r>
        <w:rPr>
          <w:rFonts w:ascii="宋体" w:hAnsi="宋体" w:cs="宋体" w:eastAsia="宋体" w:hint="default"/>
          <w:spacing w:val="-34"/>
        </w:rPr>
      </w:r>
      <w:r>
        <w:rPr/>
        <w:t>左右的市场份额，其他公共卫生、区域卫生医疗信息化平台等占据</w:t>
      </w:r>
      <w:r>
        <w:rPr>
          <w:rFonts w:ascii="宋体" w:hAnsi="宋体" w:cs="宋体" w:eastAsia="宋体" w:hint="default"/>
        </w:rPr>
        <w:t>20%</w:t>
      </w:r>
      <w:r>
        <w:rPr/>
        <w:t>。目前，国内参与医疗信息化建设</w:t>
      </w:r>
      <w:r>
        <w:rPr>
          <w:w w:val="100"/>
        </w:rPr>
        <w:t> </w:t>
      </w:r>
      <w:r>
        <w:rPr/>
        <w:t>的公司众多，根据医盟网统计，</w:t>
      </w:r>
      <w:r>
        <w:rPr>
          <w:rFonts w:ascii="宋体" w:hAnsi="宋体" w:cs="宋体" w:eastAsia="宋体" w:hint="default"/>
        </w:rPr>
        <w:t>2018</w:t>
      </w:r>
      <w:r>
        <w:rPr/>
        <w:t>年我国医疗</w:t>
      </w:r>
      <w:r>
        <w:rPr>
          <w:rFonts w:ascii="宋体" w:hAnsi="宋体" w:cs="宋体" w:eastAsia="宋体" w:hint="default"/>
        </w:rPr>
        <w:t>IT</w:t>
      </w:r>
      <w:r>
        <w:rPr/>
        <w:t>企业超过</w:t>
      </w:r>
      <w:r>
        <w:rPr>
          <w:rFonts w:ascii="宋体" w:hAnsi="宋体" w:cs="宋体" w:eastAsia="宋体" w:hint="default"/>
        </w:rPr>
        <w:t>300</w:t>
      </w:r>
      <w:r>
        <w:rPr/>
        <w:t>家，总体来看，国内医疗信息化行业具备</w:t>
      </w:r>
      <w:r>
        <w:rPr>
          <w:w w:val="100"/>
        </w:rPr>
        <w:t> </w:t>
      </w:r>
      <w:r>
        <w:rPr>
          <w:spacing w:val="-2"/>
        </w:rPr>
        <w:t>一定的门槛，需要经过长时间的经验积累，集中度较低，竞争激烈，目前已初步形成一批具有一定品牌效</w:t>
      </w:r>
      <w:r>
        <w:rPr>
          <w:spacing w:val="-47"/>
        </w:rPr>
        <w:t> </w:t>
      </w:r>
      <w:r>
        <w:rPr>
          <w:spacing w:val="-47"/>
        </w:rPr>
      </w:r>
      <w:r>
        <w:rPr/>
        <w:t>应的公司，但并未形成寡头格局。</w:t>
      </w:r>
    </w:p>
    <w:p>
      <w:pPr>
        <w:pStyle w:val="Heading5"/>
        <w:spacing w:line="350" w:lineRule="auto" w:before="27"/>
        <w:ind w:left="573" w:right="1133"/>
        <w:jc w:val="left"/>
      </w:pPr>
      <w:r>
        <w:rPr/>
        <w:t>②政策背景</w:t>
      </w:r>
      <w:r>
        <w:rPr>
          <w:spacing w:val="-102"/>
        </w:rPr>
        <w:t> </w:t>
      </w:r>
      <w:r>
        <w:rPr>
          <w:spacing w:val="-102"/>
        </w:rPr>
      </w:r>
      <w:r>
        <w:rPr>
          <w:rFonts w:ascii="宋体" w:hAnsi="宋体" w:cs="宋体" w:eastAsia="宋体" w:hint="default"/>
          <w:spacing w:val="-2"/>
        </w:rPr>
        <w:t>2018</w:t>
      </w:r>
      <w:r>
        <w:rPr>
          <w:spacing w:val="-2"/>
        </w:rPr>
        <w:t>年度，国务院和卫健委就医疗信息化行业相继出台利好政策，支持医疗信息化持续发展。</w:t>
      </w:r>
      <w:r>
        <w:rPr>
          <w:rFonts w:ascii="宋体" w:hAnsi="宋体" w:cs="宋体" w:eastAsia="宋体" w:hint="default"/>
          <w:spacing w:val="-2"/>
        </w:rPr>
        <w:t>2018</w:t>
      </w:r>
      <w:r>
        <w:rPr>
          <w:spacing w:val="-2"/>
        </w:rPr>
        <w:t>年</w:t>
      </w:r>
    </w:p>
    <w:p>
      <w:pPr>
        <w:pStyle w:val="Heading5"/>
        <w:spacing w:line="350" w:lineRule="auto" w:before="29"/>
        <w:ind w:right="1133"/>
        <w:jc w:val="left"/>
      </w:pPr>
      <w:r>
        <w:rPr>
          <w:rFonts w:ascii="宋体" w:hAnsi="宋体" w:cs="宋体" w:eastAsia="宋体" w:hint="default"/>
          <w:spacing w:val="-2"/>
        </w:rPr>
        <w:t>1</w:t>
      </w:r>
      <w:r>
        <w:rPr>
          <w:spacing w:val="-2"/>
        </w:rPr>
        <w:t>月，国家卫健委、国家中医药局联合颁布《关于印发进一步改善医疗服务行动计划（</w:t>
      </w:r>
      <w:r>
        <w:rPr>
          <w:rFonts w:ascii="宋体" w:hAnsi="宋体" w:cs="宋体" w:eastAsia="宋体" w:hint="default"/>
          <w:spacing w:val="-2"/>
        </w:rPr>
        <w:t>2018-2020</w:t>
      </w:r>
      <w:r>
        <w:rPr>
          <w:spacing w:val="-2"/>
        </w:rPr>
        <w:t>年）的通</w:t>
      </w:r>
      <w:r>
        <w:rPr>
          <w:spacing w:val="-37"/>
        </w:rPr>
        <w:t> </w:t>
      </w:r>
      <w:r>
        <w:rPr>
          <w:spacing w:val="-37"/>
        </w:rPr>
      </w:r>
      <w:r>
        <w:rPr/>
        <w:t>知》，计划指出以“互联网</w:t>
      </w:r>
      <w:r>
        <w:rPr>
          <w:rFonts w:ascii="宋体" w:hAnsi="宋体" w:cs="宋体" w:eastAsia="宋体" w:hint="default"/>
        </w:rPr>
        <w:t>+</w:t>
      </w:r>
      <w:r>
        <w:rPr/>
        <w:t>”为手段，建设智慧医院。利用互联网信息技术扩展医疗服务空间和内容，</w:t>
      </w:r>
      <w:r>
        <w:rPr>
          <w:w w:val="100"/>
        </w:rPr>
        <w:t> </w:t>
      </w:r>
      <w:r>
        <w:rPr>
          <w:spacing w:val="-2"/>
        </w:rPr>
        <w:t>不断优化医疗服务流程，利用互联网、物联网等新技术，实现配药发药、内部物流、患者安全管理等信息</w:t>
      </w:r>
      <w:r>
        <w:rPr>
          <w:spacing w:val="-43"/>
        </w:rPr>
        <w:t> </w:t>
      </w:r>
      <w:r>
        <w:rPr>
          <w:spacing w:val="-43"/>
        </w:rPr>
      </w:r>
      <w:r>
        <w:rPr>
          <w:spacing w:val="-2"/>
        </w:rPr>
        <w:t>化、智能化。</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月，国务院办公厅发布《关于促进“互联网</w:t>
      </w:r>
      <w:r>
        <w:rPr>
          <w:rFonts w:ascii="宋体" w:hAnsi="宋体" w:cs="宋体" w:eastAsia="宋体" w:hint="default"/>
          <w:spacing w:val="-2"/>
        </w:rPr>
        <w:t>+</w:t>
      </w:r>
      <w:r>
        <w:rPr>
          <w:spacing w:val="-2"/>
        </w:rPr>
        <w:t>医疗健康”发展的意见》，明确指出二</w:t>
      </w:r>
      <w:r>
        <w:rPr>
          <w:spacing w:val="-41"/>
        </w:rPr>
        <w:t> </w:t>
      </w:r>
      <w:r>
        <w:rPr>
          <w:spacing w:val="-41"/>
        </w:rPr>
      </w:r>
      <w:r>
        <w:rPr>
          <w:spacing w:val="-2"/>
        </w:rPr>
        <w:t>级以上医院要健全医院信息平台功能，整合院内各类系统资源，提升医院管理效率。三级医院要在</w:t>
      </w:r>
      <w:r>
        <w:rPr>
          <w:rFonts w:ascii="宋体" w:hAnsi="宋体" w:cs="宋体" w:eastAsia="宋体" w:hint="default"/>
          <w:spacing w:val="-2"/>
        </w:rPr>
        <w:t>2020</w:t>
      </w:r>
      <w:r>
        <w:rPr>
          <w:spacing w:val="-2"/>
        </w:rPr>
        <w:t>年</w:t>
      </w:r>
      <w:r>
        <w:rPr>
          <w:spacing w:val="-39"/>
        </w:rPr>
        <w:t> </w:t>
      </w:r>
      <w:r>
        <w:rPr/>
        <w:t>前实现院内医疗服务信息互通共享，有条件的医院要尽快实现。</w:t>
      </w:r>
      <w:r>
        <w:rPr>
          <w:rFonts w:ascii="宋体" w:hAnsi="宋体" w:cs="宋体" w:eastAsia="宋体" w:hint="default"/>
        </w:rPr>
        <w:t>2018</w:t>
      </w:r>
      <w:r>
        <w:rPr/>
        <w:t>年</w:t>
      </w:r>
      <w:r>
        <w:rPr>
          <w:rFonts w:ascii="宋体" w:hAnsi="宋体" w:cs="宋体" w:eastAsia="宋体" w:hint="default"/>
        </w:rPr>
        <w:t>8</w:t>
      </w:r>
      <w:r>
        <w:rPr/>
        <w:t>月，国家卫健委发布《关于进一</w:t>
      </w:r>
      <w:r>
        <w:rPr>
          <w:w w:val="100"/>
        </w:rPr>
        <w:t> </w:t>
      </w:r>
      <w:r>
        <w:rPr>
          <w:spacing w:val="-2"/>
        </w:rPr>
        <w:t>步推进以电子病历为核心的医疗机构信息化建设工作的通知》，提出到</w:t>
      </w:r>
      <w:r>
        <w:rPr>
          <w:rFonts w:ascii="宋体" w:hAnsi="宋体" w:cs="宋体" w:eastAsia="宋体" w:hint="default"/>
          <w:spacing w:val="-2"/>
        </w:rPr>
        <w:t>2019</w:t>
      </w:r>
      <w:r>
        <w:rPr>
          <w:spacing w:val="-2"/>
        </w:rPr>
        <w:t>年，地方各级卫生健康行政部</w:t>
      </w:r>
      <w:r>
        <w:rPr>
          <w:spacing w:val="-39"/>
        </w:rPr>
        <w:t> </w:t>
      </w:r>
      <w:r>
        <w:rPr>
          <w:spacing w:val="-39"/>
        </w:rPr>
      </w:r>
      <w:r>
        <w:rPr/>
        <w:t>门辖区内所有三级医院要达到电子病历应用水平分级评价</w:t>
      </w:r>
      <w:r>
        <w:rPr>
          <w:rFonts w:ascii="宋体" w:hAnsi="宋体" w:cs="宋体" w:eastAsia="宋体" w:hint="default"/>
        </w:rPr>
        <w:t>3</w:t>
      </w:r>
      <w:r>
        <w:rPr/>
        <w:t>级以上，即实现医院内不同部门间数据交换；</w:t>
      </w:r>
      <w:r>
        <w:rPr>
          <w:w w:val="100"/>
        </w:rPr>
        <w:t> </w:t>
      </w:r>
      <w:r>
        <w:rPr/>
        <w:t>到</w:t>
      </w:r>
      <w:r>
        <w:rPr>
          <w:rFonts w:ascii="宋体" w:hAnsi="宋体" w:cs="宋体" w:eastAsia="宋体" w:hint="default"/>
        </w:rPr>
        <w:t>2020</w:t>
      </w:r>
      <w:r>
        <w:rPr/>
        <w:t>年，要达到分级评价</w:t>
      </w:r>
      <w:r>
        <w:rPr>
          <w:rFonts w:ascii="宋体" w:hAnsi="宋体" w:cs="宋体" w:eastAsia="宋体" w:hint="default"/>
        </w:rPr>
        <w:t>4</w:t>
      </w:r>
      <w:r>
        <w:rPr/>
        <w:t>级以上，即医院内实现全院信息共享，并具备医疗决策支持功能。随着一系</w:t>
      </w:r>
      <w:r>
        <w:rPr>
          <w:w w:val="100"/>
        </w:rPr>
        <w:t> </w:t>
      </w:r>
      <w:r>
        <w:rPr>
          <w:spacing w:val="-2"/>
        </w:rPr>
        <w:t>列医疗信息化相关产业政策的出台，行业迎来了积极的发展机遇，有利于缓解医疗卫生事业发展不平衡的</w:t>
      </w:r>
      <w:r>
        <w:rPr>
          <w:spacing w:val="-42"/>
        </w:rPr>
        <w:t> </w:t>
      </w:r>
      <w:r>
        <w:rPr>
          <w:spacing w:val="-42"/>
        </w:rPr>
      </w:r>
      <w:r>
        <w:rPr/>
        <w:t>矛盾，满足人民群众日益增长的多样化医疗健康需求，保持医疗信息化产业蓬勃发展。</w:t>
      </w:r>
    </w:p>
    <w:p>
      <w:pPr>
        <w:pStyle w:val="Heading5"/>
        <w:spacing w:line="350" w:lineRule="auto" w:before="29"/>
        <w:ind w:left="573" w:right="0"/>
        <w:jc w:val="left"/>
      </w:pPr>
      <w:r>
        <w:rPr/>
        <w:t>（</w:t>
      </w:r>
      <w:r>
        <w:rPr>
          <w:rFonts w:ascii="宋体" w:hAnsi="宋体" w:cs="宋体" w:eastAsia="宋体" w:hint="default"/>
        </w:rPr>
        <w:t>2</w:t>
      </w:r>
      <w:r>
        <w:rPr/>
        <w:t>）公司在智慧医疗行业的地位及变动趋势</w:t>
      </w:r>
      <w:r>
        <w:rPr>
          <w:w w:val="100"/>
        </w:rPr>
        <w:t> </w:t>
      </w:r>
      <w:r>
        <w:rPr>
          <w:spacing w:val="-5"/>
        </w:rPr>
        <w:t>公司自成立以来一直以“简约智慧医疗”为理念，以“提高病人安全、医疗质量和临床效率”为目标，</w:t>
      </w:r>
    </w:p>
    <w:p>
      <w:pPr>
        <w:pStyle w:val="Heading5"/>
        <w:spacing w:line="350" w:lineRule="auto" w:before="27"/>
        <w:ind w:right="0"/>
        <w:jc w:val="left"/>
      </w:pPr>
      <w:r>
        <w:rPr>
          <w:spacing w:val="-5"/>
        </w:rPr>
        <w:t>始终坚持以病人为中心的原则，致力于切实解决医疗过程痛点的创新性产品的研究开发，产品从医疗对象、 </w:t>
      </w:r>
      <w:r>
        <w:rPr>
          <w:spacing w:val="-2"/>
        </w:rPr>
        <w:t>数据信息、医疗流程入手，覆盖整个数字卫生和智慧医疗应用领域。经过多年积累，公司已成为国内著名</w:t>
      </w:r>
      <w:r>
        <w:rPr>
          <w:spacing w:val="-50"/>
        </w:rPr>
        <w:t> </w:t>
      </w:r>
      <w:r>
        <w:rPr>
          <w:spacing w:val="-50"/>
        </w:rPr>
      </w:r>
      <w:r>
        <w:rPr/>
        <w:t>的医疗信息化顶层设计和智慧医疗整体解决方案供应商，公司产品在理念、技术及模式上均具领先优势，</w:t>
      </w:r>
      <w:r>
        <w:rPr>
          <w:w w:val="100"/>
        </w:rPr>
        <w:t> </w:t>
      </w:r>
      <w:r>
        <w:rPr>
          <w:spacing w:val="-2"/>
        </w:rPr>
        <w:t>并得到客户的广泛认可。至</w:t>
      </w:r>
      <w:r>
        <w:rPr>
          <w:rFonts w:ascii="宋体" w:hAnsi="宋体" w:cs="宋体" w:eastAsia="宋体" w:hint="default"/>
          <w:spacing w:val="-2"/>
        </w:rPr>
        <w:t>2018</w:t>
      </w:r>
      <w:r>
        <w:rPr>
          <w:spacing w:val="-2"/>
        </w:rPr>
        <w:t>年底，公司已经累计为全国</w:t>
      </w:r>
      <w:r>
        <w:rPr>
          <w:rFonts w:ascii="宋体" w:hAnsi="宋体" w:cs="宋体" w:eastAsia="宋体" w:hint="default"/>
          <w:spacing w:val="-2"/>
        </w:rPr>
        <w:t>1000</w:t>
      </w:r>
      <w:r>
        <w:rPr>
          <w:spacing w:val="-2"/>
        </w:rPr>
        <w:t>多家各级医疗机构提供医疗信息化建设服</w:t>
      </w:r>
      <w:r>
        <w:rPr>
          <w:spacing w:val="-36"/>
        </w:rPr>
        <w:t> </w:t>
      </w:r>
      <w:r>
        <w:rPr>
          <w:spacing w:val="-36"/>
        </w:rPr>
      </w:r>
      <w:r>
        <w:rPr>
          <w:spacing w:val="-2"/>
        </w:rPr>
        <w:t>务，其中包括</w:t>
      </w:r>
      <w:r>
        <w:rPr>
          <w:rFonts w:ascii="宋体" w:hAnsi="宋体" w:cs="宋体" w:eastAsia="宋体" w:hint="default"/>
          <w:spacing w:val="-2"/>
        </w:rPr>
        <w:t>14</w:t>
      </w:r>
      <w:r>
        <w:rPr>
          <w:spacing w:val="-2"/>
        </w:rPr>
        <w:t>家全国</w:t>
      </w:r>
      <w:r>
        <w:rPr>
          <w:rFonts w:ascii="宋体" w:hAnsi="宋体" w:cs="宋体" w:eastAsia="宋体" w:hint="default"/>
          <w:spacing w:val="-2"/>
        </w:rPr>
        <w:t>20</w:t>
      </w:r>
      <w:r>
        <w:rPr>
          <w:spacing w:val="-2"/>
        </w:rPr>
        <w:t>强医院、</w:t>
      </w:r>
      <w:r>
        <w:rPr>
          <w:rFonts w:ascii="宋体" w:hAnsi="宋体" w:cs="宋体" w:eastAsia="宋体" w:hint="default"/>
          <w:spacing w:val="-2"/>
        </w:rPr>
        <w:t>50</w:t>
      </w:r>
      <w:r>
        <w:rPr>
          <w:spacing w:val="-2"/>
        </w:rPr>
        <w:t>家全国百强医院和</w:t>
      </w:r>
      <w:r>
        <w:rPr>
          <w:rFonts w:ascii="宋体" w:hAnsi="宋体" w:cs="宋体" w:eastAsia="宋体" w:hint="default"/>
          <w:spacing w:val="-2"/>
        </w:rPr>
        <w:t>6</w:t>
      </w:r>
      <w:r>
        <w:rPr>
          <w:spacing w:val="-2"/>
        </w:rPr>
        <w:t>家港澳医院。展望未来，公司将继续依托物联网、</w:t>
      </w:r>
      <w:r>
        <w:rPr>
          <w:spacing w:val="-41"/>
        </w:rPr>
        <w:t> </w:t>
      </w:r>
      <w:r>
        <w:rPr>
          <w:spacing w:val="-41"/>
        </w:rPr>
      </w:r>
      <w:r>
        <w:rPr/>
        <w:t>人工智能与平台数据交互三大核心技术，强化互联网</w:t>
      </w:r>
      <w:r>
        <w:rPr>
          <w:rFonts w:ascii="宋体" w:hAnsi="宋体" w:cs="宋体" w:eastAsia="宋体" w:hint="default"/>
        </w:rPr>
        <w:t>+</w:t>
      </w:r>
      <w:r>
        <w:rPr/>
        <w:t>物联网领域的核心优势，构建无处不在的智慧医疗</w:t>
      </w:r>
      <w:r>
        <w:rPr>
          <w:w w:val="100"/>
        </w:rPr>
        <w:t> </w:t>
      </w:r>
      <w:r>
        <w:rPr/>
        <w:t>健康服务新模式，持续引领行业创新发展。</w:t>
      </w:r>
    </w:p>
    <w:p>
      <w:pPr>
        <w:pStyle w:val="Heading5"/>
        <w:spacing w:line="240" w:lineRule="auto" w:before="29"/>
        <w:ind w:left="573" w:right="1133"/>
        <w:jc w:val="left"/>
      </w:pPr>
      <w:r>
        <w:rPr>
          <w:rFonts w:ascii="宋体" w:hAnsi="宋体" w:cs="宋体" w:eastAsia="宋体" w:hint="default"/>
        </w:rPr>
        <w:t>2</w:t>
      </w:r>
      <w:r>
        <w:rPr/>
        <w:t>、</w:t>
      </w:r>
      <w:r>
        <w:rPr>
          <w:rFonts w:ascii="宋体" w:hAnsi="宋体" w:cs="宋体" w:eastAsia="宋体" w:hint="default"/>
        </w:rPr>
        <w:t>RFID</w:t>
      </w:r>
      <w:r>
        <w:rPr/>
        <w:t>行业</w:t>
      </w:r>
    </w:p>
    <w:p>
      <w:pPr>
        <w:pStyle w:val="Heading5"/>
        <w:spacing w:line="240" w:lineRule="auto" w:before="126"/>
        <w:ind w:left="573" w:right="1133"/>
        <w:jc w:val="left"/>
      </w:pPr>
      <w:r>
        <w:rPr/>
        <w:t>（</w:t>
      </w:r>
      <w:r>
        <w:rPr>
          <w:rFonts w:ascii="宋体" w:hAnsi="宋体" w:cs="宋体" w:eastAsia="宋体" w:hint="default"/>
        </w:rPr>
        <w:t>1</w:t>
      </w:r>
      <w:r>
        <w:rPr/>
        <w:t>）</w:t>
      </w:r>
      <w:r>
        <w:rPr>
          <w:rFonts w:ascii="宋体" w:hAnsi="宋体" w:cs="宋体" w:eastAsia="宋体" w:hint="default"/>
        </w:rPr>
        <w:t>RFID</w:t>
      </w:r>
      <w:r>
        <w:rPr/>
        <w:t>行业发展现状及趋势</w:t>
      </w:r>
    </w:p>
    <w:p>
      <w:pPr>
        <w:pStyle w:val="Heading5"/>
        <w:spacing w:line="350" w:lineRule="auto" w:before="123"/>
        <w:ind w:left="573" w:right="1133"/>
        <w:jc w:val="left"/>
      </w:pPr>
      <w:r>
        <w:rPr/>
        <w:t>①行业发展现状</w:t>
      </w:r>
      <w:r>
        <w:rPr>
          <w:spacing w:val="-103"/>
        </w:rPr>
        <w:t> </w:t>
      </w:r>
      <w:r>
        <w:rPr>
          <w:spacing w:val="-103"/>
        </w:rPr>
      </w:r>
      <w:r>
        <w:rPr>
          <w:rFonts w:ascii="宋体" w:hAnsi="宋体" w:cs="宋体" w:eastAsia="宋体" w:hint="default"/>
          <w:spacing w:val="-2"/>
        </w:rPr>
        <w:t>RFID</w:t>
      </w:r>
      <w:r>
        <w:rPr>
          <w:spacing w:val="-2"/>
        </w:rPr>
        <w:t>技术，即射频识别技术，又称无线射频识别，是一种可通过无线电讯号识别特定目标并读写相关</w:t>
      </w:r>
    </w:p>
    <w:p>
      <w:pPr>
        <w:spacing w:after="0" w:line="35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1126"/>
        <w:jc w:val="both"/>
      </w:pPr>
      <w:r>
        <w:rPr>
          <w:spacing w:val="-2"/>
        </w:rPr>
        <w:t>数据，而无需识别系统与特定目标之间建立机械或光学接触的通信技术。</w:t>
      </w:r>
      <w:r>
        <w:rPr>
          <w:rFonts w:ascii="宋体" w:hAnsi="宋体" w:cs="宋体" w:eastAsia="宋体" w:hint="default"/>
          <w:spacing w:val="-2"/>
        </w:rPr>
        <w:t>RFID</w:t>
      </w:r>
      <w:r>
        <w:rPr>
          <w:spacing w:val="-2"/>
        </w:rPr>
        <w:t>技术主要由电子标签、读写</w:t>
      </w:r>
      <w:r>
        <w:rPr>
          <w:spacing w:val="-43"/>
        </w:rPr>
        <w:t> </w:t>
      </w:r>
      <w:r>
        <w:rPr>
          <w:spacing w:val="-43"/>
        </w:rPr>
      </w:r>
      <w:r>
        <w:rPr>
          <w:spacing w:val="-6"/>
        </w:rPr>
        <w:t>器以及应用系统三部分组成。</w:t>
      </w:r>
      <w:r>
        <w:rPr>
          <w:rFonts w:ascii="宋体" w:hAnsi="宋体" w:cs="宋体" w:eastAsia="宋体" w:hint="default"/>
          <w:spacing w:val="-6"/>
        </w:rPr>
        <w:t>RFID</w:t>
      </w:r>
      <w:r>
        <w:rPr>
          <w:spacing w:val="-6"/>
        </w:rPr>
        <w:t>按工作频率的不同分为低频、高频、超高频和微波频段，不同频段的</w:t>
      </w:r>
      <w:r>
        <w:rPr>
          <w:rFonts w:ascii="宋体" w:hAnsi="宋体" w:cs="宋体" w:eastAsia="宋体" w:hint="default"/>
          <w:spacing w:val="-6"/>
        </w:rPr>
        <w:t>RFID</w:t>
      </w:r>
      <w:r>
        <w:rPr>
          <w:rFonts w:ascii="宋体" w:hAnsi="宋体" w:cs="宋体" w:eastAsia="宋体" w:hint="default"/>
          <w:spacing w:val="-41"/>
        </w:rPr>
        <w:t> </w:t>
      </w:r>
      <w:r>
        <w:rPr>
          <w:rFonts w:ascii="宋体" w:hAnsi="宋体" w:cs="宋体" w:eastAsia="宋体" w:hint="default"/>
          <w:spacing w:val="-41"/>
        </w:rPr>
      </w:r>
      <w:r>
        <w:rPr>
          <w:spacing w:val="-2"/>
        </w:rPr>
        <w:t>产品会有不同的特性。近年来国务院和各部委相继出台政策支持并鼓励物联网的建设，加快物联网信息技</w:t>
      </w:r>
      <w:r>
        <w:rPr>
          <w:spacing w:val="-43"/>
        </w:rPr>
        <w:t> </w:t>
      </w:r>
      <w:r>
        <w:rPr>
          <w:spacing w:val="-43"/>
        </w:rPr>
      </w:r>
      <w:r>
        <w:rPr>
          <w:spacing w:val="-2"/>
        </w:rPr>
        <w:t>术的蓬勃发展，打通信息采集和传输的孤岛，物联、互联相融合已成为新一代技术飞跃的大趋势；另外随</w:t>
      </w:r>
      <w:r>
        <w:rPr>
          <w:spacing w:val="-50"/>
        </w:rPr>
        <w:t> </w:t>
      </w:r>
      <w:r>
        <w:rPr>
          <w:spacing w:val="-50"/>
        </w:rPr>
      </w:r>
      <w:r>
        <w:rPr>
          <w:spacing w:val="-2"/>
        </w:rPr>
        <w:t>着技术成熟及产品的规模化应用及</w:t>
      </w:r>
      <w:r>
        <w:rPr>
          <w:rFonts w:ascii="宋体" w:hAnsi="宋体" w:cs="宋体" w:eastAsia="宋体" w:hint="default"/>
          <w:spacing w:val="-2"/>
        </w:rPr>
        <w:t>RFID</w:t>
      </w:r>
      <w:r>
        <w:rPr>
          <w:spacing w:val="-2"/>
        </w:rPr>
        <w:t>芯片等硬件成本不断下降，基于互联网、物联网的集成应用解决方</w:t>
      </w:r>
      <w:r>
        <w:rPr>
          <w:spacing w:val="-40"/>
        </w:rPr>
        <w:t> </w:t>
      </w:r>
      <w:r>
        <w:rPr>
          <w:spacing w:val="-40"/>
        </w:rPr>
      </w:r>
      <w:r>
        <w:rPr>
          <w:spacing w:val="-2"/>
        </w:rPr>
        <w:t>案日趋成熟，作为物联网信息采集感知层的关键技术，</w:t>
      </w:r>
      <w:r>
        <w:rPr>
          <w:rFonts w:ascii="宋体" w:hAnsi="宋体" w:cs="宋体" w:eastAsia="宋体" w:hint="default"/>
          <w:spacing w:val="-2"/>
        </w:rPr>
        <w:t>RFID</w:t>
      </w:r>
      <w:r>
        <w:rPr>
          <w:spacing w:val="-2"/>
        </w:rPr>
        <w:t>的应用场景逐步得以拓宽，并切实深入到商业</w:t>
      </w:r>
      <w:r>
        <w:rPr>
          <w:spacing w:val="-39"/>
        </w:rPr>
        <w:t> </w:t>
      </w:r>
      <w:r>
        <w:rPr>
          <w:spacing w:val="-39"/>
        </w:rPr>
      </w:r>
      <w:r>
        <w:rPr>
          <w:spacing w:val="-2"/>
        </w:rPr>
        <w:t>和居民生活当中的诸多领域，智慧城市、智慧医疗、智慧供应链、智能物流等结合了物联网的行业应用领</w:t>
      </w:r>
      <w:r>
        <w:rPr>
          <w:spacing w:val="-44"/>
        </w:rPr>
        <w:t> </w:t>
      </w:r>
      <w:r>
        <w:rPr>
          <w:spacing w:val="-44"/>
        </w:rPr>
      </w:r>
      <w:r>
        <w:rPr/>
        <w:t>域不断涌现。</w:t>
      </w:r>
    </w:p>
    <w:p>
      <w:pPr>
        <w:pStyle w:val="Heading5"/>
        <w:spacing w:line="350" w:lineRule="auto" w:before="27"/>
        <w:ind w:left="573" w:right="1133"/>
        <w:jc w:val="left"/>
      </w:pPr>
      <w:r>
        <w:rPr/>
        <w:t>②政策背景</w:t>
      </w:r>
      <w:r>
        <w:rPr>
          <w:spacing w:val="-102"/>
        </w:rPr>
        <w:t> </w:t>
      </w:r>
      <w:r>
        <w:rPr>
          <w:spacing w:val="-102"/>
        </w:rPr>
      </w:r>
      <w:r>
        <w:rPr>
          <w:spacing w:val="-2"/>
        </w:rPr>
        <w:t>自</w:t>
      </w:r>
      <w:r>
        <w:rPr>
          <w:rFonts w:ascii="宋体" w:hAnsi="宋体" w:cs="宋体" w:eastAsia="宋体" w:hint="default"/>
          <w:spacing w:val="-2"/>
        </w:rPr>
        <w:t>2010</w:t>
      </w:r>
      <w:r>
        <w:rPr>
          <w:spacing w:val="-2"/>
        </w:rPr>
        <w:t>年中国物联网发展被正式列入国家发展战略后，中国</w:t>
      </w:r>
      <w:r>
        <w:rPr>
          <w:rFonts w:ascii="宋体" w:hAnsi="宋体" w:cs="宋体" w:eastAsia="宋体" w:hint="default"/>
          <w:spacing w:val="-2"/>
        </w:rPr>
        <w:t>RFID</w:t>
      </w:r>
      <w:r>
        <w:rPr>
          <w:spacing w:val="-2"/>
        </w:rPr>
        <w:t>及物联网产业迎来了难得的发展机</w:t>
      </w:r>
    </w:p>
    <w:p>
      <w:pPr>
        <w:pStyle w:val="Heading5"/>
        <w:spacing w:line="350" w:lineRule="auto" w:before="29"/>
        <w:ind w:right="1133"/>
        <w:jc w:val="left"/>
      </w:pPr>
      <w:r>
        <w:rPr>
          <w:spacing w:val="-2"/>
        </w:rPr>
        <w:t>遇。根据前瞻产业研究院发布的《中国</w:t>
      </w:r>
      <w:r>
        <w:rPr>
          <w:rFonts w:ascii="宋体" w:hAnsi="宋体" w:cs="宋体" w:eastAsia="宋体" w:hint="default"/>
          <w:spacing w:val="-2"/>
        </w:rPr>
        <w:t>RFID</w:t>
      </w:r>
      <w:r>
        <w:rPr>
          <w:spacing w:val="-2"/>
        </w:rPr>
        <w:t>行业市场前瞻与投资战略规划分析报告》统计数据显示，</w:t>
      </w:r>
      <w:r>
        <w:rPr>
          <w:rFonts w:ascii="宋体" w:hAnsi="宋体" w:cs="宋体" w:eastAsia="宋体" w:hint="default"/>
          <w:spacing w:val="-2"/>
        </w:rPr>
        <w:t>2013</w:t>
      </w:r>
      <w:r>
        <w:rPr>
          <w:rFonts w:ascii="宋体" w:hAnsi="宋体" w:cs="宋体" w:eastAsia="宋体" w:hint="default"/>
          <w:spacing w:val="-39"/>
        </w:rPr>
        <w:t> </w:t>
      </w:r>
      <w:r>
        <w:rPr>
          <w:rFonts w:ascii="宋体" w:hAnsi="宋体" w:cs="宋体" w:eastAsia="宋体" w:hint="default"/>
          <w:spacing w:val="-39"/>
        </w:rPr>
      </w:r>
      <w:r>
        <w:rPr/>
        <w:t>年中国</w:t>
      </w:r>
      <w:r>
        <w:rPr>
          <w:rFonts w:ascii="宋体" w:hAnsi="宋体" w:cs="宋体" w:eastAsia="宋体" w:hint="default"/>
        </w:rPr>
        <w:t>RFID</w:t>
      </w:r>
      <w:r>
        <w:rPr/>
        <w:t>行业市场规模已达</w:t>
      </w:r>
      <w:r>
        <w:rPr>
          <w:rFonts w:ascii="宋体" w:hAnsi="宋体" w:cs="宋体" w:eastAsia="宋体" w:hint="default"/>
        </w:rPr>
        <w:t>276</w:t>
      </w:r>
      <w:r>
        <w:rPr/>
        <w:t>亿元，并呈现逐年快速增长趋势，截止至</w:t>
      </w:r>
      <w:r>
        <w:rPr>
          <w:rFonts w:ascii="宋体" w:hAnsi="宋体" w:cs="宋体" w:eastAsia="宋体" w:hint="default"/>
        </w:rPr>
        <w:t>2017</w:t>
      </w:r>
      <w:r>
        <w:rPr/>
        <w:t>年中国</w:t>
      </w:r>
      <w:r>
        <w:rPr>
          <w:rFonts w:ascii="宋体" w:hAnsi="宋体" w:cs="宋体" w:eastAsia="宋体" w:hint="default"/>
        </w:rPr>
        <w:t>RFID</w:t>
      </w:r>
      <w:r>
        <w:rPr/>
        <w:t>行业市场规模</w:t>
      </w:r>
      <w:r>
        <w:rPr>
          <w:w w:val="100"/>
        </w:rPr>
        <w:t> </w:t>
      </w:r>
      <w:r>
        <w:rPr>
          <w:spacing w:val="-2"/>
        </w:rPr>
        <w:t>增长至</w:t>
      </w:r>
      <w:r>
        <w:rPr>
          <w:rFonts w:ascii="宋体" w:hAnsi="宋体" w:cs="宋体" w:eastAsia="宋体" w:hint="default"/>
          <w:spacing w:val="-2"/>
        </w:rPr>
        <w:t>662</w:t>
      </w:r>
      <w:r>
        <w:rPr>
          <w:spacing w:val="-2"/>
        </w:rPr>
        <w:t>亿元，前瞻产业研究院预计</w:t>
      </w:r>
      <w:r>
        <w:rPr>
          <w:rFonts w:ascii="宋体" w:hAnsi="宋体" w:cs="宋体" w:eastAsia="宋体" w:hint="default"/>
          <w:spacing w:val="-2"/>
        </w:rPr>
        <w:t>2018</w:t>
      </w:r>
      <w:r>
        <w:rPr>
          <w:spacing w:val="-2"/>
        </w:rPr>
        <w:t>年我国</w:t>
      </w:r>
      <w:r>
        <w:rPr>
          <w:rFonts w:ascii="宋体" w:hAnsi="宋体" w:cs="宋体" w:eastAsia="宋体" w:hint="default"/>
          <w:spacing w:val="-2"/>
        </w:rPr>
        <w:t>RFID</w:t>
      </w:r>
      <w:r>
        <w:rPr>
          <w:spacing w:val="-2"/>
        </w:rPr>
        <w:t>行业市场规模将达到</w:t>
      </w:r>
      <w:r>
        <w:rPr>
          <w:rFonts w:ascii="宋体" w:hAnsi="宋体" w:cs="宋体" w:eastAsia="宋体" w:hint="default"/>
          <w:spacing w:val="-2"/>
        </w:rPr>
        <w:t>840</w:t>
      </w:r>
      <w:r>
        <w:rPr>
          <w:spacing w:val="-2"/>
        </w:rPr>
        <w:t>亿。物联网应用的发展已经</w:t>
      </w:r>
      <w:r>
        <w:rPr>
          <w:spacing w:val="-33"/>
        </w:rPr>
        <w:t> </w:t>
      </w:r>
      <w:r>
        <w:rPr>
          <w:spacing w:val="-33"/>
        </w:rPr>
      </w:r>
      <w:r>
        <w:rPr>
          <w:spacing w:val="-2"/>
        </w:rPr>
        <w:t>有</w:t>
      </w:r>
      <w:r>
        <w:rPr>
          <w:rFonts w:ascii="宋体" w:hAnsi="宋体" w:cs="宋体" w:eastAsia="宋体" w:hint="default"/>
          <w:spacing w:val="-2"/>
        </w:rPr>
        <w:t>20</w:t>
      </w:r>
      <w:r>
        <w:rPr>
          <w:spacing w:val="-2"/>
        </w:rPr>
        <w:t>年的历程，</w:t>
      </w:r>
      <w:r>
        <w:rPr>
          <w:rFonts w:ascii="宋体" w:hAnsi="宋体" w:cs="宋体" w:eastAsia="宋体" w:hint="default"/>
          <w:spacing w:val="-2"/>
        </w:rPr>
        <w:t>RFID</w:t>
      </w:r>
      <w:r>
        <w:rPr>
          <w:spacing w:val="-2"/>
        </w:rPr>
        <w:t>技术作为物联网概念中应用最广、商业模式最成熟的技术，据前瞻产业研究院预计，</w:t>
      </w:r>
      <w:r>
        <w:rPr>
          <w:spacing w:val="-15"/>
        </w:rPr>
        <w:t> </w:t>
      </w:r>
      <w:r>
        <w:rPr>
          <w:spacing w:val="-15"/>
        </w:rPr>
      </w:r>
      <w:r>
        <w:rPr/>
        <w:t>中国</w:t>
      </w:r>
      <w:r>
        <w:rPr>
          <w:rFonts w:ascii="宋体" w:hAnsi="宋体" w:cs="宋体" w:eastAsia="宋体" w:hint="default"/>
        </w:rPr>
        <w:t>RFID</w:t>
      </w:r>
      <w:r>
        <w:rPr/>
        <w:t>行业市场规模年均复合增长率维持在</w:t>
      </w:r>
      <w:r>
        <w:rPr>
          <w:rFonts w:ascii="宋体" w:hAnsi="宋体" w:cs="宋体" w:eastAsia="宋体" w:hint="default"/>
        </w:rPr>
        <w:t>15%</w:t>
      </w:r>
      <w:r>
        <w:rPr/>
        <w:t>左右，到</w:t>
      </w:r>
      <w:r>
        <w:rPr>
          <w:rFonts w:ascii="宋体" w:hAnsi="宋体" w:cs="宋体" w:eastAsia="宋体" w:hint="default"/>
        </w:rPr>
        <w:t>2024</w:t>
      </w:r>
      <w:r>
        <w:rPr/>
        <w:t>年将突破</w:t>
      </w:r>
      <w:r>
        <w:rPr>
          <w:rFonts w:ascii="宋体" w:hAnsi="宋体" w:cs="宋体" w:eastAsia="宋体" w:hint="default"/>
        </w:rPr>
        <w:t>2000</w:t>
      </w:r>
      <w:r>
        <w:rPr/>
        <w:t>亿元。但由于</w:t>
      </w:r>
      <w:r>
        <w:rPr>
          <w:rFonts w:ascii="宋体" w:hAnsi="宋体" w:cs="宋体" w:eastAsia="宋体" w:hint="default"/>
        </w:rPr>
        <w:t>RFID</w:t>
      </w:r>
      <w:r>
        <w:rPr/>
        <w:t>行业增长</w:t>
      </w:r>
      <w:r>
        <w:rPr>
          <w:w w:val="100"/>
        </w:rPr>
        <w:t> </w:t>
      </w:r>
      <w:r>
        <w:rPr>
          <w:spacing w:val="-2"/>
        </w:rPr>
        <w:t>较为缓慢以及</w:t>
      </w:r>
      <w:r>
        <w:rPr>
          <w:rFonts w:ascii="宋体" w:hAnsi="宋体" w:cs="宋体" w:eastAsia="宋体" w:hint="default"/>
          <w:spacing w:val="-2"/>
        </w:rPr>
        <w:t>RFID</w:t>
      </w:r>
      <w:r>
        <w:rPr>
          <w:spacing w:val="-2"/>
        </w:rPr>
        <w:t>生产商所能提供的产品或服务趋于相同，造成了市场竞争者数量较多，对市场份额的争</w:t>
      </w:r>
      <w:r>
        <w:rPr>
          <w:spacing w:val="-41"/>
        </w:rPr>
        <w:t> </w:t>
      </w:r>
      <w:r>
        <w:rPr>
          <w:spacing w:val="-41"/>
        </w:rPr>
      </w:r>
      <w:r>
        <w:rPr/>
        <w:t>夺激烈等情况。</w:t>
      </w:r>
    </w:p>
    <w:p>
      <w:pPr>
        <w:pStyle w:val="Heading5"/>
        <w:spacing w:line="350" w:lineRule="auto" w:before="27"/>
        <w:ind w:left="573" w:right="1133"/>
        <w:jc w:val="left"/>
      </w:pPr>
      <w:r>
        <w:rPr/>
        <w:t>（</w:t>
      </w:r>
      <w:r>
        <w:rPr>
          <w:rFonts w:ascii="宋体" w:hAnsi="宋体" w:cs="宋体" w:eastAsia="宋体" w:hint="default"/>
        </w:rPr>
        <w:t>2</w:t>
      </w:r>
      <w:r>
        <w:rPr/>
        <w:t>）公司在</w:t>
      </w:r>
      <w:r>
        <w:rPr>
          <w:rFonts w:ascii="宋体" w:hAnsi="宋体" w:cs="宋体" w:eastAsia="宋体" w:hint="default"/>
        </w:rPr>
        <w:t>RFID</w:t>
      </w:r>
      <w:r>
        <w:rPr/>
        <w:t>行业的地位及变动趋势</w:t>
      </w:r>
      <w:r>
        <w:rPr>
          <w:w w:val="100"/>
        </w:rPr>
        <w:t> </w:t>
      </w:r>
      <w:r>
        <w:rPr>
          <w:spacing w:val="-2"/>
        </w:rPr>
        <w:t>公司是全球最早从事</w:t>
      </w:r>
      <w:r>
        <w:rPr>
          <w:rFonts w:ascii="宋体" w:hAnsi="宋体" w:cs="宋体" w:eastAsia="宋体" w:hint="default"/>
          <w:spacing w:val="-2"/>
        </w:rPr>
        <w:t>EAS</w:t>
      </w:r>
      <w:r>
        <w:rPr>
          <w:spacing w:val="-2"/>
        </w:rPr>
        <w:t>业务的企业之一，也是国内首家</w:t>
      </w:r>
      <w:r>
        <w:rPr>
          <w:rFonts w:ascii="宋体" w:hAnsi="宋体" w:cs="宋体" w:eastAsia="宋体" w:hint="default"/>
          <w:spacing w:val="-2"/>
        </w:rPr>
        <w:t>EAS</w:t>
      </w:r>
      <w:r>
        <w:rPr>
          <w:spacing w:val="-2"/>
        </w:rPr>
        <w:t>领域的上市公司。公司自</w:t>
      </w:r>
      <w:r>
        <w:rPr>
          <w:rFonts w:ascii="宋体" w:hAnsi="宋体" w:cs="宋体" w:eastAsia="宋体" w:hint="default"/>
          <w:spacing w:val="-2"/>
        </w:rPr>
        <w:t>2012</w:t>
      </w:r>
      <w:r>
        <w:rPr>
          <w:spacing w:val="-2"/>
        </w:rPr>
        <w:t>年开始部署</w:t>
      </w:r>
    </w:p>
    <w:p>
      <w:pPr>
        <w:pStyle w:val="Heading5"/>
        <w:spacing w:line="348" w:lineRule="auto" w:before="29"/>
        <w:ind w:right="0"/>
        <w:jc w:val="left"/>
      </w:pPr>
      <w:r>
        <w:rPr>
          <w:rFonts w:ascii="宋体" w:hAnsi="宋体" w:cs="宋体" w:eastAsia="宋体" w:hint="default"/>
          <w:spacing w:val="-2"/>
        </w:rPr>
        <w:t>RFID</w:t>
      </w:r>
      <w:r>
        <w:rPr>
          <w:spacing w:val="-2"/>
        </w:rPr>
        <w:t>业务，经过数年的研发技术积累和业务发展，公司已成为具有先进的研发技术、优良的生产管理及规</w:t>
      </w:r>
      <w:r>
        <w:rPr>
          <w:spacing w:val="-39"/>
        </w:rPr>
        <w:t> </w:t>
      </w:r>
      <w:r>
        <w:rPr>
          <w:spacing w:val="-39"/>
        </w:rPr>
      </w:r>
      <w:r>
        <w:rPr>
          <w:spacing w:val="-2"/>
        </w:rPr>
        <w:t>模化产能的集</w:t>
      </w:r>
      <w:r>
        <w:rPr>
          <w:rFonts w:ascii="宋体" w:hAnsi="宋体" w:cs="宋体" w:eastAsia="宋体" w:hint="default"/>
          <w:spacing w:val="-2"/>
        </w:rPr>
        <w:t>RFID</w:t>
      </w:r>
      <w:r>
        <w:rPr>
          <w:spacing w:val="-2"/>
        </w:rPr>
        <w:t>标签生产制造和集成应用技术服务为一体的综合性企业，公司</w:t>
      </w:r>
      <w:r>
        <w:rPr>
          <w:rFonts w:ascii="宋体" w:hAnsi="宋体" w:cs="宋体" w:eastAsia="宋体" w:hint="default"/>
          <w:spacing w:val="-2"/>
        </w:rPr>
        <w:t>RFID</w:t>
      </w:r>
      <w:r>
        <w:rPr>
          <w:spacing w:val="-2"/>
        </w:rPr>
        <w:t>基础标签产品、超高</w:t>
      </w:r>
      <w:r>
        <w:rPr>
          <w:spacing w:val="-36"/>
        </w:rPr>
        <w:t> </w:t>
      </w:r>
      <w:r>
        <w:rPr>
          <w:spacing w:val="-36"/>
        </w:rPr>
      </w:r>
      <w:r>
        <w:rPr/>
        <w:t>频</w:t>
      </w:r>
      <w:r>
        <w:rPr>
          <w:rFonts w:ascii="宋体" w:hAnsi="宋体" w:cs="宋体" w:eastAsia="宋体" w:hint="default"/>
        </w:rPr>
        <w:t>RFID</w:t>
      </w:r>
      <w:r>
        <w:rPr/>
        <w:t>标签产品、</w:t>
      </w:r>
      <w:r>
        <w:rPr>
          <w:rFonts w:ascii="宋体" w:hAnsi="宋体" w:cs="宋体" w:eastAsia="宋体" w:hint="default"/>
        </w:rPr>
        <w:t>UHF</w:t>
      </w:r>
      <w:r>
        <w:rPr/>
        <w:t>标签产品在国际市场持续保持较高的市场占有率。目前，公司在数字化零售和</w:t>
      </w:r>
      <w:r>
        <w:rPr>
          <w:rFonts w:ascii="宋体" w:hAnsi="宋体" w:cs="宋体" w:eastAsia="宋体" w:hint="default"/>
        </w:rPr>
        <w:t>RFID</w:t>
      </w:r>
      <w:r>
        <w:rPr>
          <w:rFonts w:ascii="宋体" w:hAnsi="宋体" w:cs="宋体" w:eastAsia="宋体" w:hint="default"/>
          <w:w w:val="100"/>
        </w:rPr>
        <w:t> </w:t>
      </w:r>
      <w:r>
        <w:rPr>
          <w:spacing w:val="-2"/>
        </w:rPr>
        <w:t>应用领域处于领先地位，与全球</w:t>
      </w:r>
      <w:r>
        <w:rPr>
          <w:rFonts w:ascii="宋体" w:hAnsi="宋体" w:cs="宋体" w:eastAsia="宋体" w:hint="default"/>
          <w:spacing w:val="-2"/>
        </w:rPr>
        <w:t>300</w:t>
      </w:r>
      <w:r>
        <w:rPr>
          <w:spacing w:val="-2"/>
        </w:rPr>
        <w:t>多家客户和代理伙伴建立了长期稳定的合作关系，产品出口遍及欧洲、</w:t>
      </w:r>
      <w:r>
        <w:rPr>
          <w:spacing w:val="-40"/>
        </w:rPr>
        <w:t> </w:t>
      </w:r>
      <w:r>
        <w:rPr>
          <w:spacing w:val="-40"/>
        </w:rPr>
      </w:r>
      <w:r>
        <w:rPr/>
        <w:t>美洲、中东、东南亚等</w:t>
      </w:r>
      <w:r>
        <w:rPr>
          <w:rFonts w:ascii="宋体" w:hAnsi="宋体" w:cs="宋体" w:eastAsia="宋体" w:hint="default"/>
        </w:rPr>
        <w:t>70</w:t>
      </w:r>
      <w:r>
        <w:rPr/>
        <w:t>多个国家及地区。</w:t>
      </w:r>
    </w:p>
    <w:p>
      <w:pPr>
        <w:pStyle w:val="Heading5"/>
        <w:spacing w:line="350" w:lineRule="auto" w:before="31"/>
        <w:ind w:left="573" w:right="1133" w:firstLine="2"/>
        <w:jc w:val="left"/>
      </w:pPr>
      <w:r>
        <w:rPr>
          <w:rFonts w:ascii="宋体" w:hAnsi="宋体" w:cs="宋体" w:eastAsia="宋体" w:hint="default"/>
          <w:b/>
          <w:bCs/>
        </w:rPr>
        <w:t>（二）公司发展战略</w:t>
      </w:r>
      <w:r>
        <w:rPr>
          <w:rFonts w:ascii="宋体" w:hAnsi="宋体" w:cs="宋体" w:eastAsia="宋体" w:hint="default"/>
          <w:b/>
          <w:bCs/>
          <w:w w:val="100"/>
        </w:rPr>
        <w:t> </w:t>
      </w:r>
      <w:r>
        <w:rPr>
          <w:spacing w:val="-2"/>
        </w:rPr>
        <w:t>公司通过前沿技术的研发，不断创新，将移动互联网与物联网两大产业在终端、网络、平台等各个层</w:t>
      </w:r>
    </w:p>
    <w:p>
      <w:pPr>
        <w:pStyle w:val="Heading5"/>
        <w:spacing w:line="350" w:lineRule="auto" w:before="27"/>
        <w:ind w:right="1133"/>
        <w:jc w:val="left"/>
      </w:pPr>
      <w:r>
        <w:rPr>
          <w:spacing w:val="-2"/>
        </w:rPr>
        <w:t>面进行多种形式的融合。充分发挥在医疗信息化和健康管理方面的核心优势，大力推动智慧医疗生态平台</w:t>
      </w:r>
      <w:r>
        <w:rPr>
          <w:spacing w:val="-43"/>
        </w:rPr>
        <w:t> </w:t>
      </w:r>
      <w:r>
        <w:rPr>
          <w:spacing w:val="-43"/>
        </w:rPr>
      </w:r>
      <w:r>
        <w:rPr>
          <w:spacing w:val="-2"/>
        </w:rPr>
        <w:t>的搭建、医疗大数据及医疗人工智能的应用以及基于</w:t>
      </w:r>
      <w:r>
        <w:rPr>
          <w:rFonts w:ascii="宋体" w:hAnsi="宋体" w:cs="宋体" w:eastAsia="宋体" w:hint="default"/>
          <w:spacing w:val="-2"/>
        </w:rPr>
        <w:t>RFID</w:t>
      </w:r>
      <w:r>
        <w:rPr>
          <w:spacing w:val="-2"/>
        </w:rPr>
        <w:t>深度协同的医疗健康信息耗材类产品的研发和推</w:t>
      </w:r>
      <w:r>
        <w:rPr>
          <w:spacing w:val="-38"/>
        </w:rPr>
        <w:t> </w:t>
      </w:r>
      <w:r>
        <w:rPr>
          <w:spacing w:val="-38"/>
        </w:rPr>
      </w:r>
      <w:r>
        <w:rPr>
          <w:spacing w:val="-2"/>
        </w:rPr>
        <w:t>广，聚焦于信息服务的个性化和服务体验的提升，在为居民提供“全人全程、可及连贯”的医疗服务方面</w:t>
      </w:r>
      <w:r>
        <w:rPr>
          <w:spacing w:val="-43"/>
        </w:rPr>
        <w:t> </w:t>
      </w:r>
      <w:r>
        <w:rPr>
          <w:spacing w:val="-43"/>
        </w:rPr>
      </w:r>
      <w:r>
        <w:rPr/>
        <w:t>实现重大发展，打造创新型智慧医疗服务生态体系；充分利用在</w:t>
      </w:r>
      <w:r>
        <w:rPr>
          <w:rFonts w:ascii="宋体" w:hAnsi="宋体" w:cs="宋体" w:eastAsia="宋体" w:hint="default"/>
        </w:rPr>
        <w:t>EAS</w:t>
      </w:r>
      <w:r>
        <w:rPr/>
        <w:t>和</w:t>
      </w:r>
      <w:r>
        <w:rPr>
          <w:rFonts w:ascii="宋体" w:hAnsi="宋体" w:cs="宋体" w:eastAsia="宋体" w:hint="default"/>
        </w:rPr>
        <w:t>RFID</w:t>
      </w:r>
      <w:r>
        <w:rPr/>
        <w:t>业务的长期经验积累，凭借从</w:t>
      </w:r>
      <w:r>
        <w:rPr>
          <w:w w:val="100"/>
        </w:rPr>
        <w:t> </w:t>
      </w:r>
      <w:r>
        <w:rPr>
          <w:spacing w:val="-2"/>
        </w:rPr>
        <w:t>芯片研发到标签研制及系统集成全产业链优势，努力打造为客户提供一站式服务的智慧商业解决方案提供</w:t>
      </w:r>
      <w:r>
        <w:rPr>
          <w:spacing w:val="-43"/>
        </w:rPr>
        <w:t> </w:t>
      </w:r>
      <w:r>
        <w:rPr>
          <w:spacing w:val="-43"/>
        </w:rPr>
      </w:r>
      <w:r>
        <w:rPr>
          <w:spacing w:val="-2"/>
        </w:rPr>
        <w:t>商；并不断加强智慧商业与智慧健康医疗养老业务的融合，实现健康乐居、健康生活，最终实现“互联物</w:t>
      </w:r>
      <w:r>
        <w:rPr>
          <w:spacing w:val="-47"/>
        </w:rPr>
        <w:t> </w:t>
      </w:r>
      <w:r>
        <w:rPr>
          <w:spacing w:val="-47"/>
        </w:rPr>
      </w:r>
      <w:r>
        <w:rPr/>
        <w:t>联</w:t>
      </w:r>
      <w:r>
        <w:rPr>
          <w:spacing w:val="-4"/>
        </w:rPr>
        <w:t> </w:t>
      </w:r>
      <w:r>
        <w:rPr/>
        <w:t>改变生活”的美好愿景。</w:t>
      </w:r>
    </w:p>
    <w:p>
      <w:pPr>
        <w:pStyle w:val="Heading4"/>
        <w:spacing w:line="240" w:lineRule="auto" w:before="29"/>
        <w:ind w:left="575" w:right="1133"/>
        <w:jc w:val="left"/>
        <w:rPr>
          <w:b w:val="0"/>
          <w:bCs w:val="0"/>
        </w:rPr>
      </w:pPr>
      <w:r>
        <w:rPr/>
        <w:t>（三）公司经营计划</w:t>
      </w:r>
      <w:r>
        <w:rPr>
          <w:b w:val="0"/>
          <w:bCs w:val="0"/>
        </w:rPr>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Heading5"/>
        <w:spacing w:line="240" w:lineRule="auto" w:before="0"/>
        <w:ind w:left="573" w:right="1133"/>
        <w:jc w:val="left"/>
      </w:pPr>
      <w:r>
        <w:rPr>
          <w:rFonts w:ascii="宋体" w:hAnsi="宋体" w:cs="宋体" w:eastAsia="宋体" w:hint="default"/>
        </w:rPr>
        <w:t>1</w:t>
      </w:r>
      <w:r>
        <w:rPr/>
        <w:t>、紧抓行业发展机遇，发挥公司平台优势，将政策利好转化为公司业绩</w:t>
      </w:r>
    </w:p>
    <w:p>
      <w:pPr>
        <w:pStyle w:val="Heading5"/>
        <w:spacing w:line="348" w:lineRule="auto" w:before="126"/>
        <w:ind w:right="1126" w:firstLine="420"/>
        <w:jc w:val="left"/>
      </w:pPr>
      <w:r>
        <w:rPr>
          <w:rFonts w:ascii="宋体" w:hAnsi="宋体" w:cs="宋体" w:eastAsia="宋体" w:hint="default"/>
        </w:rPr>
        <w:t>2018</w:t>
      </w:r>
      <w:r>
        <w:rPr>
          <w:rFonts w:ascii="宋体" w:hAnsi="宋体" w:cs="宋体" w:eastAsia="宋体" w:hint="default"/>
          <w:spacing w:val="-5"/>
        </w:rPr>
        <w:t> </w:t>
      </w:r>
      <w:r>
        <w:rPr/>
        <w:t>年以来，信息化和智慧医院建设正日渐成为医疗服务高质量发展的重要引擎，国务院、卫健委</w:t>
      </w:r>
      <w:r>
        <w:rPr>
          <w:w w:val="100"/>
        </w:rPr>
        <w:t> </w:t>
      </w:r>
      <w:r>
        <w:rPr>
          <w:spacing w:val="-2"/>
        </w:rPr>
        <w:t>等陆续出台多项政策，推动医疗信息化建设，年初至今的重磅政策已超过</w:t>
      </w:r>
      <w:r>
        <w:rPr>
          <w:rFonts w:ascii="宋体" w:hAnsi="宋体" w:cs="宋体" w:eastAsia="宋体" w:hint="default"/>
          <w:spacing w:val="-2"/>
        </w:rPr>
        <w:t>20</w:t>
      </w:r>
      <w:r>
        <w:rPr>
          <w:spacing w:val="-2"/>
        </w:rPr>
        <w:t>项。政策密集发布的同时，又</w:t>
      </w:r>
      <w:r>
        <w:rPr>
          <w:spacing w:val="-45"/>
        </w:rPr>
        <w:t> </w:t>
      </w:r>
      <w:r>
        <w:rPr>
          <w:spacing w:val="-45"/>
        </w:rPr>
      </w:r>
      <w:r>
        <w:rPr/>
        <w:t>对相关工作提出了明确的时间要求，例如电子病历相关的信息化建设，政策即设定了未来</w:t>
      </w:r>
      <w:r>
        <w:rPr>
          <w:rFonts w:ascii="宋体" w:hAnsi="宋体" w:cs="宋体" w:eastAsia="宋体" w:hint="default"/>
        </w:rPr>
        <w:t>2-3</w:t>
      </w:r>
      <w:r>
        <w:rPr/>
        <w:t>年的明确、</w:t>
      </w:r>
      <w:r>
        <w:rPr>
          <w:w w:val="100"/>
        </w:rPr>
        <w:t> </w:t>
      </w:r>
      <w:r>
        <w:rPr>
          <w:spacing w:val="-2"/>
        </w:rPr>
        <w:t>高标准的建设目标。因此，以互联互通为重心的医疗信息化建设预计将进入高潮，智慧医疗行业有望步入</w:t>
      </w:r>
      <w:r>
        <w:rPr>
          <w:spacing w:val="-44"/>
        </w:rPr>
        <w:t> </w:t>
      </w:r>
      <w:r>
        <w:rPr>
          <w:spacing w:val="-44"/>
        </w:rPr>
      </w:r>
      <w:r>
        <w:rPr/>
        <w:t>高景气期。</w:t>
      </w:r>
    </w:p>
    <w:p>
      <w:pPr>
        <w:pStyle w:val="Heading5"/>
        <w:spacing w:line="350" w:lineRule="auto" w:before="31"/>
        <w:ind w:right="1133" w:firstLine="420"/>
        <w:jc w:val="left"/>
      </w:pPr>
      <w:r>
        <w:rPr>
          <w:spacing w:val="-2"/>
        </w:rPr>
        <w:t>公司智能开放平台是业内领先的信息集成平台类产品，在实现高质量的医疗信息互通共享上具有非常</w:t>
      </w:r>
      <w:r>
        <w:rPr>
          <w:w w:val="100"/>
        </w:rPr>
        <w:t> </w:t>
      </w:r>
      <w:r>
        <w:rPr>
          <w:spacing w:val="-2"/>
        </w:rPr>
        <w:t>突出的竞争优势。其中以智能开放平台为核心的智慧医院整体解决方案项目，公司已有数十家的高等级医</w:t>
      </w:r>
      <w:r>
        <w:rPr>
          <w:spacing w:val="-44"/>
        </w:rPr>
        <w:t> </w:t>
      </w:r>
      <w:r>
        <w:rPr>
          <w:spacing w:val="-44"/>
        </w:rPr>
      </w:r>
      <w:r>
        <w:rPr>
          <w:spacing w:val="-2"/>
        </w:rPr>
        <w:t>院案例，在业内遥遥领先。在互联互通政策大背景下，公司将进一步夯实智能开放平台的竞争力，一是将</w:t>
      </w:r>
      <w:r>
        <w:rPr>
          <w:spacing w:val="-50"/>
        </w:rPr>
        <w:t> </w:t>
      </w:r>
      <w:r>
        <w:rPr>
          <w:spacing w:val="-50"/>
        </w:rPr>
      </w:r>
      <w:r>
        <w:rPr/>
        <w:t>已成为国际标准的中西医临床术语体系框架</w:t>
      </w:r>
      <w:r>
        <w:rPr>
          <w:rFonts w:ascii="宋体" w:hAnsi="宋体" w:cs="宋体" w:eastAsia="宋体" w:hint="default"/>
        </w:rPr>
        <w:t>(ITCMWMCTS)</w:t>
      </w:r>
      <w:r>
        <w:rPr/>
        <w:t>融合到平台当中，使智能开放平台更加标准化；</w:t>
      </w:r>
      <w:r>
        <w:rPr>
          <w:w w:val="100"/>
        </w:rPr>
        <w:t> </w:t>
      </w:r>
      <w:r>
        <w:rPr>
          <w:spacing w:val="-2"/>
        </w:rPr>
        <w:t>二是打造基于智能开放云平台的微服务框架，进一步发挥公司在智慧医院整体解决方案上的优势。智能开</w:t>
      </w:r>
      <w:r>
        <w:rPr>
          <w:spacing w:val="-43"/>
        </w:rPr>
        <w:t> </w:t>
      </w:r>
      <w:r>
        <w:rPr>
          <w:spacing w:val="-43"/>
        </w:rPr>
      </w:r>
      <w:r>
        <w:rPr/>
        <w:t>放平台竞争力的巩固和提升，将有力促进公司业绩的进一步增长。</w:t>
      </w:r>
    </w:p>
    <w:p>
      <w:pPr>
        <w:pStyle w:val="Heading5"/>
        <w:spacing w:line="350" w:lineRule="auto" w:before="29"/>
        <w:ind w:left="573" w:right="1133"/>
        <w:jc w:val="left"/>
      </w:pPr>
      <w:r>
        <w:rPr>
          <w:rFonts w:ascii="宋体" w:hAnsi="宋体" w:cs="宋体" w:eastAsia="宋体" w:hint="default"/>
        </w:rPr>
        <w:t>2</w:t>
      </w:r>
      <w:r>
        <w:rPr/>
        <w:t>、立足行业发展前沿，增强创新落地能力，保持大数据、人工智能领域的领先优势</w:t>
      </w:r>
      <w:r>
        <w:rPr>
          <w:w w:val="100"/>
        </w:rPr>
        <w:t> </w:t>
      </w:r>
      <w:r>
        <w:rPr>
          <w:spacing w:val="-2"/>
        </w:rPr>
        <w:t>在医疗健康大数据和人工智能领域，公司经过数年的耕耘，已形成了从标准、数据、技术到实际应用</w:t>
      </w:r>
    </w:p>
    <w:p>
      <w:pPr>
        <w:pStyle w:val="Heading5"/>
        <w:spacing w:line="350" w:lineRule="auto" w:before="27"/>
        <w:ind w:right="1133"/>
        <w:jc w:val="left"/>
      </w:pPr>
      <w:r>
        <w:rPr>
          <w:spacing w:val="-2"/>
        </w:rPr>
        <w:t>的创新链。公司开发了中西医结合临床术语体系框架，申请了国际标准；开展了医疗健康大数据采集、转</w:t>
      </w:r>
      <w:r>
        <w:rPr>
          <w:spacing w:val="-44"/>
        </w:rPr>
        <w:t> </w:t>
      </w:r>
      <w:r>
        <w:rPr>
          <w:spacing w:val="-44"/>
        </w:rPr>
      </w:r>
      <w:r>
        <w:rPr>
          <w:spacing w:val="-2"/>
        </w:rPr>
        <w:t>化、知识建模工作，完成了数据的全面采集与数据的整合；自主开发了人工智能算法引擎，实现了人工智</w:t>
      </w:r>
      <w:r>
        <w:rPr>
          <w:spacing w:val="-46"/>
        </w:rPr>
        <w:t> </w:t>
      </w:r>
      <w:r>
        <w:rPr>
          <w:spacing w:val="-46"/>
        </w:rPr>
      </w:r>
      <w:r>
        <w:rPr/>
        <w:t>能关键技术的突破；开发了</w:t>
      </w:r>
      <w:r>
        <w:rPr>
          <w:rFonts w:ascii="宋体" w:hAnsi="宋体" w:cs="宋体" w:eastAsia="宋体" w:hint="default"/>
        </w:rPr>
        <w:t>10</w:t>
      </w:r>
      <w:r>
        <w:rPr/>
        <w:t>余种常见疾病的智能辅助诊断产品</w:t>
      </w:r>
      <w:r>
        <w:rPr>
          <w:rFonts w:ascii="宋体" w:hAnsi="宋体" w:cs="宋体" w:eastAsia="宋体" w:hint="default"/>
        </w:rPr>
        <w:t>,</w:t>
      </w:r>
      <w:r>
        <w:rPr/>
        <w:t>并在医院实际投入使用。前期的这些积</w:t>
      </w:r>
      <w:r>
        <w:rPr>
          <w:w w:val="100"/>
        </w:rPr>
        <w:t> </w:t>
      </w:r>
      <w:r>
        <w:rPr/>
        <w:t>淀，为公司大数据、人工智能业务模式的进一步落地打下了良好的基础。</w:t>
      </w:r>
    </w:p>
    <w:p>
      <w:pPr>
        <w:pStyle w:val="Heading5"/>
        <w:spacing w:line="350" w:lineRule="auto" w:before="29"/>
        <w:ind w:right="1126" w:firstLine="420"/>
        <w:jc w:val="both"/>
      </w:pPr>
      <w:r>
        <w:rPr>
          <w:spacing w:val="-2"/>
        </w:rPr>
        <w:t>着眼于强化公司在大数据、人工智能上的领先优势，公司将加快开放合作的人工智能研发创新平台与</w:t>
      </w:r>
      <w:r>
        <w:rPr>
          <w:w w:val="100"/>
        </w:rPr>
        <w:t> </w:t>
      </w:r>
      <w:r>
        <w:rPr>
          <w:spacing w:val="-2"/>
        </w:rPr>
        <w:t>面向医联体、医共体的人工智能应用服务平台的建设。通过医共体、医联体远程会诊协作平台向基层医生</w:t>
      </w:r>
      <w:r>
        <w:rPr>
          <w:spacing w:val="-42"/>
        </w:rPr>
        <w:t> </w:t>
      </w:r>
      <w:r>
        <w:rPr>
          <w:spacing w:val="-42"/>
        </w:rPr>
      </w:r>
      <w:r>
        <w:rPr>
          <w:spacing w:val="-2"/>
        </w:rPr>
        <w:t>提供符合实际临床场景人工智能辅助诊断服务，通过形成完整、全程、准确、有效的数据闭环并提供数据</w:t>
      </w:r>
      <w:r>
        <w:rPr>
          <w:spacing w:val="-47"/>
        </w:rPr>
        <w:t> </w:t>
      </w:r>
      <w:r>
        <w:rPr>
          <w:spacing w:val="-47"/>
        </w:rPr>
      </w:r>
      <w:r>
        <w:rPr>
          <w:spacing w:val="-2"/>
        </w:rPr>
        <w:t>服务，在医共体、医联体中优化医疗资源配置，推进分级诊疗和医疗服务的同质化，助力医联体和医共体</w:t>
      </w:r>
      <w:r>
        <w:rPr>
          <w:spacing w:val="-47"/>
        </w:rPr>
        <w:t> </w:t>
      </w:r>
      <w:r>
        <w:rPr>
          <w:spacing w:val="-47"/>
        </w:rPr>
      </w:r>
      <w:r>
        <w:rPr/>
        <w:t>的建设，提高医疗卫生服务整体效率。</w:t>
      </w:r>
    </w:p>
    <w:p>
      <w:pPr>
        <w:pStyle w:val="Heading5"/>
        <w:spacing w:line="350" w:lineRule="auto" w:before="27"/>
        <w:ind w:left="573" w:right="1133"/>
        <w:jc w:val="left"/>
      </w:pPr>
      <w:r>
        <w:rPr>
          <w:rFonts w:ascii="宋体" w:hAnsi="宋体" w:cs="宋体" w:eastAsia="宋体" w:hint="default"/>
        </w:rPr>
        <w:t>3</w:t>
      </w:r>
      <w:r>
        <w:rPr/>
        <w:t>、聚焦行业发展趋势，加强产品研发储备，积蓄公司的长远发展后劲</w:t>
      </w:r>
      <w:r>
        <w:rPr>
          <w:w w:val="100"/>
        </w:rPr>
        <w:t> </w:t>
      </w:r>
      <w:r>
        <w:rPr>
          <w:spacing w:val="-2"/>
        </w:rPr>
        <w:t>近十年来，国内智慧医疗行业在将互联网、物联网、大数据、人工智能等技术与医疗相融合方面，已</w:t>
      </w:r>
    </w:p>
    <w:p>
      <w:pPr>
        <w:pStyle w:val="Heading5"/>
        <w:spacing w:line="350" w:lineRule="auto" w:before="29"/>
        <w:ind w:right="1126"/>
        <w:jc w:val="both"/>
      </w:pPr>
      <w:r>
        <w:rPr>
          <w:spacing w:val="-2"/>
        </w:rPr>
        <w:t>做了很多与全球同步的创新探索。最近国家卫生健康委印发了关于医院智慧服务分级的评估标准，意在明</w:t>
      </w:r>
      <w:r>
        <w:rPr>
          <w:spacing w:val="-44"/>
        </w:rPr>
        <w:t> </w:t>
      </w:r>
      <w:r>
        <w:rPr>
          <w:spacing w:val="-44"/>
        </w:rPr>
      </w:r>
      <w:r>
        <w:rPr>
          <w:spacing w:val="-2"/>
        </w:rPr>
        <w:t>确智慧医院的内涵，通过对医院智慧服务的分级管理引导智慧医院的建设，在医院、医联体、医疗集团内</w:t>
      </w:r>
      <w:r>
        <w:rPr>
          <w:spacing w:val="-47"/>
        </w:rPr>
        <w:t> </w:t>
      </w:r>
      <w:r>
        <w:rPr>
          <w:spacing w:val="-47"/>
        </w:rPr>
      </w:r>
      <w:r>
        <w:rPr>
          <w:spacing w:val="-2"/>
        </w:rPr>
        <w:t>部均实现信息的互联、互通、共享，为患者提供连续一体化的诊疗服务。这为智慧医疗行业下一步的发展</w:t>
      </w:r>
      <w:r>
        <w:rPr>
          <w:spacing w:val="-47"/>
        </w:rPr>
        <w:t> </w:t>
      </w:r>
      <w:r>
        <w:rPr>
          <w:spacing w:val="-47"/>
        </w:rPr>
      </w:r>
      <w:r>
        <w:rPr/>
        <w:t>指明了方向。</w:t>
      </w:r>
    </w:p>
    <w:p>
      <w:pPr>
        <w:pStyle w:val="Heading5"/>
        <w:spacing w:line="350" w:lineRule="auto" w:before="27"/>
        <w:ind w:right="0" w:firstLine="420"/>
        <w:jc w:val="left"/>
      </w:pPr>
      <w:r>
        <w:rPr/>
        <w:t>为增强公司的长远发展后劲，公司将聚焦智慧医疗的发展趋势，加强技术产品的研发和储备。在面向</w:t>
      </w:r>
      <w:r>
        <w:rPr>
          <w:w w:val="100"/>
        </w:rPr>
        <w:t> </w:t>
      </w:r>
      <w:r>
        <w:rPr>
          <w:spacing w:val="-2"/>
        </w:rPr>
        <w:t>医务人员的“智慧医疗”方面，公司将按照微服务架构、</w:t>
      </w:r>
      <w:r>
        <w:rPr>
          <w:rFonts w:ascii="宋体" w:hAnsi="宋体" w:cs="宋体" w:eastAsia="宋体" w:hint="default"/>
          <w:spacing w:val="-2"/>
        </w:rPr>
        <w:t>AI</w:t>
      </w:r>
      <w:r>
        <w:rPr>
          <w:spacing w:val="-2"/>
        </w:rPr>
        <w:t>场景驱动、国际标准术语融合的创新设计，进</w:t>
      </w:r>
      <w:r>
        <w:rPr>
          <w:spacing w:val="-43"/>
        </w:rPr>
        <w:t> </w:t>
      </w:r>
      <w:r>
        <w:rPr>
          <w:spacing w:val="-43"/>
        </w:rPr>
      </w:r>
      <w:r>
        <w:rPr>
          <w:spacing w:val="-2"/>
        </w:rPr>
        <w:t>一步开发以急诊、门诊、住院一体化以及临床、科研、管理一体化为特色的临床一体化平台；在面向患者</w:t>
      </w:r>
      <w:r>
        <w:rPr>
          <w:spacing w:val="-43"/>
        </w:rPr>
        <w:t> </w:t>
      </w:r>
      <w:r>
        <w:rPr>
          <w:spacing w:val="-43"/>
        </w:rPr>
      </w:r>
      <w:r>
        <w:rPr>
          <w:spacing w:val="-2"/>
        </w:rPr>
        <w:t>的“智慧服务”方面，公司将结合互联网</w:t>
      </w:r>
      <w:r>
        <w:rPr>
          <w:rFonts w:ascii="宋体" w:hAnsi="宋体" w:cs="宋体" w:eastAsia="宋体" w:hint="default"/>
          <w:spacing w:val="-2"/>
        </w:rPr>
        <w:t>+</w:t>
      </w:r>
      <w:r>
        <w:rPr>
          <w:spacing w:val="-2"/>
        </w:rPr>
        <w:t>人工智能技术开发患者就医的全程智能化主动式服务解决方案，</w:t>
      </w:r>
      <w:r>
        <w:rPr>
          <w:spacing w:val="-44"/>
        </w:rPr>
        <w:t> </w:t>
      </w:r>
      <w:r>
        <w:rPr>
          <w:spacing w:val="-44"/>
        </w:rPr>
      </w:r>
      <w:r>
        <w:rPr>
          <w:spacing w:val="-2"/>
        </w:rPr>
        <w:t>实现院前、院中、院后全医疗流程的主动式导航、导诊、支付、随访、宣教等智慧医疗服务。在面向医院</w:t>
      </w:r>
    </w:p>
    <w:p>
      <w:pPr>
        <w:spacing w:after="0" w:line="35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1126"/>
        <w:jc w:val="both"/>
      </w:pPr>
      <w:r>
        <w:rPr>
          <w:spacing w:val="-2"/>
        </w:rPr>
        <w:t>管理的“智慧管理”方面，公司将充分发挥自身在物联网技术上的优势，进一步研发以医疗被服智能管理</w:t>
      </w:r>
      <w:r>
        <w:rPr>
          <w:spacing w:val="-43"/>
        </w:rPr>
        <w:t> </w:t>
      </w:r>
      <w:r>
        <w:rPr>
          <w:spacing w:val="-43"/>
        </w:rPr>
      </w:r>
      <w:r>
        <w:rPr/>
        <w:t>为代表的物联网智慧医疗溯源管理解决方案，提升医院精细化管理水平。</w:t>
      </w:r>
    </w:p>
    <w:p>
      <w:pPr>
        <w:pStyle w:val="Heading5"/>
        <w:spacing w:line="350" w:lineRule="auto" w:before="27"/>
        <w:ind w:left="573" w:right="0"/>
        <w:jc w:val="left"/>
      </w:pPr>
      <w:r>
        <w:rPr>
          <w:rFonts w:ascii="宋体" w:hAnsi="宋体" w:cs="宋体" w:eastAsia="宋体" w:hint="default"/>
        </w:rPr>
        <w:t>4</w:t>
      </w:r>
      <w:r>
        <w:rPr/>
        <w:t>、加快产品创新升级，打造市场典型案例，实现商业智能业务的稳定发展</w:t>
      </w:r>
      <w:r>
        <w:rPr>
          <w:w w:val="100"/>
        </w:rPr>
        <w:t> </w:t>
      </w:r>
      <w:r>
        <w:rPr>
          <w:spacing w:val="-4"/>
        </w:rPr>
        <w:t>公司将继续加强特殊场景功能性</w:t>
      </w:r>
      <w:r>
        <w:rPr>
          <w:rFonts w:ascii="宋体" w:hAnsi="宋体" w:cs="宋体" w:eastAsia="宋体" w:hint="default"/>
          <w:spacing w:val="-4"/>
        </w:rPr>
        <w:t>RFID</w:t>
      </w:r>
      <w:r>
        <w:rPr>
          <w:spacing w:val="-4"/>
        </w:rPr>
        <w:t>标签的研发深度，以适应更广泛的市场需求，为客户提供更专业、</w:t>
      </w:r>
    </w:p>
    <w:p>
      <w:pPr>
        <w:pStyle w:val="Heading5"/>
        <w:spacing w:line="350" w:lineRule="auto" w:before="29"/>
        <w:ind w:right="1127"/>
        <w:jc w:val="both"/>
      </w:pPr>
      <w:r>
        <w:rPr>
          <w:spacing w:val="-2"/>
        </w:rPr>
        <w:t>更及时、更高效的产品及服务，凸显公司产品高性价比、差异化的竞争优势。同时对智慧商业集成应用成</w:t>
      </w:r>
      <w:r>
        <w:rPr>
          <w:spacing w:val="-50"/>
        </w:rPr>
        <w:t> </w:t>
      </w:r>
      <w:r>
        <w:rPr>
          <w:spacing w:val="-50"/>
        </w:rPr>
      </w:r>
      <w:r>
        <w:rPr>
          <w:spacing w:val="-2"/>
        </w:rPr>
        <w:t>功实施的案例进行深度挖掘与优化，推出全新智慧商业平台，进一步深入供应链、门店销售等全流程数字</w:t>
      </w:r>
      <w:r>
        <w:rPr>
          <w:spacing w:val="-45"/>
        </w:rPr>
        <w:t> </w:t>
      </w:r>
      <w:r>
        <w:rPr>
          <w:spacing w:val="-45"/>
        </w:rPr>
      </w:r>
      <w:r>
        <w:rPr>
          <w:spacing w:val="-2"/>
        </w:rPr>
        <w:t>化管理，并基于零售大数据实施数据管理和分析，为客户提供更加智能化的管理升级，提升整体解决方案</w:t>
      </w:r>
      <w:r>
        <w:rPr>
          <w:spacing w:val="-42"/>
        </w:rPr>
        <w:t> </w:t>
      </w:r>
      <w:r>
        <w:rPr>
          <w:spacing w:val="-42"/>
        </w:rPr>
      </w:r>
      <w:r>
        <w:rPr>
          <w:spacing w:val="-2"/>
        </w:rPr>
        <w:t>的附加价值，通过不断优化软件及产品选型，形成有效的解决方案模式，确保智能商业管理决策平台的全</w:t>
      </w:r>
      <w:r>
        <w:rPr>
          <w:spacing w:val="-43"/>
        </w:rPr>
        <w:t> </w:t>
      </w:r>
      <w:r>
        <w:rPr>
          <w:spacing w:val="-43"/>
        </w:rPr>
      </w:r>
      <w:r>
        <w:rPr>
          <w:spacing w:val="-2"/>
        </w:rPr>
        <w:t>面复制。同时，公司将继续深挖客户需求，以规模优势和产品品质继续提升品牌影响力，开拓国内外新兴</w:t>
      </w:r>
      <w:r>
        <w:rPr>
          <w:spacing w:val="-47"/>
        </w:rPr>
        <w:t> </w:t>
      </w:r>
      <w:r>
        <w:rPr>
          <w:spacing w:val="-47"/>
        </w:rPr>
      </w:r>
      <w:r>
        <w:rPr>
          <w:spacing w:val="-2"/>
        </w:rPr>
        <w:t>市场，在确保电子标签产品生产及销售稳步发展的同时，不断提升集成服务能力，完善系统解决方案，通</w:t>
      </w:r>
      <w:r>
        <w:rPr>
          <w:spacing w:val="-47"/>
        </w:rPr>
        <w:t> </w:t>
      </w:r>
      <w:r>
        <w:rPr>
          <w:spacing w:val="-47"/>
        </w:rPr>
      </w:r>
      <w:r>
        <w:rPr>
          <w:spacing w:val="-2"/>
        </w:rPr>
        <w:t>过纵向、横向的公司平台交叉合作，再造国内</w:t>
      </w:r>
      <w:r>
        <w:rPr>
          <w:rFonts w:ascii="宋体" w:hAnsi="宋体" w:cs="宋体" w:eastAsia="宋体" w:hint="default"/>
          <w:spacing w:val="-2"/>
        </w:rPr>
        <w:t>RFID</w:t>
      </w:r>
      <w:r>
        <w:rPr>
          <w:spacing w:val="-2"/>
        </w:rPr>
        <w:t>行业应用领域标杆项目，为商超、服装等零售业以及其</w:t>
      </w:r>
      <w:r>
        <w:rPr>
          <w:spacing w:val="-46"/>
        </w:rPr>
        <w:t> </w:t>
      </w:r>
      <w:r>
        <w:rPr>
          <w:spacing w:val="-46"/>
        </w:rPr>
      </w:r>
      <w:r>
        <w:rPr/>
        <w:t>他行业提供更加智能和高效的解决方案服务。</w:t>
      </w:r>
    </w:p>
    <w:p>
      <w:pPr>
        <w:pStyle w:val="Heading5"/>
        <w:spacing w:line="240" w:lineRule="auto" w:before="29"/>
        <w:ind w:left="573" w:right="1133"/>
        <w:jc w:val="left"/>
      </w:pPr>
      <w:r>
        <w:rPr>
          <w:rFonts w:ascii="宋体" w:hAnsi="宋体" w:cs="宋体" w:eastAsia="宋体" w:hint="default"/>
        </w:rPr>
        <w:t>5</w:t>
      </w:r>
      <w:r>
        <w:rPr/>
        <w:t>、以再融资为契机，加速产业协同，努力增厚公司业绩</w:t>
      </w:r>
    </w:p>
    <w:p>
      <w:pPr>
        <w:pStyle w:val="Heading5"/>
        <w:spacing w:line="350" w:lineRule="auto" w:before="126"/>
        <w:ind w:right="1133" w:firstLine="420"/>
        <w:jc w:val="left"/>
      </w:pPr>
      <w:r>
        <w:rPr>
          <w:rFonts w:ascii="宋体" w:hAnsi="宋体" w:cs="宋体" w:eastAsia="宋体" w:hint="default"/>
        </w:rPr>
        <w:t>2018</w:t>
      </w:r>
      <w:r>
        <w:rPr/>
        <w:t>年</w:t>
      </w:r>
      <w:r>
        <w:rPr>
          <w:rFonts w:ascii="宋体" w:hAnsi="宋体" w:cs="宋体" w:eastAsia="宋体" w:hint="default"/>
        </w:rPr>
        <w:t>11</w:t>
      </w:r>
      <w:r>
        <w:rPr/>
        <w:t>月，公司对外披露《</w:t>
      </w:r>
      <w:r>
        <w:rPr>
          <w:rFonts w:ascii="宋体" w:hAnsi="宋体" w:cs="宋体" w:eastAsia="宋体" w:hint="default"/>
        </w:rPr>
        <w:t>2018</w:t>
      </w:r>
      <w:r>
        <w:rPr/>
        <w:t>年度非公开发行</w:t>
      </w:r>
      <w:r>
        <w:rPr>
          <w:rFonts w:ascii="宋体" w:hAnsi="宋体" w:cs="宋体" w:eastAsia="宋体" w:hint="default"/>
        </w:rPr>
        <w:t>A</w:t>
      </w:r>
      <w:r>
        <w:rPr/>
        <w:t>股股票预案》，所募集资金将投入于物联网智慧</w:t>
      </w:r>
      <w:r>
        <w:rPr>
          <w:w w:val="100"/>
        </w:rPr>
        <w:t> </w:t>
      </w:r>
      <w:r>
        <w:rPr/>
        <w:t>医疗溯源管理项目、医疗大数据应用研发中心和补充流动资金。</w:t>
      </w:r>
      <w:r>
        <w:rPr>
          <w:rFonts w:ascii="宋体" w:hAnsi="宋体" w:cs="宋体" w:eastAsia="宋体" w:hint="default"/>
        </w:rPr>
        <w:t>2019</w:t>
      </w:r>
      <w:r>
        <w:rPr/>
        <w:t>年</w:t>
      </w:r>
      <w:r>
        <w:rPr>
          <w:rFonts w:ascii="宋体" w:hAnsi="宋体" w:cs="宋体" w:eastAsia="宋体" w:hint="default"/>
        </w:rPr>
        <w:t>1</w:t>
      </w:r>
      <w:r>
        <w:rPr/>
        <w:t>月，公司补充回复了中国证监会</w:t>
      </w:r>
      <w:r>
        <w:rPr>
          <w:w w:val="100"/>
        </w:rPr>
        <w:t> </w:t>
      </w:r>
      <w:r>
        <w:rPr>
          <w:spacing w:val="-2"/>
        </w:rPr>
        <w:t>行政许可项目审查反馈意见。如本次非公开发行事项最终获得中国证监会批准通过，公司将以本次非公开</w:t>
      </w:r>
      <w:r>
        <w:rPr>
          <w:spacing w:val="-44"/>
        </w:rPr>
        <w:t> </w:t>
      </w:r>
      <w:r>
        <w:rPr>
          <w:spacing w:val="-44"/>
        </w:rPr>
      </w:r>
      <w:r>
        <w:rPr>
          <w:spacing w:val="-2"/>
        </w:rPr>
        <w:t>发行为契机，加速智慧医疗与商业智能业务的协同，抢占国内医疗溯源管理市场，增加公司在智慧医疗行</w:t>
      </w:r>
      <w:r>
        <w:rPr>
          <w:spacing w:val="-44"/>
        </w:rPr>
        <w:t> </w:t>
      </w:r>
      <w:r>
        <w:rPr>
          <w:spacing w:val="-44"/>
        </w:rPr>
      </w:r>
      <w:r>
        <w:rPr>
          <w:spacing w:val="-2"/>
        </w:rPr>
        <w:t>业市场份额，同时加大在医疗大数据应用研发方面的投入，在核心技术能力上拉大与竞争对手的差距。借</w:t>
      </w:r>
      <w:r>
        <w:rPr>
          <w:spacing w:val="-42"/>
        </w:rPr>
        <w:t> </w:t>
      </w:r>
      <w:r>
        <w:rPr>
          <w:spacing w:val="-42"/>
        </w:rPr>
      </w:r>
      <w:r>
        <w:rPr>
          <w:spacing w:val="-2"/>
        </w:rPr>
        <w:t>助公司在</w:t>
      </w:r>
      <w:r>
        <w:rPr>
          <w:rFonts w:ascii="宋体" w:hAnsi="宋体" w:cs="宋体" w:eastAsia="宋体" w:hint="default"/>
          <w:spacing w:val="-2"/>
        </w:rPr>
        <w:t>RFID</w:t>
      </w:r>
      <w:r>
        <w:rPr>
          <w:spacing w:val="-2"/>
        </w:rPr>
        <w:t>解决方案方面的深厚积累，公司的医用织物全流程溯源管理系统前期已在部分客户医院落地</w:t>
      </w:r>
      <w:r>
        <w:rPr>
          <w:spacing w:val="-41"/>
        </w:rPr>
        <w:t> </w:t>
      </w:r>
      <w:r>
        <w:rPr>
          <w:spacing w:val="-41"/>
        </w:rPr>
      </w:r>
      <w:r>
        <w:rPr/>
        <w:t>并获得客户认可，本次募投之后，该业务有望全面铺开，提升公司的盈利能力，增厚公司业绩。</w:t>
      </w:r>
    </w:p>
    <w:p>
      <w:pPr>
        <w:pStyle w:val="Heading5"/>
        <w:spacing w:line="350" w:lineRule="auto" w:before="27"/>
        <w:ind w:left="573" w:right="0"/>
        <w:jc w:val="left"/>
      </w:pPr>
      <w:r>
        <w:rPr>
          <w:rFonts w:ascii="宋体" w:hAnsi="宋体" w:cs="宋体" w:eastAsia="宋体" w:hint="default"/>
        </w:rPr>
        <w:t>6</w:t>
      </w:r>
      <w:r>
        <w:rPr/>
        <w:t>、加强企业内部管理，增加员工的归属感，提高公司竞争软实力</w:t>
      </w:r>
      <w:r>
        <w:rPr>
          <w:w w:val="100"/>
        </w:rPr>
        <w:t> </w:t>
      </w:r>
      <w:r>
        <w:rPr>
          <w:spacing w:val="-5"/>
        </w:rPr>
        <w:t>随着公司规模的扩张，强化内部管理，形成良好的内部管理体系将是公司未来的工作重点之一。为此，</w:t>
      </w:r>
    </w:p>
    <w:p>
      <w:pPr>
        <w:pStyle w:val="Heading5"/>
        <w:spacing w:line="348" w:lineRule="auto" w:before="29"/>
        <w:ind w:right="1126"/>
        <w:jc w:val="both"/>
      </w:pPr>
      <w:r>
        <w:rPr>
          <w:spacing w:val="-2"/>
        </w:rPr>
        <w:t>公司将持续强化内部管理，推进内部流程的优化和改进，利用信息化手段推进精细化管理，加强预算管理</w:t>
      </w:r>
      <w:r>
        <w:rPr>
          <w:spacing w:val="-45"/>
        </w:rPr>
        <w:t> </w:t>
      </w:r>
      <w:r>
        <w:rPr>
          <w:spacing w:val="-45"/>
        </w:rPr>
      </w:r>
      <w:r>
        <w:rPr/>
        <w:t>和成本控制，提高生产效益及管理水平。</w:t>
      </w:r>
    </w:p>
    <w:p>
      <w:pPr>
        <w:pStyle w:val="Heading5"/>
        <w:spacing w:line="350" w:lineRule="auto" w:before="31"/>
        <w:ind w:right="1105" w:firstLine="420"/>
        <w:jc w:val="both"/>
      </w:pPr>
      <w:r>
        <w:rPr>
          <w:spacing w:val="-2"/>
        </w:rPr>
        <w:t>公司的快速发展离不开优秀团队与人才的支持，尤其对于高水平的管理、技术、营销人才的需求日益</w:t>
      </w:r>
      <w:r>
        <w:rPr>
          <w:w w:val="100"/>
        </w:rPr>
        <w:t> </w:t>
      </w:r>
      <w:r>
        <w:rPr>
          <w:spacing w:val="-2"/>
        </w:rPr>
        <w:t>增加，为配合公司战略业务布局的发展，公司将加强在相关领域培养和招募专业人才，确保公司的战略发</w:t>
      </w:r>
      <w:r>
        <w:rPr>
          <w:spacing w:val="-45"/>
        </w:rPr>
        <w:t> </w:t>
      </w:r>
      <w:r>
        <w:rPr>
          <w:spacing w:val="-45"/>
        </w:rPr>
      </w:r>
      <w:r>
        <w:rPr>
          <w:spacing w:val="-2"/>
        </w:rPr>
        <w:t>展顺利进行。此外，公司还将组织优秀员工参与培训提升课程，增加员工对公司的忠诚度和归属感，提升</w:t>
      </w:r>
      <w:r>
        <w:rPr>
          <w:spacing w:val="-47"/>
        </w:rPr>
        <w:t> </w:t>
      </w:r>
      <w:r>
        <w:rPr>
          <w:spacing w:val="-47"/>
        </w:rPr>
      </w:r>
      <w:r>
        <w:rPr>
          <w:spacing w:val="-2"/>
        </w:rPr>
        <w:t>员工职业能力。公司将视发展情况推出相应激励措施，实现员工的个人利益与公司的整体利益共同发展。</w:t>
      </w:r>
      <w:r>
        <w:rPr>
          <w:spacing w:val="-21"/>
        </w:rPr>
        <w:t> </w:t>
      </w:r>
      <w:r>
        <w:rPr>
          <w:spacing w:val="-21"/>
        </w:rPr>
      </w:r>
      <w:r>
        <w:rPr>
          <w:spacing w:val="-2"/>
        </w:rPr>
        <w:t>进一步加强研发队伍实力的建设，提升整体创新水平，完善产品研发管理机制及相关人员激励机制；保护</w:t>
      </w:r>
      <w:r>
        <w:rPr>
          <w:spacing w:val="-42"/>
        </w:rPr>
        <w:t> </w:t>
      </w:r>
      <w:r>
        <w:rPr>
          <w:spacing w:val="-42"/>
        </w:rPr>
      </w:r>
      <w:r>
        <w:rPr/>
        <w:t>核心人员成果分享，鼓励员工学习、思考和创新，进一步提高公司竞争软实力。</w:t>
      </w:r>
    </w:p>
    <w:p>
      <w:pPr>
        <w:spacing w:line="350" w:lineRule="auto" w:before="29"/>
        <w:ind w:left="573" w:right="6474" w:firstLine="2"/>
        <w:jc w:val="left"/>
        <w:rPr>
          <w:rFonts w:ascii="宋体" w:hAnsi="宋体" w:cs="宋体" w:eastAsia="宋体" w:hint="default"/>
          <w:sz w:val="21"/>
          <w:szCs w:val="21"/>
        </w:rPr>
      </w:pPr>
      <w:r>
        <w:rPr>
          <w:rFonts w:ascii="宋体" w:hAnsi="宋体" w:cs="宋体" w:eastAsia="宋体" w:hint="default"/>
          <w:b/>
          <w:bCs/>
          <w:spacing w:val="-1"/>
          <w:sz w:val="21"/>
          <w:szCs w:val="21"/>
        </w:rPr>
        <w:t>（四）公司未来发展可能面对的风险因素</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、市场竞争加剧风险</w:t>
      </w:r>
    </w:p>
    <w:p>
      <w:pPr>
        <w:pStyle w:val="Heading5"/>
        <w:spacing w:line="350" w:lineRule="auto" w:before="27"/>
        <w:ind w:right="1133" w:firstLine="420"/>
        <w:jc w:val="left"/>
      </w:pPr>
      <w:r>
        <w:rPr>
          <w:spacing w:val="-2"/>
        </w:rPr>
        <w:t>随着全球零售业安防市场竞争激烈，国内</w:t>
      </w:r>
      <w:r>
        <w:rPr>
          <w:rFonts w:ascii="宋体" w:hAnsi="宋体" w:cs="宋体" w:eastAsia="宋体" w:hint="default"/>
          <w:spacing w:val="-2"/>
        </w:rPr>
        <w:t>RFID</w:t>
      </w:r>
      <w:r>
        <w:rPr>
          <w:spacing w:val="-2"/>
        </w:rPr>
        <w:t>市场的兴起也吸引大批竞争者纷纷涉足</w:t>
      </w:r>
      <w:r>
        <w:rPr>
          <w:rFonts w:ascii="宋体" w:hAnsi="宋体" w:cs="宋体" w:eastAsia="宋体" w:hint="default"/>
          <w:spacing w:val="-2"/>
        </w:rPr>
        <w:t>RFID</w:t>
      </w:r>
      <w:r>
        <w:rPr>
          <w:spacing w:val="-2"/>
        </w:rPr>
        <w:t>市场。智慧</w:t>
      </w:r>
      <w:r>
        <w:rPr>
          <w:w w:val="100"/>
        </w:rPr>
        <w:t> </w:t>
      </w:r>
      <w:r>
        <w:rPr>
          <w:spacing w:val="-2"/>
        </w:rPr>
        <w:t>医疗产业，在国家大力推进医改和医疗卫生信息化的背景下，国内从事医疗信息化的企业纷纷加大投入抢</w:t>
      </w:r>
    </w:p>
    <w:p>
      <w:pPr>
        <w:spacing w:after="0" w:line="35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right="1105"/>
        <w:jc w:val="both"/>
      </w:pPr>
      <w:r>
        <w:rPr>
          <w:spacing w:val="-2"/>
        </w:rPr>
        <w:t>占市场，资本巨头也看到医疗卫生领域未来发展的巨大红利，创新型竞争企业不断涌现，公司智慧医疗业</w:t>
      </w:r>
      <w:r>
        <w:rPr>
          <w:spacing w:val="-43"/>
        </w:rPr>
        <w:t> </w:t>
      </w:r>
      <w:r>
        <w:rPr>
          <w:spacing w:val="-43"/>
        </w:rPr>
      </w:r>
      <w:r>
        <w:rPr>
          <w:spacing w:val="-2"/>
        </w:rPr>
        <w:t>务面临技术和市场拓展的双重挑战。对此，公司将充分发挥软硬件方面技术研发和产业化优势，不断拉大</w:t>
      </w:r>
      <w:r>
        <w:rPr>
          <w:spacing w:val="-43"/>
        </w:rPr>
        <w:t> </w:t>
      </w:r>
      <w:r>
        <w:rPr>
          <w:spacing w:val="-43"/>
        </w:rPr>
      </w:r>
      <w:r>
        <w:rPr>
          <w:spacing w:val="-2"/>
        </w:rPr>
        <w:t>与竞争对手在技术和服务等方面的差距，充分发挥公司在主营业务领域已建立的典范项目的示范性效应，</w:t>
      </w:r>
      <w:r>
        <w:rPr>
          <w:spacing w:val="-21"/>
        </w:rPr>
        <w:t> </w:t>
      </w:r>
      <w:r>
        <w:rPr>
          <w:spacing w:val="-21"/>
        </w:rPr>
      </w:r>
      <w:r>
        <w:rPr>
          <w:spacing w:val="-2"/>
        </w:rPr>
        <w:t>跟踪市场需求，深挖客户潜力，逐步探索新的业务模式，确保公司主营产品的市场影响力，不断提升公司</w:t>
      </w:r>
      <w:r>
        <w:rPr>
          <w:spacing w:val="-50"/>
        </w:rPr>
        <w:t> </w:t>
      </w:r>
      <w:r>
        <w:rPr>
          <w:spacing w:val="-50"/>
        </w:rPr>
      </w:r>
      <w:r>
        <w:rPr/>
        <w:t>的品牌价值。</w:t>
      </w:r>
    </w:p>
    <w:p>
      <w:pPr>
        <w:pStyle w:val="Heading5"/>
        <w:spacing w:line="350" w:lineRule="auto" w:before="27"/>
        <w:ind w:left="573" w:right="1133"/>
        <w:jc w:val="left"/>
      </w:pPr>
      <w:r>
        <w:rPr>
          <w:rFonts w:ascii="宋体" w:hAnsi="宋体" w:cs="宋体" w:eastAsia="宋体" w:hint="default"/>
        </w:rPr>
        <w:t>2</w:t>
      </w:r>
      <w:r>
        <w:rPr/>
        <w:t>、技术泄露风险</w:t>
      </w:r>
      <w:r>
        <w:rPr>
          <w:w w:val="100"/>
        </w:rPr>
        <w:t> </w:t>
      </w:r>
      <w:r>
        <w:rPr>
          <w:spacing w:val="-2"/>
        </w:rPr>
        <w:t>公司主营产品的技术含量高，核心技术和高素质的研究技术人员和应用实施团队是公司进行产品创新</w:t>
      </w:r>
    </w:p>
    <w:p>
      <w:pPr>
        <w:pStyle w:val="Heading5"/>
        <w:spacing w:line="350" w:lineRule="auto" w:before="29"/>
        <w:ind w:right="0"/>
        <w:jc w:val="left"/>
      </w:pPr>
      <w:r>
        <w:rPr>
          <w:spacing w:val="-5"/>
        </w:rPr>
        <w:t>和市场维护的根本。公司在多年的研发、经营过程中，拥有了多项专利，建立了高效协作的应用实施团队，</w:t>
      </w:r>
      <w:r>
        <w:rPr>
          <w:spacing w:val="-9"/>
        </w:rPr>
        <w:t> </w:t>
      </w:r>
      <w:r>
        <w:rPr>
          <w:spacing w:val="-9"/>
        </w:rPr>
      </w:r>
      <w:r>
        <w:rPr>
          <w:spacing w:val="-2"/>
        </w:rPr>
        <w:t>如发生上述相关技术人员离职或私自泄露机密的情况，可能对公司经营造成不利影响。对此，公司将进一</w:t>
      </w:r>
      <w:r>
        <w:rPr>
          <w:spacing w:val="-43"/>
        </w:rPr>
        <w:t> </w:t>
      </w:r>
      <w:r>
        <w:rPr>
          <w:spacing w:val="-43"/>
        </w:rPr>
      </w:r>
      <w:r>
        <w:rPr/>
        <w:t>步完善保密制度，同时有效做好核心人员的激励和管理工作，最大程度防范技术泄密给公司带来的风险。</w:t>
      </w:r>
    </w:p>
    <w:p>
      <w:pPr>
        <w:pStyle w:val="Heading5"/>
        <w:spacing w:line="348" w:lineRule="auto" w:before="29"/>
        <w:ind w:left="573" w:right="1133"/>
        <w:jc w:val="left"/>
      </w:pPr>
      <w:r>
        <w:rPr>
          <w:rFonts w:ascii="宋体" w:hAnsi="宋体" w:cs="宋体" w:eastAsia="宋体" w:hint="default"/>
        </w:rPr>
        <w:t>3</w:t>
      </w:r>
      <w:r>
        <w:rPr/>
        <w:t>、管理风险</w:t>
      </w:r>
      <w:r>
        <w:rPr>
          <w:w w:val="100"/>
        </w:rPr>
        <w:t> </w:t>
      </w:r>
      <w:r>
        <w:rPr>
          <w:spacing w:val="-2"/>
        </w:rPr>
        <w:t>随着公司经营规模不断扩张，同时新业务拓展不断加速，对公司的管理能力提出了更高要求，尽管公</w:t>
      </w:r>
    </w:p>
    <w:p>
      <w:pPr>
        <w:pStyle w:val="Heading5"/>
        <w:spacing w:line="348" w:lineRule="auto" w:before="31"/>
        <w:ind w:right="1027"/>
        <w:jc w:val="both"/>
      </w:pPr>
      <w:r>
        <w:rPr>
          <w:spacing w:val="-2"/>
        </w:rPr>
        <w:t>司目前法人治理结构完善，管理层配置合理，经验丰富，但如果公司在规模扩大的过程中不能有效地进行</w:t>
      </w:r>
      <w:r>
        <w:rPr>
          <w:spacing w:val="-45"/>
        </w:rPr>
        <w:t> </w:t>
      </w:r>
      <w:r>
        <w:rPr>
          <w:spacing w:val="-45"/>
        </w:rPr>
      </w:r>
      <w:r>
        <w:rPr>
          <w:spacing w:val="-2"/>
        </w:rPr>
        <w:t>控制和管理，可能面临一定的经营管理风险。对此，公司将不断加强和完善公司内部管理制度，完善各项</w:t>
      </w:r>
      <w:r>
        <w:rPr>
          <w:spacing w:val="-50"/>
        </w:rPr>
        <w:t> </w:t>
      </w:r>
      <w:r>
        <w:rPr>
          <w:spacing w:val="-50"/>
        </w:rPr>
      </w:r>
      <w:r>
        <w:rPr>
          <w:spacing w:val="-5"/>
        </w:rPr>
        <w:t>工作流程机制、协调统筹和考核机制，严格有效防范与控制经营风险，优化决策程序，提高决策管理水平。</w:t>
      </w:r>
    </w:p>
    <w:p>
      <w:pPr>
        <w:pStyle w:val="Heading5"/>
        <w:spacing w:line="350" w:lineRule="auto" w:before="31"/>
        <w:ind w:left="573" w:right="0"/>
        <w:jc w:val="left"/>
      </w:pPr>
      <w:r>
        <w:rPr>
          <w:rFonts w:ascii="宋体" w:hAnsi="宋体" w:cs="宋体" w:eastAsia="宋体" w:hint="default"/>
        </w:rPr>
        <w:t>4</w:t>
      </w:r>
      <w:r>
        <w:rPr/>
        <w:t>、人力资源管理风险</w:t>
      </w:r>
      <w:r>
        <w:rPr>
          <w:w w:val="100"/>
        </w:rPr>
        <w:t> </w:t>
      </w:r>
      <w:r>
        <w:rPr>
          <w:spacing w:val="-5"/>
        </w:rPr>
        <w:t>公司的快速发展离不开优秀团队与人才的支持，尤其对于高水平的管理、技术、营销人才的需求增加，</w:t>
      </w:r>
    </w:p>
    <w:p>
      <w:pPr>
        <w:pStyle w:val="Heading5"/>
        <w:spacing w:line="350" w:lineRule="auto" w:before="27"/>
        <w:ind w:right="1133"/>
        <w:jc w:val="left"/>
      </w:pPr>
      <w:r>
        <w:rPr>
          <w:spacing w:val="-2"/>
        </w:rPr>
        <w:t>若公司的人才储备不能满足市场及公司的发展需求，可能面临人才流失及人才不足的风险。对此，公司一</w:t>
      </w:r>
      <w:r>
        <w:rPr>
          <w:spacing w:val="-44"/>
        </w:rPr>
        <w:t> </w:t>
      </w:r>
      <w:r>
        <w:rPr>
          <w:spacing w:val="-44"/>
        </w:rPr>
      </w:r>
      <w:r>
        <w:rPr/>
        <w:t>方面制定了具有竞争力的薪酬激励政策及激励计划吸引和留住人才，另一方面在引进高级技术人才的同</w:t>
      </w:r>
      <w:r>
        <w:rPr>
          <w:w w:val="100"/>
        </w:rPr>
        <w:t> </w:t>
      </w:r>
      <w:r>
        <w:rPr>
          <w:spacing w:val="-2"/>
        </w:rPr>
        <w:t>时，加强开展核心骨干员工内部培养机制，组织优秀员工参与培训拓展，增加对公司的忠诚度和归属感，</w:t>
      </w:r>
      <w:r>
        <w:rPr>
          <w:spacing w:val="-21"/>
        </w:rPr>
        <w:t> </w:t>
      </w:r>
      <w:r>
        <w:rPr>
          <w:spacing w:val="-21"/>
        </w:rPr>
      </w:r>
      <w:r>
        <w:rPr>
          <w:spacing w:val="-2"/>
        </w:rPr>
        <w:t>提升员工职业能力，此外，公司也将视发展情况推出相应激励措施，实现员工的个人利益与公司的整理利</w:t>
      </w:r>
      <w:r>
        <w:rPr>
          <w:spacing w:val="-44"/>
        </w:rPr>
        <w:t> </w:t>
      </w:r>
      <w:r>
        <w:rPr>
          <w:spacing w:val="-44"/>
        </w:rPr>
      </w:r>
      <w:r>
        <w:rPr/>
        <w:t>益共同发展，充分发挥人才激励机制，营造良好的团队氛围，完善职工个人职业发展道路。</w:t>
      </w:r>
    </w:p>
    <w:p>
      <w:pPr>
        <w:pStyle w:val="Heading5"/>
        <w:spacing w:line="348" w:lineRule="auto" w:before="29"/>
        <w:ind w:left="573" w:right="1133"/>
        <w:jc w:val="left"/>
      </w:pPr>
      <w:r>
        <w:rPr>
          <w:rFonts w:ascii="宋体" w:hAnsi="宋体" w:cs="宋体" w:eastAsia="宋体" w:hint="default"/>
        </w:rPr>
        <w:t>5</w:t>
      </w:r>
      <w:r>
        <w:rPr/>
        <w:t>、国际贸易政策及汇率波动风险</w:t>
      </w:r>
      <w:r>
        <w:rPr>
          <w:w w:val="100"/>
        </w:rPr>
        <w:t> </w:t>
      </w:r>
      <w:r>
        <w:rPr>
          <w:spacing w:val="-2"/>
        </w:rPr>
        <w:t>近年来，随着各国经济发展增速的不同变化，国际市场进出口贸易争端频现，各国政府也针对进出口</w:t>
      </w:r>
    </w:p>
    <w:p>
      <w:pPr>
        <w:pStyle w:val="Heading5"/>
        <w:spacing w:line="350" w:lineRule="auto" w:before="31"/>
        <w:ind w:right="1126"/>
        <w:jc w:val="both"/>
      </w:pPr>
      <w:r>
        <w:rPr>
          <w:spacing w:val="-2"/>
        </w:rPr>
        <w:t>贸易的不同类别实施相关贸易保护政策。国际市场人民币汇率变动也较为频繁，公司电子标签销售中出口</w:t>
      </w:r>
      <w:r>
        <w:rPr>
          <w:spacing w:val="-43"/>
        </w:rPr>
        <w:t> </w:t>
      </w:r>
      <w:r>
        <w:rPr>
          <w:spacing w:val="-43"/>
        </w:rPr>
      </w:r>
      <w:r>
        <w:rPr>
          <w:spacing w:val="-2"/>
        </w:rPr>
        <w:t>业务占比较大，存在贸易国的政策和国际货币市场汇率波动的风险。对此，公司将持续关注贸易国的经济</w:t>
      </w:r>
      <w:r>
        <w:rPr>
          <w:spacing w:val="-44"/>
        </w:rPr>
        <w:t> </w:t>
      </w:r>
      <w:r>
        <w:rPr>
          <w:spacing w:val="-44"/>
        </w:rPr>
      </w:r>
      <w:r>
        <w:rPr>
          <w:spacing w:val="-2"/>
        </w:rPr>
        <w:t>发展和政策变化，进行分析研判，一方面选择合适的汇率管理工具对汇率波动风险进行主动管理，另一方</w:t>
      </w:r>
      <w:r>
        <w:rPr>
          <w:spacing w:val="-44"/>
        </w:rPr>
        <w:t> </w:t>
      </w:r>
      <w:r>
        <w:rPr>
          <w:spacing w:val="-44"/>
        </w:rPr>
      </w:r>
      <w:r>
        <w:rPr/>
        <w:t>面针对出口业务购买相关保险，以最大限度降低因政策和汇率波动对公司造成的损失。</w:t>
      </w:r>
    </w:p>
    <w:p>
      <w:pPr>
        <w:pStyle w:val="Heading5"/>
        <w:spacing w:line="348" w:lineRule="auto" w:before="29"/>
        <w:ind w:left="573" w:right="1133"/>
        <w:jc w:val="left"/>
      </w:pPr>
      <w:r>
        <w:rPr>
          <w:rFonts w:ascii="宋体" w:hAnsi="宋体" w:cs="宋体" w:eastAsia="宋体" w:hint="default"/>
        </w:rPr>
        <w:t>6</w:t>
      </w:r>
      <w:r>
        <w:rPr/>
        <w:t>、应收账款的风险</w:t>
      </w:r>
      <w:r>
        <w:rPr>
          <w:w w:val="100"/>
        </w:rPr>
        <w:t> </w:t>
      </w:r>
      <w:r>
        <w:rPr>
          <w:spacing w:val="-2"/>
        </w:rPr>
        <w:t>由于公司医疗信息化客户以国内的公立医院、卫生管理部门等机构为主，其对信息产品的采购一般遵</w:t>
      </w:r>
    </w:p>
    <w:p>
      <w:pPr>
        <w:pStyle w:val="Heading5"/>
        <w:spacing w:line="350" w:lineRule="auto" w:before="31"/>
        <w:ind w:right="1105"/>
        <w:jc w:val="both"/>
      </w:pPr>
      <w:r>
        <w:rPr>
          <w:spacing w:val="-2"/>
        </w:rPr>
        <w:t>守较为严格的预算管理制度，需要通过预算、审批、招标、合同签订等流程，许多项目还需要纳入财政预</w:t>
      </w:r>
      <w:r>
        <w:rPr>
          <w:spacing w:val="-43"/>
        </w:rPr>
        <w:t> </w:t>
      </w:r>
      <w:r>
        <w:rPr>
          <w:spacing w:val="-43"/>
        </w:rPr>
      </w:r>
      <w:r>
        <w:rPr>
          <w:spacing w:val="-2"/>
        </w:rPr>
        <w:t>算、政府采购，周期相对较长。由于受上述因素的影响，可能导致公司应收账款与业务规模同向增加，营</w:t>
      </w:r>
      <w:r>
        <w:rPr>
          <w:spacing w:val="-43"/>
        </w:rPr>
        <w:t> </w:t>
      </w:r>
      <w:r>
        <w:rPr>
          <w:spacing w:val="-43"/>
        </w:rPr>
      </w:r>
      <w:r>
        <w:rPr>
          <w:spacing w:val="-2"/>
        </w:rPr>
        <w:t>业收入、净利润、经营性现金流量呈现不均衡的季节性分布。为此，公司管理层将持续加强应收账款的管</w:t>
      </w:r>
      <w:r>
        <w:rPr>
          <w:spacing w:val="-44"/>
        </w:rPr>
        <w:t> </w:t>
      </w:r>
      <w:r>
        <w:rPr>
          <w:spacing w:val="-44"/>
        </w:rPr>
      </w:r>
      <w:r>
        <w:rPr>
          <w:spacing w:val="-2"/>
        </w:rPr>
        <w:t>理工作，加大应收账款的催收和绩效考核力度，实现对应收账款的有效控制，进一步提升资金运营效率。</w:t>
      </w:r>
    </w:p>
    <w:p>
      <w:pPr>
        <w:spacing w:after="0" w:line="350" w:lineRule="auto"/>
        <w:jc w:val="both"/>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left="573" w:right="2114" w:hanging="421"/>
        <w:jc w:val="left"/>
      </w:pPr>
      <w:r>
        <w:rPr>
          <w:spacing w:val="-2"/>
        </w:rPr>
        <w:t>同时，与客户保持及时有效沟通，减少因人为因素造成的收款时间集中问题。</w:t>
      </w:r>
      <w:r>
        <w:rPr>
          <w:spacing w:val="-42"/>
        </w:rPr>
        <w:t> </w:t>
      </w:r>
      <w:r>
        <w:rPr>
          <w:spacing w:val="-42"/>
        </w:rPr>
      </w:r>
      <w:r>
        <w:rPr>
          <w:rFonts w:ascii="宋体" w:hAnsi="宋体" w:cs="宋体" w:eastAsia="宋体" w:hint="default"/>
        </w:rPr>
        <w:t>7</w:t>
      </w:r>
      <w:r>
        <w:rPr/>
        <w:t>、非公开发行股票的风险</w:t>
      </w:r>
    </w:p>
    <w:p>
      <w:pPr>
        <w:pStyle w:val="Heading5"/>
        <w:spacing w:line="350" w:lineRule="auto" w:before="27"/>
        <w:ind w:right="1133" w:firstLine="420"/>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10</w:t>
      </w:r>
      <w:r>
        <w:rPr/>
        <w:t>日，公司发布了《</w:t>
      </w:r>
      <w:r>
        <w:rPr>
          <w:rFonts w:ascii="宋体" w:hAnsi="宋体" w:cs="宋体" w:eastAsia="宋体" w:hint="default"/>
        </w:rPr>
        <w:t>2018</w:t>
      </w:r>
      <w:r>
        <w:rPr/>
        <w:t>年度非公开发行</w:t>
      </w:r>
      <w:r>
        <w:rPr>
          <w:rFonts w:ascii="宋体" w:hAnsi="宋体" w:cs="宋体" w:eastAsia="宋体" w:hint="default"/>
        </w:rPr>
        <w:t>A</w:t>
      </w:r>
      <w:r>
        <w:rPr/>
        <w:t>股股票预案》及相关材料，拟非公开发行股份</w:t>
      </w:r>
      <w:r>
        <w:rPr>
          <w:w w:val="100"/>
        </w:rPr>
        <w:t> </w:t>
      </w:r>
      <w:r>
        <w:rPr/>
        <w:t>不超过本次发行前上市公司总股本</w:t>
      </w:r>
      <w:r>
        <w:rPr>
          <w:rFonts w:ascii="宋体" w:hAnsi="宋体" w:cs="宋体" w:eastAsia="宋体" w:hint="default"/>
        </w:rPr>
        <w:t>807,885,334</w:t>
      </w:r>
      <w:r>
        <w:rPr/>
        <w:t>股的</w:t>
      </w:r>
      <w:r>
        <w:rPr>
          <w:rFonts w:ascii="宋体" w:hAnsi="宋体" w:cs="宋体" w:eastAsia="宋体" w:hint="default"/>
        </w:rPr>
        <w:t>20%</w:t>
      </w:r>
      <w:r>
        <w:rPr/>
        <w:t>，即</w:t>
      </w:r>
      <w:r>
        <w:rPr>
          <w:rFonts w:ascii="宋体" w:hAnsi="宋体" w:cs="宋体" w:eastAsia="宋体" w:hint="default"/>
        </w:rPr>
        <w:t>16,157.70</w:t>
      </w:r>
      <w:r>
        <w:rPr/>
        <w:t>万股（含本数），募集资金不超过</w:t>
      </w:r>
      <w:r>
        <w:rPr>
          <w:w w:val="100"/>
        </w:rPr>
        <w:t> </w:t>
      </w:r>
      <w:r>
        <w:rPr>
          <w:rFonts w:ascii="宋体" w:hAnsi="宋体" w:cs="宋体" w:eastAsia="宋体" w:hint="default"/>
        </w:rPr>
        <w:t>8.5</w:t>
      </w:r>
      <w:r>
        <w:rPr/>
        <w:t>亿元投资建设物联网智慧医疗溯源管理项目、医疗大数据应用研发中心及补充流动资金，对公司未来</w:t>
      </w:r>
      <w:r>
        <w:rPr>
          <w:w w:val="100"/>
        </w:rPr>
        <w:t> </w:t>
      </w:r>
      <w:r>
        <w:rPr>
          <w:spacing w:val="-2"/>
        </w:rPr>
        <w:t>可持续发展具有重要意义。截至本年度报告披露日，本次非公开发行事项尚未获得中国证监会批准通过，</w:t>
      </w:r>
      <w:r>
        <w:rPr>
          <w:spacing w:val="-21"/>
        </w:rPr>
        <w:t> </w:t>
      </w:r>
      <w:r>
        <w:rPr>
          <w:spacing w:val="-21"/>
        </w:rPr>
      </w:r>
      <w:r>
        <w:rPr>
          <w:spacing w:val="-2"/>
        </w:rPr>
        <w:t>尚存在未能通过审批的风险。公司将根据中国证监会对该事项的审核进展情况，及时履行信息披露义务。</w:t>
      </w:r>
    </w:p>
    <w:p>
      <w:pPr>
        <w:pStyle w:val="Heading5"/>
        <w:spacing w:line="348" w:lineRule="auto" w:before="29"/>
        <w:ind w:right="1133" w:firstLine="842"/>
        <w:jc w:val="left"/>
      </w:pPr>
      <w:r>
        <w:rPr>
          <w:spacing w:val="-2"/>
        </w:rPr>
        <w:t>本次非公开发行详细情况请查看公司在巨潮资讯网上披露的公开信息，该次非公开发行股份存在</w:t>
      </w:r>
      <w:r>
        <w:rPr>
          <w:w w:val="100"/>
        </w:rPr>
        <w:t> </w:t>
      </w:r>
      <w:r>
        <w:rPr/>
        <w:t>的风险，公司已披露在本次非公开发行股份的信息披露材料里，请广大投资者注意投资风险。</w:t>
      </w:r>
    </w:p>
    <w:p>
      <w:pPr>
        <w:spacing w:line="240" w:lineRule="auto" w:before="11"/>
        <w:rPr>
          <w:rFonts w:ascii="宋体" w:hAnsi="宋体" w:cs="宋体" w:eastAsia="宋体" w:hint="default"/>
          <w:sz w:val="16"/>
          <w:szCs w:val="16"/>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92.26001pt;width:290.95pt;height:20.8pt;mso-position-horizontal-relative:page;mso-position-vertical-relative:page;z-index:-1080160" coordorigin="4856,13845" coordsize="5819,416">
            <v:group style="position:absolute;left:4868;top:13857;width:2;height:392" coordorigin="4868,13857" coordsize="2,392">
              <v:shape style="position:absolute;left:4868;top:13857;width:2;height:392" coordorigin="4868,13857" coordsize="0,392" path="m4868,13857l4868,14248e" filled="false" stroked="true" strokeweight="1.2pt" strokecolor="#ffffff">
                <v:path arrowok="t"/>
              </v:shape>
            </v:group>
            <v:group style="position:absolute;left:4880;top:13857;width:5795;height:392" coordorigin="4880,13857" coordsize="5795,392">
              <v:shape style="position:absolute;left:4880;top:13857;width:5795;height:392" coordorigin="4880,13857" coordsize="5795,392" path="m4880,14248l10675,14248,10675,13857,4880,13857,4880,1424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right="3399"/>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2"/>
          <w:szCs w:val="12"/>
        </w:rPr>
      </w:pPr>
    </w:p>
    <w:p>
      <w:pPr>
        <w:pStyle w:val="Heading5"/>
        <w:spacing w:line="350" w:lineRule="auto" w:before="0"/>
        <w:ind w:right="1126" w:firstLine="420"/>
        <w:jc w:val="both"/>
      </w:pPr>
      <w:r>
        <w:rPr>
          <w:spacing w:val="-2"/>
        </w:rPr>
        <w:t>报告期内，公司严格按照《公司章程》相关利润分配政策和审议程序的规定实施利润分配方案，分红</w:t>
      </w:r>
      <w:r>
        <w:rPr>
          <w:w w:val="100"/>
        </w:rPr>
        <w:t> </w:t>
      </w:r>
      <w:r>
        <w:rPr>
          <w:spacing w:val="-2"/>
        </w:rPr>
        <w:t>标准和比例明确清晰，相关的决策程序合规完备。公司利润分配方案经由董事会、监事会审议通过，并由</w:t>
      </w:r>
      <w:r>
        <w:rPr>
          <w:spacing w:val="-46"/>
        </w:rPr>
        <w:t> </w:t>
      </w:r>
      <w:r>
        <w:rPr>
          <w:spacing w:val="-46"/>
        </w:rPr>
      </w:r>
      <w:r>
        <w:rPr>
          <w:spacing w:val="-2"/>
        </w:rPr>
        <w:t>独立董事发表独立意见后提交股东大会审议，经法律顾问发表相关法律核查意见，审议通过后在规定时间</w:t>
      </w:r>
      <w:r>
        <w:rPr>
          <w:spacing w:val="-42"/>
        </w:rPr>
        <w:t> </w:t>
      </w:r>
      <w:r>
        <w:rPr>
          <w:spacing w:val="-42"/>
        </w:rPr>
      </w:r>
      <w:r>
        <w:rPr/>
        <w:t>内实施完成，切实保证了全体股东的合法权益。</w:t>
      </w:r>
    </w:p>
    <w:p>
      <w:pPr>
        <w:pStyle w:val="Heading5"/>
        <w:spacing w:line="348" w:lineRule="auto" w:before="29"/>
        <w:ind w:right="1126" w:firstLine="420"/>
        <w:jc w:val="both"/>
      </w:pPr>
      <w:r>
        <w:rPr/>
        <w:pict>
          <v:shape style="position:absolute;margin-left:57pt;margin-top:57.753681pt;width:478.7pt;height:17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spacing w:val="-2"/>
        </w:rPr>
        <w:t>经公司</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7</w:t>
      </w:r>
      <w:r>
        <w:rPr>
          <w:spacing w:val="-2"/>
        </w:rPr>
        <w:t>日召开的</w:t>
      </w:r>
      <w:r>
        <w:rPr>
          <w:rFonts w:ascii="宋体" w:hAnsi="宋体" w:cs="宋体" w:eastAsia="宋体" w:hint="default"/>
          <w:spacing w:val="-2"/>
        </w:rPr>
        <w:t>2017</w:t>
      </w:r>
      <w:r>
        <w:rPr>
          <w:spacing w:val="-2"/>
        </w:rPr>
        <w:t>年度股东大会审议通过《关于</w:t>
      </w:r>
      <w:r>
        <w:rPr>
          <w:rFonts w:ascii="宋体" w:hAnsi="宋体" w:cs="宋体" w:eastAsia="宋体" w:hint="default"/>
          <w:spacing w:val="-2"/>
        </w:rPr>
        <w:t>2017</w:t>
      </w:r>
      <w:r>
        <w:rPr>
          <w:spacing w:val="-2"/>
        </w:rPr>
        <w:t>年度利润分配预案的议案》，以截</w:t>
      </w:r>
      <w:r>
        <w:rPr>
          <w:w w:val="100"/>
        </w:rPr>
        <w:t> </w:t>
      </w:r>
      <w:r>
        <w:rPr/>
        <w:t>至</w:t>
      </w:r>
      <w:r>
        <w:rPr>
          <w:spacing w:val="24"/>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807,885,334</w:t>
      </w:r>
      <w:r>
        <w:rPr>
          <w:rFonts w:ascii="宋体" w:hAnsi="宋体" w:cs="宋体" w:eastAsia="宋体" w:hint="default"/>
          <w:spacing w:val="23"/>
        </w:rPr>
        <w:t> </w:t>
      </w:r>
      <w:r>
        <w:rPr>
          <w:spacing w:val="-3"/>
        </w:rPr>
        <w:t>股为基数，按每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0.18</w:t>
      </w:r>
      <w:r>
        <w:rPr>
          <w:spacing w:val="-3"/>
        </w:rPr>
        <w:t>元（含税）</w:t>
      </w:r>
      <w:r>
        <w:rPr>
          <w:rFonts w:ascii="宋体" w:hAnsi="宋体" w:cs="宋体" w:eastAsia="宋体" w:hint="default"/>
          <w:spacing w:val="-3"/>
        </w:rPr>
        <w:t>,</w:t>
      </w:r>
      <w:r>
        <w:rPr>
          <w:spacing w:val="-3"/>
        </w:rPr>
        <w:t>共</w:t>
      </w:r>
      <w:r>
        <w:rPr>
          <w:spacing w:val="-99"/>
        </w:rPr>
        <w:t> </w:t>
      </w:r>
      <w:r>
        <w:rPr/>
        <w:t>计</w:t>
      </w:r>
      <w:r>
        <w:rPr>
          <w:rFonts w:ascii="宋体" w:hAnsi="宋体" w:cs="宋体" w:eastAsia="宋体" w:hint="default"/>
        </w:rPr>
        <w:t>14,541,936.01</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807,885,334</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14,541,936.01</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14,541,936.01</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162,339,570.77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00002pt;margin-top:-141.748260pt;width:479.3pt;height:201.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9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4"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经天健会计师事务所（特殊普通合伙）审计，公司（母公司）</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5,791,667.28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年度母</w:t>
                        </w: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公司实现净利润的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579,166.73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元后，加年初未分配利润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171,669,006.23</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月支付普</w:t>
                        </w:r>
                      </w:p>
                      <w:p>
                        <w:pPr>
                          <w:pStyle w:val="TableParagraph"/>
                          <w:spacing w:line="240" w:lineRule="auto" w:before="151"/>
                          <w:ind w:left="24" w:right="0"/>
                          <w:jc w:val="left"/>
                          <w:rPr>
                            <w:rFonts w:ascii="宋体" w:hAnsi="宋体" w:cs="宋体" w:eastAsia="宋体" w:hint="default"/>
                            <w:sz w:val="18"/>
                            <w:szCs w:val="18"/>
                          </w:rPr>
                        </w:pPr>
                        <w:r>
                          <w:rPr>
                            <w:rFonts w:ascii="宋体" w:hAnsi="宋体" w:cs="宋体" w:eastAsia="宋体" w:hint="default"/>
                            <w:sz w:val="18"/>
                            <w:szCs w:val="18"/>
                          </w:rPr>
                          <w:t>通股利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14,541,936.01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日止，公司可供分配利润为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162,339,570.77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元。公司本年度进行利润分配</w:t>
                        </w:r>
                      </w:p>
                      <w:p>
                        <w:pPr>
                          <w:pStyle w:val="TableParagraph"/>
                          <w:spacing w:line="240" w:lineRule="auto" w:before="151"/>
                          <w:ind w:left="24" w:right="0"/>
                          <w:jc w:val="left"/>
                          <w:rPr>
                            <w:rFonts w:ascii="宋体" w:hAnsi="宋体" w:cs="宋体" w:eastAsia="宋体" w:hint="default"/>
                            <w:sz w:val="18"/>
                            <w:szCs w:val="18"/>
                          </w:rPr>
                        </w:pPr>
                        <w:r>
                          <w:rPr>
                            <w:rFonts w:ascii="宋体" w:hAnsi="宋体" w:cs="宋体" w:eastAsia="宋体" w:hint="default"/>
                            <w:sz w:val="18"/>
                            <w:szCs w:val="18"/>
                          </w:rPr>
                          <w:t>拟以截至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807,885,334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股为基数，按每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0.18 </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w:t>
                        </w: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14,541,936.01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147,797,634.76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元结转以后年度。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0"/>
        <w:rPr>
          <w:rFonts w:ascii="宋体" w:hAnsi="宋体" w:cs="宋体" w:eastAsia="宋体" w:hint="default"/>
          <w:sz w:val="12"/>
          <w:szCs w:val="12"/>
        </w:rPr>
      </w:pPr>
    </w:p>
    <w:p>
      <w:pPr>
        <w:pStyle w:val="Heading5"/>
        <w:spacing w:line="350" w:lineRule="auto" w:before="0"/>
        <w:ind w:right="1133" w:firstLine="420"/>
        <w:jc w:val="left"/>
      </w:pPr>
      <w:r>
        <w:rPr/>
        <w:t>（</w:t>
      </w:r>
      <w:r>
        <w:rPr>
          <w:rFonts w:ascii="宋体" w:hAnsi="宋体" w:cs="宋体" w:eastAsia="宋体" w:hint="default"/>
        </w:rPr>
        <w:t>1</w:t>
      </w:r>
      <w:r>
        <w:rPr/>
        <w:t>）</w:t>
      </w:r>
      <w:r>
        <w:rPr>
          <w:spacing w:val="-7"/>
        </w:rPr>
        <w:t> </w:t>
      </w:r>
      <w:r>
        <w:rPr>
          <w:rFonts w:ascii="宋体" w:hAnsi="宋体" w:cs="宋体" w:eastAsia="宋体" w:hint="default"/>
        </w:rPr>
        <w:t>2018</w:t>
      </w:r>
      <w:r>
        <w:rPr/>
        <w:t>年度利润分配方案：以截至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807,885,334</w:t>
      </w:r>
      <w:r>
        <w:rPr/>
        <w:t>股为基数，按每</w:t>
      </w:r>
      <w:r>
        <w:rPr>
          <w:rFonts w:ascii="宋体" w:hAnsi="宋体" w:cs="宋体" w:eastAsia="宋体" w:hint="default"/>
        </w:rPr>
        <w:t>10</w:t>
      </w:r>
      <w:r>
        <w:rPr/>
        <w:t>股</w:t>
      </w:r>
      <w:r>
        <w:rPr>
          <w:w w:val="100"/>
        </w:rPr>
        <w:t> </w:t>
      </w:r>
      <w:r>
        <w:rPr>
          <w:spacing w:val="-2"/>
        </w:rPr>
        <w:t>派发现金股利人民币</w:t>
      </w:r>
      <w:r>
        <w:rPr>
          <w:rFonts w:ascii="宋体" w:hAnsi="宋体" w:cs="宋体" w:eastAsia="宋体" w:hint="default"/>
          <w:spacing w:val="-2"/>
        </w:rPr>
        <w:t>0.18</w:t>
      </w:r>
      <w:r>
        <w:rPr>
          <w:spacing w:val="-2"/>
        </w:rPr>
        <w:t>元（含税）</w:t>
      </w:r>
      <w:r>
        <w:rPr>
          <w:rFonts w:ascii="宋体" w:hAnsi="宋体" w:cs="宋体" w:eastAsia="宋体" w:hint="default"/>
          <w:spacing w:val="-2"/>
        </w:rPr>
        <w:t>,</w:t>
      </w:r>
      <w:r>
        <w:rPr>
          <w:spacing w:val="-2"/>
        </w:rPr>
        <w:t>共计</w:t>
      </w:r>
      <w:r>
        <w:rPr>
          <w:rFonts w:ascii="宋体" w:hAnsi="宋体" w:cs="宋体" w:eastAsia="宋体" w:hint="default"/>
          <w:spacing w:val="-2"/>
        </w:rPr>
        <w:t>14,541,936.01</w:t>
      </w:r>
      <w:r>
        <w:rPr>
          <w:spacing w:val="-2"/>
        </w:rPr>
        <w:t>元，剩余未分配利润</w:t>
      </w:r>
      <w:r>
        <w:rPr>
          <w:rFonts w:ascii="宋体" w:hAnsi="宋体" w:cs="宋体" w:eastAsia="宋体" w:hint="default"/>
          <w:spacing w:val="-2"/>
        </w:rPr>
        <w:t>147,797,634.76</w:t>
      </w:r>
      <w:r>
        <w:rPr>
          <w:spacing w:val="-2"/>
        </w:rPr>
        <w:t>元结转以后</w:t>
      </w:r>
      <w:r>
        <w:rPr>
          <w:spacing w:val="-13"/>
        </w:rPr>
        <w:t> </w:t>
      </w:r>
      <w:r>
        <w:rPr>
          <w:spacing w:val="-13"/>
        </w:rPr>
      </w:r>
      <w:r>
        <w:rPr/>
        <w:t>年度。</w:t>
      </w:r>
    </w:p>
    <w:p>
      <w:pPr>
        <w:pStyle w:val="Heading5"/>
        <w:spacing w:line="350" w:lineRule="auto" w:before="27"/>
        <w:ind w:right="1133" w:firstLine="420"/>
        <w:jc w:val="left"/>
      </w:pPr>
      <w:r>
        <w:rPr/>
        <w:t>（</w:t>
      </w:r>
      <w:r>
        <w:rPr>
          <w:rFonts w:ascii="宋体" w:hAnsi="宋体" w:cs="宋体" w:eastAsia="宋体" w:hint="default"/>
        </w:rPr>
        <w:t>2</w:t>
      </w:r>
      <w:r>
        <w:rPr/>
        <w:t>）</w:t>
      </w:r>
      <w:r>
        <w:rPr>
          <w:spacing w:val="-7"/>
        </w:rPr>
        <w:t> </w:t>
      </w:r>
      <w:r>
        <w:rPr>
          <w:rFonts w:ascii="宋体" w:hAnsi="宋体" w:cs="宋体" w:eastAsia="宋体" w:hint="default"/>
        </w:rPr>
        <w:t>2017</w:t>
      </w:r>
      <w:r>
        <w:rPr/>
        <w:t>年度利润分配方案：以截至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807,885,334</w:t>
      </w:r>
      <w:r>
        <w:rPr/>
        <w:t>股为基数，按每</w:t>
      </w:r>
      <w:r>
        <w:rPr>
          <w:rFonts w:ascii="宋体" w:hAnsi="宋体" w:cs="宋体" w:eastAsia="宋体" w:hint="default"/>
        </w:rPr>
        <w:t>10</w:t>
      </w:r>
      <w:r>
        <w:rPr/>
        <w:t>股</w:t>
      </w:r>
      <w:r>
        <w:rPr>
          <w:w w:val="100"/>
        </w:rPr>
        <w:t> </w:t>
      </w:r>
      <w:r>
        <w:rPr>
          <w:spacing w:val="-2"/>
        </w:rPr>
        <w:t>派发现金股利人民币</w:t>
      </w:r>
      <w:r>
        <w:rPr>
          <w:rFonts w:ascii="宋体" w:hAnsi="宋体" w:cs="宋体" w:eastAsia="宋体" w:hint="default"/>
          <w:spacing w:val="-2"/>
        </w:rPr>
        <w:t>0.18</w:t>
      </w:r>
      <w:r>
        <w:rPr>
          <w:spacing w:val="-2"/>
        </w:rPr>
        <w:t>元（含税）</w:t>
      </w:r>
      <w:r>
        <w:rPr>
          <w:rFonts w:ascii="宋体" w:hAnsi="宋体" w:cs="宋体" w:eastAsia="宋体" w:hint="default"/>
          <w:spacing w:val="-2"/>
        </w:rPr>
        <w:t>,</w:t>
      </w:r>
      <w:r>
        <w:rPr>
          <w:spacing w:val="-2"/>
        </w:rPr>
        <w:t>共计</w:t>
      </w:r>
      <w:r>
        <w:rPr>
          <w:rFonts w:ascii="宋体" w:hAnsi="宋体" w:cs="宋体" w:eastAsia="宋体" w:hint="default"/>
          <w:spacing w:val="-2"/>
        </w:rPr>
        <w:t>14,541,936.01</w:t>
      </w:r>
      <w:r>
        <w:rPr>
          <w:spacing w:val="-2"/>
        </w:rPr>
        <w:t>元，剩余未分配利润</w:t>
      </w:r>
      <w:r>
        <w:rPr>
          <w:rFonts w:ascii="宋体" w:hAnsi="宋体" w:cs="宋体" w:eastAsia="宋体" w:hint="default"/>
          <w:spacing w:val="-2"/>
        </w:rPr>
        <w:t>157,127,070.22</w:t>
      </w:r>
      <w:r>
        <w:rPr>
          <w:spacing w:val="-2"/>
        </w:rPr>
        <w:t>元结转以后</w:t>
      </w:r>
      <w:r>
        <w:rPr>
          <w:spacing w:val="-13"/>
        </w:rPr>
        <w:t> </w:t>
      </w:r>
      <w:r>
        <w:rPr>
          <w:spacing w:val="-13"/>
        </w:rPr>
      </w:r>
      <w:r>
        <w:rPr/>
        <w:t>年度。</w:t>
      </w:r>
    </w:p>
    <w:p>
      <w:pPr>
        <w:pStyle w:val="Heading5"/>
        <w:spacing w:line="350" w:lineRule="auto" w:before="27"/>
        <w:ind w:right="1128" w:firstLine="420"/>
        <w:jc w:val="both"/>
      </w:pPr>
      <w:r>
        <w:rPr/>
        <w:t>（</w:t>
      </w:r>
      <w:r>
        <w:rPr>
          <w:rFonts w:ascii="宋体" w:hAnsi="宋体" w:cs="宋体" w:eastAsia="宋体" w:hint="default"/>
        </w:rPr>
        <w:t>3</w:t>
      </w:r>
      <w:r>
        <w:rPr/>
        <w:t>） </w:t>
      </w:r>
      <w:r>
        <w:rPr>
          <w:rFonts w:ascii="宋体" w:hAnsi="宋体" w:cs="宋体" w:eastAsia="宋体" w:hint="default"/>
        </w:rPr>
        <w:t>2016</w:t>
      </w:r>
      <w:r>
        <w:rPr/>
        <w:t>年度利润分配方案：</w:t>
      </w:r>
      <w:r>
        <w:rPr>
          <w:spacing w:val="-31"/>
        </w:rPr>
        <w:t> </w:t>
      </w:r>
      <w:r>
        <w:rPr/>
        <w:t>以截至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448,825,186</w:t>
      </w:r>
      <w:r>
        <w:rPr/>
        <w:t>股为基数，向全体股</w:t>
      </w:r>
      <w:r>
        <w:rPr>
          <w:w w:val="100"/>
        </w:rPr>
        <w:t> </w:t>
      </w:r>
      <w:r>
        <w:rPr>
          <w:spacing w:val="-2"/>
        </w:rPr>
        <w:t>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2.50</w:t>
      </w:r>
      <w:r>
        <w:rPr>
          <w:spacing w:val="-2"/>
        </w:rPr>
        <w:t>元，共计</w:t>
      </w:r>
      <w:r>
        <w:rPr>
          <w:rFonts w:ascii="宋体" w:hAnsi="宋体" w:cs="宋体" w:eastAsia="宋体" w:hint="default"/>
          <w:spacing w:val="-2"/>
        </w:rPr>
        <w:t>112,206,296.50</w:t>
      </w:r>
      <w:r>
        <w:rPr>
          <w:spacing w:val="-2"/>
        </w:rPr>
        <w:t>元，剩余未分配利润</w:t>
      </w:r>
      <w:r>
        <w:rPr>
          <w:rFonts w:ascii="宋体" w:hAnsi="宋体" w:cs="宋体" w:eastAsia="宋体" w:hint="default"/>
          <w:spacing w:val="-2"/>
        </w:rPr>
        <w:t>131,695,937.55</w:t>
      </w:r>
      <w:r>
        <w:rPr>
          <w:spacing w:val="-2"/>
        </w:rPr>
        <w:t>元结转以</w:t>
      </w:r>
      <w:r>
        <w:rPr>
          <w:spacing w:val="-19"/>
        </w:rPr>
        <w:t> </w:t>
      </w:r>
      <w:r>
        <w:rPr/>
        <w:t>后年度；并以资本公积金向全体股东每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rFonts w:ascii="宋体" w:hAnsi="宋体" w:cs="宋体" w:eastAsia="宋体" w:hint="default"/>
        </w:rPr>
        <w:t>359,060,148</w:t>
      </w:r>
      <w:r>
        <w:rPr/>
        <w:t>股。</w:t>
      </w:r>
    </w:p>
    <w:p>
      <w:pPr>
        <w:spacing w:line="240" w:lineRule="auto" w:before="5"/>
        <w:rPr>
          <w:rFonts w:ascii="宋体" w:hAnsi="宋体" w:cs="宋体" w:eastAsia="宋体" w:hint="default"/>
          <w:sz w:val="27"/>
          <w:szCs w:val="27"/>
        </w:rPr>
      </w:pPr>
    </w:p>
    <w:p>
      <w:pPr>
        <w:pStyle w:val="BodyText"/>
        <w:spacing w:line="240" w:lineRule="auto" w:before="44"/>
        <w:ind w:right="1133"/>
        <w:jc w:val="left"/>
      </w:pPr>
      <w:r>
        <w:rPr/>
        <w:t>公司近三年（包括本报告期）普通股现金分红情况表</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1" w:right="53" w:firstLine="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14,541,936.01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143,472,605.91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14,541,936.01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14,541,936.01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130,262,340.03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14,541,936.01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112,206,296.50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187,978,918.78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112,206,296.50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59.69%</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pict>
          <v:shape style="position:absolute;margin-left:384.190002pt;margin-top:37.761723pt;width:56.95pt;height:226.25pt;mso-position-horizontal-relative:page;mso-position-vertical-relative:paragraph;z-index:-10800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79"/>
        <w:gridCol w:w="900"/>
        <w:gridCol w:w="1023"/>
        <w:gridCol w:w="3567"/>
        <w:gridCol w:w="1023"/>
        <w:gridCol w:w="979"/>
        <w:gridCol w:w="898"/>
      </w:tblGrid>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373" w:hRule="exact"/>
        </w:trPr>
        <w:tc>
          <w:tcPr>
            <w:tcW w:w="1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余志达</w:t>
            </w:r>
          </w:p>
        </w:tc>
        <w:tc>
          <w:tcPr>
            <w:tcW w:w="10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9" w:lineRule="auto"/>
              <w:ind w:left="23" w:right="87"/>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567"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Ewell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股东余志 </w:t>
            </w:r>
            <w:r>
              <w:rPr>
                <w:rFonts w:ascii="宋体" w:hAnsi="宋体" w:cs="宋体" w:eastAsia="宋体" w:hint="default"/>
                <w:spacing w:val="-5"/>
                <w:sz w:val="18"/>
                <w:szCs w:val="18"/>
              </w:rPr>
              <w:t>达承诺，以归属于标的公司所有者的合并净利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润（扣除非经常性损益前后孰低数）为考核指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标，在未来三个财年完成以下业绩指标：（</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日）承诺业绩：净利润不少于港币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z w:val="18"/>
                <w:szCs w:val="18"/>
              </w:rPr>
              <w:t>万</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w:t>
            </w:r>
            <w:r>
              <w:rPr>
                <w:rFonts w:ascii="宋体" w:hAnsi="宋体" w:cs="宋体" w:eastAsia="宋体" w:hint="default"/>
                <w:spacing w:val="-17"/>
                <w:sz w:val="18"/>
                <w:szCs w:val="18"/>
              </w:rPr>
              <w:t>年</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日）承诺业绩：净利润不少于港币</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财年（</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日承诺业绩</w:t>
            </w:r>
            <w:r>
              <w:rPr>
                <w:rFonts w:ascii="宋体" w:hAnsi="宋体" w:cs="宋体" w:eastAsia="宋体" w:hint="default"/>
                <w:spacing w:val="-92"/>
                <w:sz w:val="18"/>
                <w:szCs w:val="18"/>
              </w:rPr>
              <w:t>：</w:t>
            </w:r>
            <w:r>
              <w:rPr>
                <w:rFonts w:ascii="宋体" w:hAnsi="宋体" w:cs="宋体" w:eastAsia="宋体" w:hint="default"/>
                <w:sz w:val="18"/>
                <w:szCs w:val="18"/>
              </w:rPr>
              <w:t>净利润不少于</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港币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万元。在业绩承诺期内，实际考核中</w:t>
            </w:r>
            <w:r>
              <w:rPr>
                <w:rFonts w:ascii="宋体" w:hAnsi="宋体" w:cs="宋体" w:eastAsia="宋体" w:hint="default"/>
                <w:sz w:val="18"/>
                <w:szCs w:val="18"/>
              </w:rPr>
              <w:t> 将</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财年和</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财年两个完整财年作为一 个业绩考核期，承诺净利润以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财年和</w:t>
            </w:r>
          </w:p>
          <w:p>
            <w:pPr>
              <w:pStyle w:val="TableParagraph"/>
              <w:spacing w:line="304"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财年承诺净利润累计计算；将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财年 </w:t>
            </w:r>
            <w:r>
              <w:rPr>
                <w:rFonts w:ascii="宋体" w:hAnsi="宋体" w:cs="宋体" w:eastAsia="宋体" w:hint="default"/>
                <w:spacing w:val="-5"/>
                <w:sz w:val="18"/>
                <w:szCs w:val="18"/>
              </w:rPr>
              <w:t>作为第二个业绩考核期。任一业绩考核期内标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的公司实现的净利润低于该考核期内承诺净 </w:t>
            </w:r>
            <w:r>
              <w:rPr>
                <w:rFonts w:ascii="宋体" w:hAnsi="宋体" w:cs="宋体" w:eastAsia="宋体" w:hint="default"/>
                <w:spacing w:val="-5"/>
                <w:sz w:val="18"/>
                <w:szCs w:val="18"/>
              </w:rPr>
              <w:t>利润数，则余志达应依据以下计算方法向思创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香港做出现金或股权补偿。余志达所承担的现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金补偿：当年应补偿现金金额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（截至当期期</w:t>
            </w:r>
            <w:r>
              <w:rPr>
                <w:rFonts w:ascii="宋体" w:hAnsi="宋体" w:cs="宋体" w:eastAsia="宋体" w:hint="default"/>
                <w:spacing w:val="-81"/>
                <w:sz w:val="18"/>
                <w:szCs w:val="18"/>
              </w:rPr>
              <w:t> </w:t>
            </w:r>
            <w:r>
              <w:rPr>
                <w:rFonts w:ascii="宋体" w:hAnsi="宋体" w:cs="宋体" w:eastAsia="宋体" w:hint="default"/>
                <w:sz w:val="18"/>
                <w:szCs w:val="18"/>
              </w:rPr>
              <w:t>末累计承诺净利润数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截至当期期末标的公司 累计考核实现的净利润数）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业绩承诺期内承 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思创香港本次受让廖东华 股权及对 </w:t>
            </w:r>
            <w:r>
              <w:rPr>
                <w:rFonts w:ascii="Times New Roman" w:hAnsi="Times New Roman" w:cs="Times New Roman" w:eastAsia="Times New Roman" w:hint="default"/>
                <w:sz w:val="18"/>
                <w:szCs w:val="18"/>
              </w:rPr>
              <w:t>Ewell HK</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增资的交易总金额（港币</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累计已补偿的金额。余志达应补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偿股权数量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当年应补偿现金金额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本次思创 香港认购 </w:t>
            </w:r>
            <w:r>
              <w:rPr>
                <w:rFonts w:ascii="Times New Roman" w:hAnsi="Times New Roman" w:cs="Times New Roman" w:eastAsia="Times New Roman" w:hint="default"/>
                <w:sz w:val="18"/>
                <w:szCs w:val="18"/>
              </w:rPr>
              <w:t>Ewell HK</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新发行股份单价（本次思</w:t>
            </w:r>
            <w:r>
              <w:rPr>
                <w:rFonts w:ascii="宋体" w:hAnsi="宋体" w:cs="宋体" w:eastAsia="宋体" w:hint="default"/>
                <w:sz w:val="18"/>
                <w:szCs w:val="18"/>
              </w:rPr>
              <w:t> 创香港认购 </w:t>
            </w:r>
            <w:r>
              <w:rPr>
                <w:rFonts w:ascii="Times New Roman" w:hAnsi="Times New Roman" w:cs="Times New Roman" w:eastAsia="Times New Roman" w:hint="default"/>
                <w:sz w:val="18"/>
                <w:szCs w:val="18"/>
              </w:rPr>
              <w:t>Ewell HK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新发行股份单价</w:t>
            </w:r>
            <w:r>
              <w:rPr>
                <w:rFonts w:ascii="Times New Roman" w:hAnsi="Times New Roman" w:cs="Times New Roman" w:eastAsia="Times New Roman" w:hint="default"/>
                <w:sz w:val="18"/>
                <w:szCs w:val="18"/>
              </w:rPr>
              <w:t>=</w:t>
            </w:r>
            <w:r>
              <w:rPr>
                <w:rFonts w:ascii="宋体" w:hAnsi="宋体" w:cs="宋体" w:eastAsia="宋体" w:hint="default"/>
                <w:sz w:val="18"/>
                <w:szCs w:val="18"/>
              </w:rPr>
              <w:t>港币 </w:t>
            </w:r>
            <w:r>
              <w:rPr>
                <w:rFonts w:ascii="Times New Roman" w:hAnsi="Times New Roman" w:cs="Times New Roman" w:eastAsia="Times New Roman" w:hint="default"/>
                <w:sz w:val="18"/>
                <w:szCs w:val="18"/>
              </w:rPr>
              <w:t>1,400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万股）。余志达累计补偿股权</w:t>
            </w:r>
          </w:p>
          <w:p>
            <w:pPr>
              <w:pStyle w:val="TableParagraph"/>
              <w:spacing w:line="309" w:lineRule="auto" w:before="9"/>
              <w:ind w:left="23" w:right="17"/>
              <w:jc w:val="both"/>
              <w:rPr>
                <w:rFonts w:ascii="宋体" w:hAnsi="宋体" w:cs="宋体" w:eastAsia="宋体" w:hint="default"/>
                <w:sz w:val="18"/>
                <w:szCs w:val="18"/>
              </w:rPr>
            </w:pPr>
            <w:r>
              <w:rPr>
                <w:rFonts w:ascii="宋体" w:hAnsi="宋体" w:cs="宋体" w:eastAsia="宋体" w:hint="default"/>
                <w:sz w:val="18"/>
                <w:szCs w:val="18"/>
              </w:rPr>
              <w:t>总数以其在标的公司持有的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280</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万股为限；不</w:t>
            </w:r>
            <w:r>
              <w:rPr>
                <w:rFonts w:ascii="宋体" w:hAnsi="宋体" w:cs="宋体" w:eastAsia="宋体" w:hint="default"/>
                <w:sz w:val="18"/>
                <w:szCs w:val="18"/>
              </w:rPr>
              <w:t> </w:t>
            </w:r>
            <w:r>
              <w:rPr>
                <w:rFonts w:ascii="宋体" w:hAnsi="宋体" w:cs="宋体" w:eastAsia="宋体" w:hint="default"/>
                <w:spacing w:val="-5"/>
                <w:sz w:val="18"/>
                <w:szCs w:val="18"/>
              </w:rPr>
              <w:t>足部分，余志达应以现金方式继续向思创香港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进行补偿。</w:t>
            </w:r>
          </w:p>
        </w:tc>
        <w:tc>
          <w:tcPr>
            <w:tcW w:w="1023" w:type="dxa"/>
            <w:vMerge w:val="restart"/>
            <w:tcBorders>
              <w:top w:val="single" w:sz="4" w:space="0" w:color="000000"/>
              <w:left w:val="single" w:sz="4" w:space="0" w:color="000000"/>
              <w:right w:val="single" w:sz="4" w:space="0" w:color="000000"/>
            </w:tcBorders>
          </w:tcPr>
          <w:p>
            <w:pPr>
              <w:pStyle w:val="TableParagraph"/>
              <w:spacing w:line="4524" w:lineRule="exact"/>
              <w:ind w:left="2" w:right="-53"/>
              <w:jc w:val="left"/>
              <w:rPr>
                <w:rFonts w:ascii="宋体" w:hAnsi="宋体" w:cs="宋体" w:eastAsia="宋体" w:hint="default"/>
                <w:sz w:val="20"/>
                <w:szCs w:val="20"/>
              </w:rPr>
            </w:pPr>
            <w:r>
              <w:rPr>
                <w:rFonts w:ascii="宋体" w:hAnsi="宋体" w:cs="宋体" w:eastAsia="宋体" w:hint="default"/>
                <w:position w:val="-89"/>
                <w:sz w:val="20"/>
                <w:szCs w:val="20"/>
              </w:rPr>
              <w:pict>
                <v:group style="width:50.7pt;height:226.25pt;mso-position-horizontal-relative:char;mso-position-vertical-relative:line" coordorigin="0,0" coordsize="1014,4525">
                  <v:group style="position:absolute;left:0;top:0;width:1014;height:4525" coordorigin="0,0" coordsize="1014,4525">
                    <v:shape style="position:absolute;left:0;top:0;width:1014;height:4525" coordorigin="0,0" coordsize="1014,4525" path="m0,4524l1013,4524,1013,0,0,0,0,4524xe" filled="true" fillcolor="#ffffff" stroked="false">
                      <v:path arrowok="t"/>
                      <v:fill type="solid"/>
                    </v:shape>
                  </v:group>
                </v:group>
              </w:pict>
            </w:r>
            <w:r>
              <w:rPr>
                <w:rFonts w:ascii="宋体" w:hAnsi="宋体" w:cs="宋体" w:eastAsia="宋体" w:hint="default"/>
                <w:position w:val="-8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9" w:lineRule="auto"/>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16" w:hRule="exact"/>
        </w:trPr>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63"/>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00" w:type="dxa"/>
            <w:vMerge/>
            <w:tcBorders>
              <w:left w:val="single" w:sz="10" w:space="0" w:color="D2D2D2"/>
              <w:right w:val="single" w:sz="4" w:space="0" w:color="000000"/>
            </w:tcBorders>
          </w:tcPr>
          <w:p>
            <w:pPr/>
          </w:p>
        </w:tc>
        <w:tc>
          <w:tcPr>
            <w:tcW w:w="1023" w:type="dxa"/>
            <w:vMerge/>
            <w:tcBorders>
              <w:left w:val="single" w:sz="4" w:space="0" w:color="000000"/>
              <w:right w:val="single" w:sz="4" w:space="0" w:color="000000"/>
            </w:tcBorders>
          </w:tcPr>
          <w:p>
            <w:pPr/>
          </w:p>
        </w:tc>
        <w:tc>
          <w:tcPr>
            <w:tcW w:w="3567" w:type="dxa"/>
            <w:vMerge/>
            <w:tcBorders>
              <w:left w:val="single" w:sz="4" w:space="0" w:color="000000"/>
              <w:right w:val="single" w:sz="4" w:space="0" w:color="000000"/>
            </w:tcBorders>
          </w:tcPr>
          <w:p>
            <w:pPr/>
          </w:p>
        </w:tc>
        <w:tc>
          <w:tcPr>
            <w:tcW w:w="1023"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4373" w:hRule="exact"/>
        </w:trPr>
        <w:tc>
          <w:tcPr>
            <w:tcW w:w="1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10" w:space="0" w:color="D2D2D2"/>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3567"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54" w:hRule="exact"/>
        </w:trPr>
        <w:tc>
          <w:tcPr>
            <w:tcW w:w="1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pacing w:val="-12"/>
                <w:sz w:val="18"/>
                <w:szCs w:val="18"/>
              </w:rPr>
              <w:t>何国平、彭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军、章笠 </w:t>
            </w:r>
            <w:r>
              <w:rPr>
                <w:rFonts w:ascii="宋体" w:hAnsi="宋体" w:cs="宋体" w:eastAsia="宋体" w:hint="default"/>
                <w:spacing w:val="-12"/>
                <w:sz w:val="18"/>
                <w:szCs w:val="18"/>
              </w:rPr>
              <w:t>中、郑凌峻</w:t>
            </w:r>
          </w:p>
        </w:tc>
        <w:tc>
          <w:tcPr>
            <w:tcW w:w="10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67" w:type="dxa"/>
            <w:vMerge w:val="restart"/>
            <w:tcBorders>
              <w:top w:val="single" w:sz="4" w:space="0" w:color="000000"/>
              <w:left w:val="single" w:sz="4" w:space="0" w:color="000000"/>
              <w:right w:val="single" w:sz="4" w:space="0" w:color="000000"/>
            </w:tcBorders>
          </w:tcPr>
          <w:p>
            <w:pPr>
              <w:pStyle w:val="TableParagraph"/>
              <w:spacing w:line="304"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日与中瑞思创签署的关于医惠 </w:t>
            </w:r>
            <w:r>
              <w:rPr>
                <w:rFonts w:ascii="宋体" w:hAnsi="宋体" w:cs="宋体" w:eastAsia="宋体" w:hint="default"/>
                <w:spacing w:val="-5"/>
                <w:sz w:val="18"/>
                <w:szCs w:val="18"/>
              </w:rPr>
              <w:t>科技有限公司之《股权转让合同》中作出承诺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、因本次交易所受让的中瑞思创股份 自变更登记到其名下之日起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、限售期内，如因公司实施送红股、资</w:t>
            </w:r>
          </w:p>
        </w:tc>
        <w:tc>
          <w:tcPr>
            <w:tcW w:w="10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3" w:hRule="exact"/>
        </w:trPr>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00" w:type="dxa"/>
            <w:vMerge/>
            <w:tcBorders>
              <w:left w:val="single" w:sz="10" w:space="0" w:color="D2D2D2"/>
              <w:right w:val="single" w:sz="4" w:space="0" w:color="000000"/>
            </w:tcBorders>
          </w:tcPr>
          <w:p>
            <w:pPr/>
          </w:p>
        </w:tc>
        <w:tc>
          <w:tcPr>
            <w:tcW w:w="1023" w:type="dxa"/>
            <w:vMerge/>
            <w:tcBorders>
              <w:left w:val="single" w:sz="4" w:space="0" w:color="000000"/>
              <w:right w:val="single" w:sz="4" w:space="0" w:color="000000"/>
            </w:tcBorders>
          </w:tcPr>
          <w:p>
            <w:pPr/>
          </w:p>
        </w:tc>
        <w:tc>
          <w:tcPr>
            <w:tcW w:w="3567" w:type="dxa"/>
            <w:vMerge/>
            <w:tcBorders>
              <w:left w:val="single" w:sz="4" w:space="0" w:color="000000"/>
              <w:right w:val="single" w:sz="4" w:space="0" w:color="000000"/>
            </w:tcBorders>
          </w:tcPr>
          <w:p>
            <w:pPr/>
          </w:p>
        </w:tc>
        <w:tc>
          <w:tcPr>
            <w:tcW w:w="1023"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454" w:hRule="exact"/>
        </w:trPr>
        <w:tc>
          <w:tcPr>
            <w:tcW w:w="1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10" w:space="0" w:color="D2D2D2"/>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3567"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3.169998pt;margin-top:72.475983pt;width:227.95pt;height:80.1pt;mso-position-horizontal-relative:page;mso-position-vertical-relative:page;z-index:-1080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满时，业绩承诺相关事项履行尚未实施完毕，</w:t>
                  </w:r>
                </w:p>
              </w:txbxContent>
            </v:textbox>
            <w10:wrap type="none"/>
          </v:shape>
        </w:pict>
      </w:r>
      <w:r>
        <w:rPr/>
        <w:pict>
          <v:shape style="position:absolute;margin-left:136.820007pt;margin-top:592.276001pt;width:74.8pt;height:77.1pt;mso-position-horizontal-relative:page;mso-position-vertical-relative:page;z-index:-1079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pStyle w:val="BodyText"/>
                    <w:spacing w:line="240" w:lineRule="auto"/>
                    <w:ind w:left="0" w:right="0"/>
                    <w:jc w:val="left"/>
                  </w:pPr>
                  <w:r>
                    <w:rPr/>
                    <w:t>张佶、</w:t>
                  </w:r>
                </w:p>
              </w:txbxContent>
            </v:textbox>
            <w10:wrap type="none"/>
          </v:shape>
        </w:pict>
      </w:r>
      <w:r>
        <w:rPr/>
        <w:pict>
          <v:group style="position:absolute;margin-left:160.940002pt;margin-top:592.276001pt;width:50.7pt;height:77.1pt;mso-position-horizontal-relative:page;mso-position-vertical-relative:page;z-index:-1079968" coordorigin="3219,11846" coordsize="1014,1542">
            <v:shape style="position:absolute;left:3219;top:11846;width:1014;height:1542" coordorigin="3219,11846" coordsize="1014,1542" path="m3219,13387l4232,13387,4232,11846,3219,11846,3219,13387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178"/>
        <w:gridCol w:w="900"/>
        <w:gridCol w:w="1023"/>
        <w:gridCol w:w="3567"/>
        <w:gridCol w:w="1023"/>
        <w:gridCol w:w="979"/>
        <w:gridCol w:w="898"/>
      </w:tblGrid>
      <w:tr>
        <w:trPr>
          <w:trHeight w:val="315" w:hRule="exact"/>
        </w:trPr>
        <w:tc>
          <w:tcPr>
            <w:tcW w:w="1178" w:type="dxa"/>
            <w:vMerge w:val="restart"/>
            <w:tcBorders>
              <w:top w:val="single" w:sz="4" w:space="0" w:color="000000"/>
              <w:left w:val="single" w:sz="4" w:space="0" w:color="000000"/>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tcPr>
          <w:p>
            <w:pPr/>
          </w:p>
        </w:tc>
        <w:tc>
          <w:tcPr>
            <w:tcW w:w="1023" w:type="dxa"/>
            <w:vMerge w:val="restart"/>
            <w:tcBorders>
              <w:top w:val="single" w:sz="4" w:space="0" w:color="000000"/>
              <w:left w:val="single" w:sz="4" w:space="0" w:color="000000"/>
              <w:right w:val="single" w:sz="4" w:space="0" w:color="000000"/>
            </w:tcBorders>
          </w:tcPr>
          <w:p>
            <w:pPr/>
          </w:p>
        </w:tc>
        <w:tc>
          <w:tcPr>
            <w:tcW w:w="3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本公积转增股本事项而增持的公司股份</w:t>
            </w:r>
            <w:r>
              <w:rPr>
                <w:rFonts w:ascii="宋体" w:hAnsi="宋体" w:cs="宋体" w:eastAsia="宋体" w:hint="default"/>
                <w:spacing w:val="-89"/>
                <w:sz w:val="18"/>
                <w:szCs w:val="18"/>
              </w:rPr>
              <w:t>，</w:t>
            </w:r>
            <w:r>
              <w:rPr>
                <w:rFonts w:ascii="宋体" w:hAnsi="宋体" w:cs="宋体" w:eastAsia="宋体" w:hint="default"/>
                <w:sz w:val="18"/>
                <w:szCs w:val="18"/>
              </w:rPr>
              <w:t>应遵</w:t>
            </w:r>
          </w:p>
        </w:tc>
        <w:tc>
          <w:tcPr>
            <w:tcW w:w="1023" w:type="dxa"/>
            <w:vMerge w:val="restart"/>
            <w:tcBorders>
              <w:top w:val="single" w:sz="4" w:space="0" w:color="000000"/>
              <w:left w:val="single" w:sz="4" w:space="0" w:color="000000"/>
              <w:right w:val="single" w:sz="4" w:space="0" w:color="000000"/>
            </w:tcBorders>
          </w:tcPr>
          <w:p>
            <w:pPr>
              <w:pStyle w:val="TableParagraph"/>
              <w:spacing w:line="160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50.7pt;height:80.1pt;mso-position-horizontal-relative:char;mso-position-vertical-relative:line" coordorigin="0,0" coordsize="1014,1602">
                  <v:group style="position:absolute;left:0;top:0;width:1014;height:1602" coordorigin="0,0" coordsize="1014,1602">
                    <v:shape style="position:absolute;left:0;top:0;width:1014;height:1602" coordorigin="0,0" coordsize="1014,1602" path="m0,1601l1013,1601,1013,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979"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473" w:hRule="exact"/>
        </w:trPr>
        <w:tc>
          <w:tcPr>
            <w:tcW w:w="1178"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1023" w:type="dxa"/>
            <w:vMerge/>
            <w:tcBorders>
              <w:left w:val="single" w:sz="4" w:space="0" w:color="000000"/>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守上述关于限售期的约定锁定。</w:t>
            </w:r>
            <w:r>
              <w:rPr>
                <w:rFonts w:ascii="Times New Roman" w:hAnsi="Times New Roman" w:cs="Times New Roman" w:eastAsia="Times New Roman" w:hint="default"/>
                <w:sz w:val="18"/>
                <w:szCs w:val="18"/>
              </w:rPr>
              <w:t>3</w:t>
            </w:r>
            <w:r>
              <w:rPr>
                <w:rFonts w:ascii="宋体" w:hAnsi="宋体" w:cs="宋体" w:eastAsia="宋体" w:hint="default"/>
                <w:sz w:val="18"/>
                <w:szCs w:val="18"/>
              </w:rPr>
              <w:t>、若期限届</w:t>
            </w:r>
          </w:p>
        </w:tc>
        <w:tc>
          <w:tcPr>
            <w:tcW w:w="1023"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463" w:hRule="exact"/>
        </w:trPr>
        <w:tc>
          <w:tcPr>
            <w:tcW w:w="1178"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tcPr>
          <w:p>
            <w:pPr/>
          </w:p>
        </w:tc>
        <w:tc>
          <w:tcPr>
            <w:tcW w:w="1023" w:type="dxa"/>
            <w:vMerge/>
            <w:tcBorders>
              <w:left w:val="single" w:sz="4" w:space="0" w:color="000000"/>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该限售期则相应延长至业绩承诺相关事项履</w:t>
            </w:r>
          </w:p>
        </w:tc>
        <w:tc>
          <w:tcPr>
            <w:tcW w:w="1023"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60" w:hRule="exact"/>
        </w:trPr>
        <w:tc>
          <w:tcPr>
            <w:tcW w:w="1178"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3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023"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355" w:hRule="exact"/>
        </w:trPr>
        <w:tc>
          <w:tcPr>
            <w:tcW w:w="1178" w:type="dxa"/>
            <w:vMerge/>
            <w:tcBorders>
              <w:left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23" w:type="dxa"/>
            <w:tcBorders>
              <w:top w:val="single" w:sz="4" w:space="0" w:color="000000"/>
              <w:left w:val="single" w:sz="4" w:space="0" w:color="000000"/>
              <w:bottom w:val="nil" w:sz="6" w:space="0" w:color="auto"/>
              <w:right w:val="single" w:sz="4" w:space="0" w:color="000000"/>
            </w:tcBorders>
          </w:tcPr>
          <w:p>
            <w:pPr/>
          </w:p>
        </w:tc>
        <w:tc>
          <w:tcPr>
            <w:tcW w:w="3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医惠科技有限公司股东杭州医惠投资管理有</w:t>
            </w:r>
          </w:p>
        </w:tc>
        <w:tc>
          <w:tcPr>
            <w:tcW w:w="1023"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r>
      <w:tr>
        <w:trPr>
          <w:trHeight w:val="2497" w:hRule="exact"/>
        </w:trPr>
        <w:tc>
          <w:tcPr>
            <w:tcW w:w="1178"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杭州思创 医惠集团 有限公司</w:t>
            </w:r>
          </w:p>
          <w:p>
            <w:pPr>
              <w:pStyle w:val="TableParagraph"/>
              <w:spacing w:line="319" w:lineRule="auto" w:before="19"/>
              <w:ind w:left="23" w:right="19"/>
              <w:jc w:val="left"/>
              <w:rPr>
                <w:rFonts w:ascii="宋体" w:hAnsi="宋体" w:cs="宋体" w:eastAsia="宋体" w:hint="default"/>
                <w:sz w:val="18"/>
                <w:szCs w:val="18"/>
              </w:rPr>
            </w:pPr>
            <w:r>
              <w:rPr>
                <w:rFonts w:ascii="宋体" w:hAnsi="宋体" w:cs="宋体" w:eastAsia="宋体" w:hint="default"/>
                <w:spacing w:val="-12"/>
                <w:sz w:val="18"/>
                <w:szCs w:val="18"/>
              </w:rPr>
              <w:t>（原：杭州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医惠投资 管理有限 公司）</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8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9"/>
              <w:jc w:val="left"/>
              <w:rPr>
                <w:rFonts w:ascii="宋体" w:hAnsi="宋体" w:cs="宋体" w:eastAsia="宋体" w:hint="default"/>
                <w:sz w:val="18"/>
                <w:szCs w:val="18"/>
              </w:rPr>
            </w:pPr>
            <w:r>
              <w:rPr>
                <w:rFonts w:ascii="宋体" w:hAnsi="宋体" w:cs="宋体" w:eastAsia="宋体" w:hint="default"/>
                <w:spacing w:val="-5"/>
                <w:sz w:val="18"/>
                <w:szCs w:val="18"/>
              </w:rPr>
              <w:t>限公司，通过资产重组协议受让思创医惠科技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股份有限公司大股东路楠、俞国骅持有的上市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50507007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股，杭州医惠投资管理有 </w:t>
            </w:r>
            <w:r>
              <w:rPr>
                <w:rFonts w:ascii="宋体" w:hAnsi="宋体" w:cs="宋体" w:eastAsia="宋体" w:hint="default"/>
                <w:spacing w:val="-5"/>
                <w:sz w:val="18"/>
                <w:szCs w:val="18"/>
              </w:rPr>
              <w:t>限公司自愿承诺，其所受让的思创医惠科技股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份有限公司股份自变更登记到其名下之日起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个月内不得转让。限售期内，杭州医惠投 </w:t>
            </w:r>
            <w:r>
              <w:rPr>
                <w:rFonts w:ascii="宋体" w:hAnsi="宋体" w:cs="宋体" w:eastAsia="宋体" w:hint="default"/>
                <w:spacing w:val="-5"/>
                <w:sz w:val="18"/>
                <w:szCs w:val="18"/>
              </w:rPr>
              <w:t>资管理有限公司如因公司实施送红股、资本公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积转增股本事项而增持的公司股份，应遵守上</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1178"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23" w:type="dxa"/>
            <w:tcBorders>
              <w:top w:val="nil" w:sz="6" w:space="0" w:color="auto"/>
              <w:left w:val="single" w:sz="4" w:space="0" w:color="000000"/>
              <w:bottom w:val="single" w:sz="4" w:space="0" w:color="000000"/>
              <w:right w:val="single" w:sz="4" w:space="0" w:color="000000"/>
            </w:tcBorders>
          </w:tcPr>
          <w:p>
            <w:pPr/>
          </w:p>
        </w:tc>
        <w:tc>
          <w:tcPr>
            <w:tcW w:w="3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述关于限售期的约定锁定。</w:t>
            </w:r>
          </w:p>
        </w:tc>
        <w:tc>
          <w:tcPr>
            <w:tcW w:w="1023"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路楠、商 巍、张佶</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在其任职期间内，每年转让的股份不超过所直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接或间接持有公司股份总数的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；离任后 半年内，不转让所持有的公司股份。</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5"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23" w:type="dxa"/>
            <w:tcBorders>
              <w:top w:val="single" w:sz="4" w:space="0" w:color="000000"/>
              <w:left w:val="single" w:sz="4" w:space="0" w:color="000000"/>
              <w:bottom w:val="nil" w:sz="6" w:space="0" w:color="auto"/>
              <w:right w:val="single" w:sz="4" w:space="0" w:color="000000"/>
            </w:tcBorders>
          </w:tcPr>
          <w:p>
            <w:pPr/>
          </w:p>
        </w:tc>
        <w:tc>
          <w:tcPr>
            <w:tcW w:w="3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自公司股票上市之日起三十六个月内</w:t>
            </w:r>
            <w:r>
              <w:rPr>
                <w:rFonts w:ascii="宋体" w:hAnsi="宋体" w:cs="宋体" w:eastAsia="宋体" w:hint="default"/>
                <w:spacing w:val="-89"/>
                <w:sz w:val="18"/>
                <w:szCs w:val="18"/>
              </w:rPr>
              <w:t>，</w:t>
            </w:r>
            <w:r>
              <w:rPr>
                <w:rFonts w:ascii="宋体" w:hAnsi="宋体" w:cs="宋体" w:eastAsia="宋体" w:hint="default"/>
                <w:sz w:val="18"/>
                <w:szCs w:val="18"/>
              </w:rPr>
              <w:t>不转让</w:t>
            </w:r>
          </w:p>
        </w:tc>
        <w:tc>
          <w:tcPr>
            <w:tcW w:w="1023"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44"/>
              <w:jc w:val="both"/>
              <w:rPr>
                <w:rFonts w:ascii="宋体" w:hAnsi="宋体" w:cs="宋体" w:eastAsia="宋体" w:hint="default"/>
                <w:sz w:val="18"/>
                <w:szCs w:val="18"/>
              </w:rPr>
            </w:pPr>
            <w:r>
              <w:rPr>
                <w:rFonts w:ascii="宋体" w:hAnsi="宋体" w:cs="宋体" w:eastAsia="宋体" w:hint="default"/>
                <w:sz w:val="18"/>
                <w:szCs w:val="18"/>
              </w:rPr>
              <w:t>杭州博泰 投资管理 有限公司</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或者委托他人管理其已直接或间接持有的公 </w:t>
            </w:r>
            <w:r>
              <w:rPr>
                <w:rFonts w:ascii="宋体" w:hAnsi="宋体" w:cs="宋体" w:eastAsia="宋体" w:hint="default"/>
                <w:spacing w:val="-5"/>
                <w:sz w:val="18"/>
                <w:szCs w:val="18"/>
              </w:rPr>
              <w:t>司股份，也不由公司回购该部分股份。承诺每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年转让的股份不超过所持有公司股份总数的</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8"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23" w:type="dxa"/>
            <w:tcBorders>
              <w:top w:val="nil" w:sz="6" w:space="0" w:color="auto"/>
              <w:left w:val="single" w:sz="4" w:space="0" w:color="000000"/>
              <w:bottom w:val="single" w:sz="4" w:space="0" w:color="000000"/>
              <w:right w:val="single" w:sz="4" w:space="0" w:color="000000"/>
            </w:tcBorders>
          </w:tcPr>
          <w:p>
            <w:pPr/>
          </w:p>
        </w:tc>
        <w:tc>
          <w:tcPr>
            <w:tcW w:w="3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023"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23" w:type="dxa"/>
            <w:tcBorders>
              <w:top w:val="single" w:sz="4" w:space="0" w:color="000000"/>
              <w:left w:val="single" w:sz="4" w:space="0" w:color="000000"/>
              <w:bottom w:val="nil" w:sz="6" w:space="0" w:color="auto"/>
              <w:right w:val="single" w:sz="4" w:space="0" w:color="000000"/>
            </w:tcBorders>
          </w:tcPr>
          <w:p>
            <w:pPr/>
          </w:p>
        </w:tc>
        <w:tc>
          <w:tcPr>
            <w:tcW w:w="3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本人目前没有</w:t>
            </w:r>
            <w:r>
              <w:rPr>
                <w:rFonts w:ascii="宋体" w:hAnsi="宋体" w:cs="宋体" w:eastAsia="宋体" w:hint="default"/>
                <w:spacing w:val="-89"/>
                <w:sz w:val="18"/>
                <w:szCs w:val="18"/>
              </w:rPr>
              <w:t>、</w:t>
            </w:r>
            <w:r>
              <w:rPr>
                <w:rFonts w:ascii="宋体" w:hAnsi="宋体" w:cs="宋体" w:eastAsia="宋体" w:hint="default"/>
                <w:sz w:val="18"/>
                <w:szCs w:val="18"/>
              </w:rPr>
              <w:t>将来也不直接或间接从事与杭</w:t>
            </w:r>
          </w:p>
        </w:tc>
        <w:tc>
          <w:tcPr>
            <w:tcW w:w="1023"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州中瑞思创科技股份有限公司及其控股的子</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公司现有及将来从事的业务构成同业竞争的</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98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首次公开发行 或再融资时所</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2"/>
                <w:sz w:val="18"/>
                <w:szCs w:val="18"/>
              </w:rPr>
              <w:t>路楠、俞国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骅</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竞业承诺</w:t>
            </w: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5"/>
                <w:sz w:val="18"/>
                <w:szCs w:val="18"/>
              </w:rPr>
              <w:t>任何活动，包括但不限于研制、生产和销售与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杭州中瑞思创科技股份有限公司及其控股的 </w:t>
            </w:r>
            <w:r>
              <w:rPr>
                <w:rFonts w:ascii="宋体" w:hAnsi="宋体" w:cs="宋体" w:eastAsia="宋体" w:hint="default"/>
                <w:spacing w:val="-5"/>
                <w:sz w:val="18"/>
                <w:szCs w:val="18"/>
              </w:rPr>
              <w:t>子公司研制、生产和销售产品相同或相近似的</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900" w:type="dxa"/>
            <w:tcBorders>
              <w:top w:val="nil" w:sz="6" w:space="0" w:color="auto"/>
              <w:left w:val="single" w:sz="4" w:space="0" w:color="000000"/>
              <w:bottom w:val="nil" w:sz="6" w:space="0" w:color="auto"/>
              <w:right w:val="single" w:sz="4" w:space="0" w:color="000000"/>
            </w:tcBorders>
          </w:tcPr>
          <w:p>
            <w:pP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任何产品</w:t>
            </w:r>
            <w:r>
              <w:rPr>
                <w:rFonts w:ascii="宋体" w:hAnsi="宋体" w:cs="宋体" w:eastAsia="宋体" w:hint="default"/>
                <w:spacing w:val="-89"/>
                <w:sz w:val="18"/>
                <w:szCs w:val="18"/>
              </w:rPr>
              <w:t>，</w:t>
            </w:r>
            <w:r>
              <w:rPr>
                <w:rFonts w:ascii="宋体" w:hAnsi="宋体" w:cs="宋体" w:eastAsia="宋体" w:hint="default"/>
                <w:sz w:val="18"/>
                <w:szCs w:val="18"/>
              </w:rPr>
              <w:t>并愿意对违反上述承诺而给杭州中</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瑞思创科技股份有限公司造成的经济损失承</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23" w:type="dxa"/>
            <w:tcBorders>
              <w:top w:val="nil" w:sz="6" w:space="0" w:color="auto"/>
              <w:left w:val="single" w:sz="4" w:space="0" w:color="000000"/>
              <w:bottom w:val="single" w:sz="4" w:space="0" w:color="000000"/>
              <w:right w:val="single" w:sz="4" w:space="0" w:color="000000"/>
            </w:tcBorders>
          </w:tcPr>
          <w:p>
            <w:pPr/>
          </w:p>
        </w:tc>
        <w:tc>
          <w:tcPr>
            <w:tcW w:w="3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担赔偿责任。</w:t>
            </w:r>
          </w:p>
        </w:tc>
        <w:tc>
          <w:tcPr>
            <w:tcW w:w="1023"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r>
      <w:tr>
        <w:trPr>
          <w:trHeight w:val="351"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23" w:type="dxa"/>
            <w:tcBorders>
              <w:top w:val="single" w:sz="4" w:space="0" w:color="000000"/>
              <w:left w:val="single" w:sz="4" w:space="0" w:color="000000"/>
              <w:bottom w:val="nil" w:sz="6" w:space="0" w:color="auto"/>
              <w:right w:val="single" w:sz="4" w:space="0" w:color="000000"/>
            </w:tcBorders>
          </w:tcPr>
          <w:p>
            <w:pPr/>
          </w:p>
        </w:tc>
        <w:tc>
          <w:tcPr>
            <w:tcW w:w="3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若发行人及其子公司因</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年底至</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年底</w:t>
            </w:r>
          </w:p>
        </w:tc>
        <w:tc>
          <w:tcPr>
            <w:tcW w:w="1023"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路楠、商</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期间实行劳务派遣而产生补偿或赔偿责任</w:t>
            </w:r>
            <w:r>
              <w:rPr>
                <w:rFonts w:ascii="宋体" w:hAnsi="宋体" w:cs="宋体" w:eastAsia="宋体" w:hint="default"/>
                <w:spacing w:val="-89"/>
                <w:sz w:val="18"/>
                <w:szCs w:val="18"/>
              </w:rPr>
              <w:t>，</w:t>
            </w:r>
            <w:r>
              <w:rPr>
                <w:rFonts w:ascii="宋体" w:hAnsi="宋体" w:cs="宋体" w:eastAsia="宋体" w:hint="default"/>
                <w:sz w:val="18"/>
                <w:szCs w:val="18"/>
              </w:rPr>
              <w:t>或</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巍、</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被有关主管部门处罚的</w:t>
            </w:r>
            <w:r>
              <w:rPr>
                <w:rFonts w:ascii="宋体" w:hAnsi="宋体" w:cs="宋体" w:eastAsia="宋体" w:hint="default"/>
                <w:spacing w:val="-89"/>
                <w:sz w:val="18"/>
                <w:szCs w:val="18"/>
              </w:rPr>
              <w:t>，</w:t>
            </w:r>
            <w:r>
              <w:rPr>
                <w:rFonts w:ascii="宋体" w:hAnsi="宋体" w:cs="宋体" w:eastAsia="宋体" w:hint="default"/>
                <w:sz w:val="18"/>
                <w:szCs w:val="18"/>
              </w:rPr>
              <w:t>由发行人现有全体股</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陈武军、杭</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东按照持股比例承担相应的经济责任</w:t>
            </w:r>
            <w:r>
              <w:rPr>
                <w:rFonts w:ascii="宋体" w:hAnsi="宋体" w:cs="宋体" w:eastAsia="宋体" w:hint="default"/>
                <w:spacing w:val="-89"/>
                <w:sz w:val="18"/>
                <w:szCs w:val="18"/>
              </w:rPr>
              <w:t>；</w:t>
            </w:r>
            <w:r>
              <w:rPr>
                <w:rFonts w:ascii="宋体" w:hAnsi="宋体" w:cs="宋体" w:eastAsia="宋体" w:hint="default"/>
                <w:sz w:val="18"/>
                <w:szCs w:val="18"/>
              </w:rPr>
              <w:t>若发行</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州博泰投 资管理有 </w:t>
            </w:r>
            <w:r>
              <w:rPr>
                <w:rFonts w:ascii="宋体" w:hAnsi="宋体" w:cs="宋体" w:eastAsia="宋体" w:hint="default"/>
                <w:spacing w:val="-12"/>
                <w:sz w:val="18"/>
                <w:szCs w:val="18"/>
              </w:rPr>
              <w:t>限公司、俞</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309" w:lineRule="auto" w:before="21"/>
              <w:ind w:left="23" w:right="17"/>
              <w:jc w:val="left"/>
              <w:rPr>
                <w:rFonts w:ascii="宋体" w:hAnsi="宋体" w:cs="宋体" w:eastAsia="宋体" w:hint="default"/>
                <w:sz w:val="18"/>
                <w:szCs w:val="18"/>
              </w:rPr>
            </w:pPr>
            <w:r>
              <w:rPr>
                <w:rFonts w:ascii="宋体" w:hAnsi="宋体" w:cs="宋体" w:eastAsia="宋体" w:hint="default"/>
                <w:sz w:val="18"/>
                <w:szCs w:val="18"/>
              </w:rPr>
              <w:t>人及其子公司因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日以前未按 规定为职工缴纳住房公积金而被有关主管部 </w:t>
            </w:r>
            <w:r>
              <w:rPr>
                <w:rFonts w:ascii="宋体" w:hAnsi="宋体" w:cs="宋体" w:eastAsia="宋体" w:hint="default"/>
                <w:spacing w:val="-5"/>
                <w:sz w:val="18"/>
                <w:szCs w:val="18"/>
              </w:rPr>
              <w:t>门责令补缴、追缴或处罚的，由发行人现有全</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国骅、蒋士</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体股东按照持股比例承担相应的经济责任</w:t>
            </w:r>
            <w:r>
              <w:rPr>
                <w:rFonts w:ascii="宋体" w:hAnsi="宋体" w:cs="宋体" w:eastAsia="宋体" w:hint="default"/>
                <w:spacing w:val="-89"/>
                <w:sz w:val="18"/>
                <w:szCs w:val="18"/>
              </w:rPr>
              <w:t>；</w:t>
            </w:r>
            <w:r>
              <w:rPr>
                <w:rFonts w:ascii="宋体" w:hAnsi="宋体" w:cs="宋体" w:eastAsia="宋体" w:hint="default"/>
                <w:sz w:val="18"/>
                <w:szCs w:val="18"/>
              </w:rPr>
              <w:t>若</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平、蓝宗</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发行人因补缴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年及以前年度企业所得税</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烛、王勇</w:t>
            </w:r>
          </w:p>
        </w:tc>
        <w:tc>
          <w:tcPr>
            <w:tcW w:w="1023" w:type="dxa"/>
            <w:tcBorders>
              <w:top w:val="nil" w:sz="6" w:space="0" w:color="auto"/>
              <w:left w:val="single" w:sz="4" w:space="0" w:color="000000"/>
              <w:bottom w:val="nil" w:sz="6" w:space="0" w:color="auto"/>
              <w:right w:val="single" w:sz="4" w:space="0" w:color="000000"/>
            </w:tcBorders>
          </w:tcPr>
          <w:p>
            <w:pPr/>
          </w:p>
        </w:tc>
        <w:tc>
          <w:tcPr>
            <w:tcW w:w="3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的行为而被有关主管部门处罚或追缴滞纳金</w:t>
            </w:r>
          </w:p>
        </w:tc>
        <w:tc>
          <w:tcPr>
            <w:tcW w:w="1023"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23" w:type="dxa"/>
            <w:tcBorders>
              <w:top w:val="nil" w:sz="6" w:space="0" w:color="auto"/>
              <w:left w:val="single" w:sz="4" w:space="0" w:color="000000"/>
              <w:bottom w:val="single" w:sz="4" w:space="0" w:color="000000"/>
              <w:right w:val="single" w:sz="4" w:space="0" w:color="000000"/>
            </w:tcBorders>
          </w:tcPr>
          <w:p>
            <w:pPr/>
          </w:p>
        </w:tc>
        <w:tc>
          <w:tcPr>
            <w:tcW w:w="3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9"/>
                <w:sz w:val="18"/>
                <w:szCs w:val="18"/>
              </w:rPr>
              <w:t>，</w:t>
            </w:r>
            <w:r>
              <w:rPr>
                <w:rFonts w:ascii="宋体" w:hAnsi="宋体" w:cs="宋体" w:eastAsia="宋体" w:hint="default"/>
                <w:sz w:val="18"/>
                <w:szCs w:val="18"/>
              </w:rPr>
              <w:t>由发行人现有全体股东按照持股比例承担</w:t>
            </w:r>
          </w:p>
        </w:tc>
        <w:tc>
          <w:tcPr>
            <w:tcW w:w="1023"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68"/>
        <w:gridCol w:w="911"/>
        <w:gridCol w:w="1023"/>
        <w:gridCol w:w="3567"/>
        <w:gridCol w:w="1023"/>
        <w:gridCol w:w="979"/>
        <w:gridCol w:w="898"/>
      </w:tblGrid>
      <w:tr>
        <w:trPr>
          <w:trHeight w:val="363" w:hRule="exact"/>
        </w:trPr>
        <w:tc>
          <w:tcPr>
            <w:tcW w:w="1168" w:type="dxa"/>
            <w:vMerge w:val="restart"/>
            <w:tcBorders>
              <w:top w:val="single" w:sz="4" w:space="0" w:color="000000"/>
              <w:left w:val="single" w:sz="4" w:space="0" w:color="000000"/>
              <w:right w:val="single" w:sz="4" w:space="0" w:color="000000"/>
            </w:tcBorders>
            <w:shd w:val="clear" w:color="auto" w:fill="D2D2D2"/>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相应的经济责任。</w:t>
            </w:r>
          </w:p>
        </w:tc>
        <w:tc>
          <w:tcPr>
            <w:tcW w:w="102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68" w:type="dxa"/>
            <w:vMerge/>
            <w:tcBorders>
              <w:left w:val="single" w:sz="4" w:space="0" w:color="000000"/>
              <w:right w:val="single" w:sz="4" w:space="0" w:color="000000"/>
            </w:tcBorders>
            <w:shd w:val="clear" w:color="auto" w:fill="D2D2D2"/>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本人本次认购的思创医惠的股份（包括该等股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份未来因思创医惠资本公积转增或送红股等 </w:t>
            </w:r>
            <w:r>
              <w:rPr>
                <w:rFonts w:ascii="宋体" w:hAnsi="宋体" w:cs="宋体" w:eastAsia="宋体" w:hint="default"/>
                <w:spacing w:val="-5"/>
                <w:sz w:val="18"/>
                <w:szCs w:val="18"/>
              </w:rPr>
              <w:t>方式所滋生的股份），在该等股份发行上市之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日起三十六个月内不转让。</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88" w:hRule="exact"/>
        </w:trPr>
        <w:tc>
          <w:tcPr>
            <w:tcW w:w="1168" w:type="dxa"/>
            <w:vMerge/>
            <w:tcBorders>
              <w:left w:val="single" w:sz="4" w:space="0" w:color="000000"/>
              <w:right w:val="single" w:sz="4" w:space="0" w:color="000000"/>
            </w:tcBorders>
            <w:shd w:val="clear" w:color="auto" w:fill="D2D2D2"/>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34" w:right="84"/>
              <w:jc w:val="left"/>
              <w:rPr>
                <w:rFonts w:ascii="宋体" w:hAnsi="宋体" w:cs="宋体" w:eastAsia="宋体" w:hint="default"/>
                <w:sz w:val="18"/>
                <w:szCs w:val="18"/>
              </w:rPr>
            </w:pPr>
            <w:r>
              <w:rPr>
                <w:rFonts w:ascii="宋体" w:hAnsi="宋体" w:cs="宋体" w:eastAsia="宋体" w:hint="default"/>
                <w:sz w:val="18"/>
                <w:szCs w:val="18"/>
              </w:rPr>
              <w:t>浙江鲲鹏 资产管理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鲲鹏资本</w:t>
            </w:r>
            <w:r>
              <w:rPr>
                <w:rFonts w:ascii="Times New Roman" w:hAnsi="Times New Roman" w:cs="Times New Roman" w:eastAsia="Times New Roman" w:hint="default"/>
                <w:sz w:val="18"/>
                <w:szCs w:val="18"/>
              </w:rPr>
              <w:t>- </w:t>
            </w:r>
            <w:r>
              <w:rPr>
                <w:rFonts w:ascii="宋体" w:hAnsi="宋体" w:cs="宋体" w:eastAsia="宋体" w:hint="default"/>
                <w:sz w:val="18"/>
                <w:szCs w:val="18"/>
              </w:rPr>
              <w:t>中瑞思创 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证券投资 基金</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8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本公司管理的</w:t>
            </w:r>
            <w:r>
              <w:rPr>
                <w:rFonts w:ascii="Times New Roman" w:hAnsi="Times New Roman" w:cs="Times New Roman" w:eastAsia="Times New Roman" w:hint="default"/>
                <w:sz w:val="18"/>
                <w:szCs w:val="18"/>
              </w:rPr>
              <w:t>"</w:t>
            </w:r>
            <w:r>
              <w:rPr>
                <w:rFonts w:ascii="宋体" w:hAnsi="宋体" w:cs="宋体" w:eastAsia="宋体" w:hint="default"/>
                <w:sz w:val="18"/>
                <w:szCs w:val="18"/>
              </w:rPr>
              <w:t>鲲鹏资本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中瑞思创定增</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号证 券投资基金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本次认购的思创医惠的股份（包 括该等股份未来因思创医惠资本公积转增或 </w:t>
            </w:r>
            <w:r>
              <w:rPr>
                <w:rFonts w:ascii="宋体" w:hAnsi="宋体" w:cs="宋体" w:eastAsia="宋体" w:hint="default"/>
                <w:spacing w:val="-5"/>
                <w:sz w:val="18"/>
                <w:szCs w:val="18"/>
              </w:rPr>
              <w:t>送红股等方式所滋生的股份），在该等股份发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行上市之日起三十六个月内不转让。</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7" w:hRule="exact"/>
        </w:trPr>
        <w:tc>
          <w:tcPr>
            <w:tcW w:w="1168" w:type="dxa"/>
            <w:vMerge/>
            <w:tcBorders>
              <w:left w:val="single" w:sz="4" w:space="0" w:color="000000"/>
              <w:bottom w:val="single" w:sz="4" w:space="0" w:color="000000"/>
              <w:right w:val="single" w:sz="4" w:space="0" w:color="000000"/>
            </w:tcBorders>
            <w:shd w:val="clear" w:color="auto" w:fill="D2D2D2"/>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4" w:right="144"/>
              <w:jc w:val="both"/>
              <w:rPr>
                <w:rFonts w:ascii="宋体" w:hAnsi="宋体" w:cs="宋体" w:eastAsia="宋体" w:hint="default"/>
                <w:sz w:val="18"/>
                <w:szCs w:val="18"/>
              </w:rPr>
            </w:pPr>
            <w:r>
              <w:rPr>
                <w:rFonts w:ascii="宋体" w:hAnsi="宋体" w:cs="宋体" w:eastAsia="宋体" w:hint="default"/>
                <w:sz w:val="18"/>
                <w:szCs w:val="18"/>
              </w:rPr>
              <w:t>西藏瑞华 资本管理 有限公司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本公司本次认购的思创医惠的股份（包括该等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股份未来因思创医惠资本公积转增或送红股 </w:t>
            </w:r>
            <w:r>
              <w:rPr>
                <w:rFonts w:ascii="宋体" w:hAnsi="宋体" w:cs="宋体" w:eastAsia="宋体" w:hint="default"/>
                <w:spacing w:val="-5"/>
                <w:sz w:val="18"/>
                <w:szCs w:val="18"/>
              </w:rPr>
              <w:t>等方式所滋生的股份），在该等股份发行上市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之日起三十六个月内不转让。</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4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3" w:hRule="exact"/>
        </w:trPr>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11" w:type="dxa"/>
            <w:tcBorders>
              <w:top w:val="single" w:sz="4" w:space="0" w:color="000000"/>
              <w:left w:val="single" w:sz="10" w:space="0" w:color="D2D2D2"/>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11" w:type="dxa"/>
            <w:tcBorders>
              <w:top w:val="single" w:sz="4" w:space="0" w:color="000000"/>
              <w:left w:val="single" w:sz="10" w:space="0" w:color="D2D2D2"/>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11" w:type="dxa"/>
            <w:vMerge w:val="restart"/>
            <w:tcBorders>
              <w:top w:val="single" w:sz="4" w:space="0" w:color="000000"/>
              <w:left w:val="single" w:sz="10" w:space="0" w:color="D2D2D2"/>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68" w:type="dxa"/>
            <w:vMerge/>
            <w:tcBorders>
              <w:left w:val="single" w:sz="4" w:space="0" w:color="000000"/>
              <w:right w:val="single" w:sz="4" w:space="0" w:color="000000"/>
            </w:tcBorders>
            <w:shd w:val="clear" w:color="auto" w:fill="D2D2D2"/>
          </w:tcPr>
          <w:p>
            <w:pPr/>
          </w:p>
        </w:tc>
        <w:tc>
          <w:tcPr>
            <w:tcW w:w="911" w:type="dxa"/>
            <w:vMerge/>
            <w:tcBorders>
              <w:left w:val="single" w:sz="10" w:space="0" w:color="D2D2D2"/>
              <w:right w:val="single" w:sz="9" w:space="0" w:color="D2D2D2"/>
            </w:tcBorders>
          </w:tcPr>
          <w:p>
            <w:pPr/>
          </w:p>
        </w:tc>
        <w:tc>
          <w:tcPr>
            <w:tcW w:w="1023" w:type="dxa"/>
            <w:tcBorders>
              <w:top w:val="nil" w:sz="6" w:space="0" w:color="auto"/>
              <w:left w:val="single" w:sz="4" w:space="0" w:color="000000"/>
              <w:bottom w:val="nil" w:sz="6" w:space="0" w:color="auto"/>
              <w:right w:val="single" w:sz="4" w:space="0" w:color="000000"/>
            </w:tcBorders>
            <w:shd w:val="clear" w:color="auto" w:fill="D2D2D2"/>
          </w:tcPr>
          <w:p>
            <w:pPr/>
          </w:p>
        </w:tc>
        <w:tc>
          <w:tcPr>
            <w:tcW w:w="3567" w:type="dxa"/>
            <w:tcBorders>
              <w:top w:val="nil" w:sz="6" w:space="0" w:color="auto"/>
              <w:left w:val="single" w:sz="4" w:space="0" w:color="000000"/>
              <w:bottom w:val="nil" w:sz="6" w:space="0" w:color="auto"/>
              <w:right w:val="single" w:sz="4" w:space="0" w:color="000000"/>
            </w:tcBorders>
            <w:shd w:val="clear" w:color="auto" w:fill="D2D2D2"/>
          </w:tcPr>
          <w:p>
            <w:pPr/>
          </w:p>
        </w:tc>
        <w:tc>
          <w:tcPr>
            <w:tcW w:w="1023" w:type="dxa"/>
            <w:tcBorders>
              <w:top w:val="nil" w:sz="6" w:space="0" w:color="auto"/>
              <w:left w:val="single" w:sz="4" w:space="0" w:color="000000"/>
              <w:bottom w:val="nil" w:sz="6" w:space="0" w:color="auto"/>
              <w:right w:val="single" w:sz="4" w:space="0" w:color="000000"/>
            </w:tcBorders>
            <w:shd w:val="clear" w:color="auto" w:fill="D2D2D2"/>
          </w:tcPr>
          <w:p>
            <w:pPr/>
          </w:p>
        </w:tc>
        <w:tc>
          <w:tcPr>
            <w:tcW w:w="979" w:type="dxa"/>
            <w:tcBorders>
              <w:top w:val="nil" w:sz="6" w:space="0" w:color="auto"/>
              <w:left w:val="single" w:sz="4" w:space="0" w:color="000000"/>
              <w:bottom w:val="nil" w:sz="6" w:space="0" w:color="auto"/>
              <w:right w:val="single" w:sz="4" w:space="0" w:color="000000"/>
            </w:tcBorders>
            <w:shd w:val="clear" w:color="auto" w:fill="D2D2D2"/>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168"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10" w:space="0" w:color="D2D2D2"/>
              <w:bottom w:val="single" w:sz="4" w:space="0" w:color="000000"/>
              <w:right w:val="single" w:sz="9" w:space="0" w:color="D2D2D2"/>
            </w:tcBorders>
          </w:tcPr>
          <w:p>
            <w:pPr/>
          </w:p>
        </w:tc>
        <w:tc>
          <w:tcPr>
            <w:tcW w:w="1023" w:type="dxa"/>
            <w:tcBorders>
              <w:top w:val="nil" w:sz="6" w:space="0" w:color="auto"/>
              <w:left w:val="single" w:sz="4" w:space="0" w:color="000000"/>
              <w:bottom w:val="single" w:sz="4" w:space="0" w:color="000000"/>
              <w:right w:val="single" w:sz="4" w:space="0" w:color="000000"/>
            </w:tcBorders>
            <w:shd w:val="clear" w:color="auto" w:fill="D2D2D2"/>
          </w:tcPr>
          <w:p>
            <w:pPr/>
          </w:p>
        </w:tc>
        <w:tc>
          <w:tcPr>
            <w:tcW w:w="3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3" w:hRule="exact"/>
        </w:trPr>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40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00"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38" w:lineRule="auto"/>
        <w:jc w:val="left"/>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2"/>
          <w:szCs w:val="12"/>
        </w:rPr>
      </w:pPr>
    </w:p>
    <w:p>
      <w:pPr>
        <w:pStyle w:val="Heading5"/>
        <w:spacing w:line="350" w:lineRule="auto" w:before="0"/>
        <w:ind w:right="1126" w:firstLine="420"/>
        <w:jc w:val="both"/>
      </w:pPr>
      <w:r>
        <w:rPr/>
        <w:pict>
          <v:shape style="position:absolute;margin-left:56.279999pt;margin-top:56.333664pt;width:427.3pt;height:226.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093"/>
                    <w:gridCol w:w="2158"/>
                    <w:gridCol w:w="2005"/>
                  </w:tblGrid>
                  <w:tr>
                    <w:trPr>
                      <w:trHeight w:val="348" w:hRule="exact"/>
                    </w:trPr>
                    <w:tc>
                      <w:tcPr>
                        <w:tcW w:w="43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3"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85,014.16</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27" w:right="0"/>
                          <w:jc w:val="left"/>
                          <w:rPr>
                            <w:rFonts w:ascii="宋体" w:hAnsi="宋体" w:cs="宋体" w:eastAsia="宋体" w:hint="default"/>
                            <w:sz w:val="18"/>
                            <w:szCs w:val="18"/>
                          </w:rPr>
                        </w:pPr>
                        <w:r>
                          <w:rPr>
                            <w:rFonts w:ascii="宋体"/>
                            <w:sz w:val="18"/>
                          </w:rPr>
                          <w:t>600,217,305.63</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600,132,291.47</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6" w:right="0"/>
                          <w:jc w:val="left"/>
                          <w:rPr>
                            <w:rFonts w:ascii="宋体" w:hAnsi="宋体" w:cs="宋体" w:eastAsia="宋体" w:hint="default"/>
                            <w:sz w:val="18"/>
                            <w:szCs w:val="18"/>
                          </w:rPr>
                        </w:pPr>
                        <w:r>
                          <w:rPr>
                            <w:rFonts w:ascii="宋体"/>
                            <w:sz w:val="18"/>
                          </w:rPr>
                          <w:t>45,855,054.73</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tcBorders>
                          <w:left w:val="single" w:sz="6" w:space="0" w:color="000000"/>
                          <w:right w:val="single" w:sz="6" w:space="0" w:color="000000"/>
                        </w:tcBorders>
                      </w:tcPr>
                      <w:p>
                        <w:pPr/>
                      </w:p>
                    </w:tc>
                    <w:tc>
                      <w:tcPr>
                        <w:tcW w:w="2005"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45,855,054.73</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152,900.28</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7" w:right="0"/>
                          <w:jc w:val="left"/>
                          <w:rPr>
                            <w:rFonts w:ascii="宋体" w:hAnsi="宋体" w:cs="宋体" w:eastAsia="宋体" w:hint="default"/>
                            <w:sz w:val="18"/>
                            <w:szCs w:val="18"/>
                          </w:rPr>
                        </w:pPr>
                        <w:r>
                          <w:rPr>
                            <w:rFonts w:ascii="宋体"/>
                            <w:sz w:val="18"/>
                          </w:rPr>
                          <w:t>132,577,766.41</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132,424,866.13</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636,667.82</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6" w:right="0"/>
                          <w:jc w:val="left"/>
                          <w:rPr>
                            <w:rFonts w:ascii="宋体" w:hAnsi="宋体" w:cs="宋体" w:eastAsia="宋体" w:hint="default"/>
                            <w:sz w:val="18"/>
                            <w:szCs w:val="18"/>
                          </w:rPr>
                        </w:pPr>
                        <w:r>
                          <w:rPr>
                            <w:rFonts w:ascii="宋体"/>
                            <w:sz w:val="18"/>
                          </w:rPr>
                          <w:t>22,971,280.51</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tcBorders>
                          <w:left w:val="single" w:sz="6" w:space="0" w:color="000000"/>
                          <w:right w:val="single" w:sz="6" w:space="0" w:color="000000"/>
                        </w:tcBorders>
                      </w:tcPr>
                      <w:p>
                        <w:pPr/>
                      </w:p>
                    </w:tc>
                    <w:tc>
                      <w:tcPr>
                        <w:tcW w:w="2005"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22,334,612.69</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09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8" w:right="-1"/>
                          <w:jc w:val="left"/>
                          <w:rPr>
                            <w:rFonts w:ascii="宋体" w:hAnsi="宋体" w:cs="宋体" w:eastAsia="宋体" w:hint="default"/>
                            <w:sz w:val="18"/>
                            <w:szCs w:val="18"/>
                          </w:rPr>
                        </w:pPr>
                        <w:r>
                          <w:rPr>
                            <w:rFonts w:ascii="宋体"/>
                            <w:sz w:val="18"/>
                          </w:rPr>
                          <w:t>212,651,894.26</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116,477,211.73</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093" w:type="dxa"/>
                        <w:vMerge/>
                        <w:tcBorders>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96,174,682.53</w:t>
                        </w:r>
                      </w:p>
                    </w:tc>
                  </w:tr>
                </w:tbl>
                <w:p>
                  <w:pPr/>
                </w:p>
              </w:txbxContent>
            </v:textbox>
            <w10:wrap type="none"/>
          </v:shape>
        </w:pict>
      </w:r>
      <w:r>
        <w:rPr>
          <w:rFonts w:ascii="宋体" w:hAnsi="宋体" w:cs="宋体" w:eastAsia="宋体" w:hint="default"/>
          <w:spacing w:val="-2"/>
        </w:rPr>
        <w:t>1.</w:t>
      </w:r>
      <w:r>
        <w:rPr>
          <w:spacing w:val="-2"/>
        </w:rPr>
        <w:t>本公司根据《财政部关于修订印发</w:t>
      </w:r>
      <w:r>
        <w:rPr>
          <w:rFonts w:ascii="宋体" w:hAnsi="宋体" w:cs="宋体" w:eastAsia="宋体" w:hint="default"/>
          <w:spacing w:val="-2"/>
        </w:rPr>
        <w:t>2018</w:t>
      </w:r>
      <w:r>
        <w:rPr>
          <w:spacing w:val="-2"/>
        </w:rPr>
        <w:t>年度一般企业财务报表格式的通知》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2018</w:t>
      </w:r>
      <w:r>
        <w:rPr>
          <w:spacing w:val="-2"/>
        </w:rPr>
        <w:t>〕</w:t>
      </w:r>
      <w:r>
        <w:rPr>
          <w:rFonts w:ascii="宋体" w:hAnsi="宋体" w:cs="宋体" w:eastAsia="宋体" w:hint="default"/>
          <w:spacing w:val="-2"/>
        </w:rPr>
        <w:t>15</w:t>
      </w:r>
      <w:r>
        <w:rPr>
          <w:spacing w:val="-2"/>
        </w:rPr>
        <w:t>号</w:t>
      </w:r>
      <w:r>
        <w:rPr>
          <w:rFonts w:ascii="宋体" w:hAnsi="宋体" w:cs="宋体" w:eastAsia="宋体" w:hint="default"/>
          <w:spacing w:val="-2"/>
        </w:rPr>
        <w:t>)</w:t>
      </w:r>
      <w:r>
        <w:rPr>
          <w:spacing w:val="-2"/>
        </w:rPr>
        <w:t>及</w:t>
      </w:r>
      <w:r>
        <w:rPr>
          <w:w w:val="100"/>
        </w:rPr>
        <w:t> </w:t>
      </w:r>
      <w:r>
        <w:rPr>
          <w:spacing w:val="-2"/>
        </w:rPr>
        <w:t>其解读和企业会计准则的要求编制</w:t>
      </w:r>
      <w:r>
        <w:rPr>
          <w:rFonts w:ascii="宋体" w:hAnsi="宋体" w:cs="宋体" w:eastAsia="宋体" w:hint="default"/>
          <w:spacing w:val="-2"/>
        </w:rPr>
        <w:t>2018</w:t>
      </w:r>
      <w:r>
        <w:rPr>
          <w:spacing w:val="-2"/>
        </w:rPr>
        <w:t>年度财务报表，此项会计政策变更采用追溯调整法。</w:t>
      </w:r>
      <w:r>
        <w:rPr>
          <w:rFonts w:ascii="宋体" w:hAnsi="宋体" w:cs="宋体" w:eastAsia="宋体" w:hint="default"/>
          <w:spacing w:val="-2"/>
        </w:rPr>
        <w:t>2018</w:t>
      </w:r>
      <w:r>
        <w:rPr>
          <w:spacing w:val="-2"/>
        </w:rPr>
        <w:t>年度财务</w:t>
      </w:r>
      <w:r>
        <w:rPr>
          <w:spacing w:val="-36"/>
        </w:rPr>
        <w:t> </w:t>
      </w:r>
      <w:r>
        <w:rPr>
          <w:spacing w:val="-36"/>
        </w:rPr>
      </w:r>
      <w:r>
        <w:rPr/>
        <w:t>报表可比数据受重要影响的报表项目和金额如下：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350" w:lineRule="auto" w:before="36"/>
        <w:ind w:right="1126" w:firstLine="420"/>
        <w:jc w:val="both"/>
      </w:pPr>
      <w:r>
        <w:rPr>
          <w:rFonts w:ascii="宋体" w:hAnsi="宋体" w:cs="宋体" w:eastAsia="宋体" w:hint="default"/>
          <w:spacing w:val="-4"/>
          <w:w w:val="100"/>
        </w:rPr>
        <w:t>2.</w:t>
      </w:r>
      <w:r>
        <w:rPr>
          <w:spacing w:val="-4"/>
          <w:w w:val="100"/>
        </w:rPr>
        <w:t>财政部于</w:t>
      </w:r>
      <w:r>
        <w:rPr>
          <w:rFonts w:ascii="宋体" w:hAnsi="宋体" w:cs="宋体" w:eastAsia="宋体" w:hint="default"/>
          <w:spacing w:val="-4"/>
          <w:w w:val="100"/>
        </w:rPr>
        <w:t>2017</w:t>
      </w:r>
      <w:r>
        <w:rPr>
          <w:spacing w:val="-4"/>
          <w:w w:val="100"/>
        </w:rPr>
        <w:t>年度颁布了《企业会计准则解释第</w:t>
      </w:r>
      <w:r>
        <w:rPr>
          <w:rFonts w:ascii="宋体" w:hAnsi="宋体" w:cs="宋体" w:eastAsia="宋体" w:hint="default"/>
          <w:spacing w:val="-4"/>
          <w:w w:val="100"/>
        </w:rPr>
        <w:t>9</w:t>
      </w:r>
      <w:r>
        <w:rPr>
          <w:spacing w:val="-4"/>
          <w:w w:val="100"/>
        </w:rPr>
        <w:t>号——关于权益法下投资净损失的会计处理》《企</w:t>
      </w:r>
      <w:r>
        <w:rPr>
          <w:w w:val="100"/>
        </w:rPr>
        <w:t> </w:t>
      </w:r>
      <w:r>
        <w:rPr>
          <w:spacing w:val="-2"/>
        </w:rPr>
        <w:t>业会计准则解释第</w:t>
      </w:r>
      <w:r>
        <w:rPr>
          <w:rFonts w:ascii="宋体" w:hAnsi="宋体" w:cs="宋体" w:eastAsia="宋体" w:hint="default"/>
          <w:spacing w:val="-2"/>
        </w:rPr>
        <w:t>10</w:t>
      </w:r>
      <w:r>
        <w:rPr>
          <w:spacing w:val="-2"/>
        </w:rPr>
        <w:t>号——关于以使用固定资产产生的收入为基础的折旧方法》《企业会计准则解释第</w:t>
      </w:r>
      <w:r>
        <w:rPr>
          <w:rFonts w:ascii="宋体" w:hAnsi="宋体" w:cs="宋体" w:eastAsia="宋体" w:hint="default"/>
          <w:spacing w:val="-2"/>
        </w:rPr>
        <w:t>11</w:t>
      </w:r>
      <w:r>
        <w:rPr>
          <w:rFonts w:ascii="宋体" w:hAnsi="宋体" w:cs="宋体" w:eastAsia="宋体" w:hint="default"/>
          <w:spacing w:val="-40"/>
        </w:rPr>
        <w:t> </w:t>
      </w:r>
      <w:r>
        <w:rPr>
          <w:spacing w:val="-2"/>
        </w:rPr>
        <w:t>号——关于以使用无形资产产生的收入为基础的摊销方法》及《企业会计准则解释第</w:t>
      </w:r>
      <w:r>
        <w:rPr>
          <w:rFonts w:ascii="宋体" w:hAnsi="宋体" w:cs="宋体" w:eastAsia="宋体" w:hint="default"/>
          <w:spacing w:val="-2"/>
        </w:rPr>
        <w:t>12</w:t>
      </w:r>
      <w:r>
        <w:rPr>
          <w:spacing w:val="-2"/>
        </w:rPr>
        <w:t>号——关于关键管</w:t>
      </w:r>
      <w:r>
        <w:rPr>
          <w:spacing w:val="-42"/>
        </w:rPr>
        <w:t> </w:t>
      </w:r>
      <w:r>
        <w:rPr>
          <w:spacing w:val="-42"/>
        </w:rPr>
      </w:r>
      <w:r>
        <w:rPr>
          <w:spacing w:val="-2"/>
        </w:rPr>
        <w:t>理人员服务的提供方与接受方是否为关联方》。公司自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日起执行上述企业会计准则解释，执行</w:t>
      </w:r>
      <w:r>
        <w:rPr>
          <w:spacing w:val="-37"/>
        </w:rPr>
        <w:t> </w:t>
      </w:r>
      <w:r>
        <w:rPr>
          <w:spacing w:val="-37"/>
        </w:rPr>
      </w:r>
      <w:r>
        <w:rPr/>
        <w:t>上述解释对公司</w:t>
      </w:r>
      <w:r>
        <w:rPr>
          <w:rFonts w:ascii="宋体" w:hAnsi="宋体" w:cs="宋体" w:eastAsia="宋体" w:hint="default"/>
        </w:rPr>
        <w:t>2018</w:t>
      </w:r>
      <w:r>
        <w:rPr/>
        <w:t>年度财务报表的可比数据无影响。</w:t>
      </w:r>
    </w:p>
    <w:p>
      <w:pPr>
        <w:spacing w:line="240" w:lineRule="auto" w:before="6"/>
        <w:rPr>
          <w:rFonts w:ascii="宋体" w:hAnsi="宋体" w:cs="宋体" w:eastAsia="宋体" w:hint="default"/>
          <w:sz w:val="16"/>
          <w:szCs w:val="16"/>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2"/>
          <w:szCs w:val="12"/>
        </w:rPr>
      </w:pPr>
    </w:p>
    <w:p>
      <w:pPr>
        <w:pStyle w:val="Heading5"/>
        <w:spacing w:line="348" w:lineRule="auto" w:before="0"/>
        <w:ind w:right="1128" w:firstLine="420"/>
        <w:jc w:val="both"/>
      </w:pPr>
      <w:r>
        <w:rPr>
          <w:rFonts w:ascii="宋体" w:hAnsi="宋体" w:cs="宋体" w:eastAsia="宋体" w:hint="default"/>
          <w:spacing w:val="-2"/>
        </w:rPr>
        <w:t>1</w:t>
      </w:r>
      <w:r>
        <w:rPr>
          <w:spacing w:val="-2"/>
        </w:rPr>
        <w:t>、报告期内，公司全资子公司医惠科技认缴</w:t>
      </w:r>
      <w:r>
        <w:rPr>
          <w:rFonts w:ascii="宋体" w:hAnsi="宋体" w:cs="宋体" w:eastAsia="宋体" w:hint="default"/>
          <w:spacing w:val="-2"/>
        </w:rPr>
        <w:t>490</w:t>
      </w:r>
      <w:r>
        <w:rPr>
          <w:spacing w:val="-2"/>
        </w:rPr>
        <w:t>万元人民币参与设立江苏瑞康医惠医疗投资管理有限</w:t>
      </w:r>
      <w:r>
        <w:rPr>
          <w:w w:val="100"/>
        </w:rPr>
        <w:t> </w:t>
      </w:r>
      <w:r>
        <w:rPr/>
        <w:t>公司，医惠科技持有其</w:t>
      </w:r>
      <w:r>
        <w:rPr>
          <w:rFonts w:ascii="宋体" w:hAnsi="宋体" w:cs="宋体" w:eastAsia="宋体" w:hint="default"/>
        </w:rPr>
        <w:t>49%</w:t>
      </w:r>
      <w:r>
        <w:rPr/>
        <w:t>股权，根据《江苏瑞康医惠医疗投资管理有限公司章程》约定，该公司董事会</w:t>
      </w:r>
      <w:r>
        <w:rPr>
          <w:spacing w:val="-28"/>
        </w:rPr>
        <w:t> </w:t>
      </w:r>
      <w:r>
        <w:rPr>
          <w:spacing w:val="-28"/>
        </w:rPr>
      </w:r>
      <w:r>
        <w:rPr>
          <w:spacing w:val="-2"/>
        </w:rPr>
        <w:t>成员为</w:t>
      </w:r>
      <w:r>
        <w:rPr>
          <w:rFonts w:ascii="宋体" w:hAnsi="宋体" w:cs="宋体" w:eastAsia="宋体" w:hint="default"/>
          <w:spacing w:val="-2"/>
        </w:rPr>
        <w:t>5</w:t>
      </w:r>
      <w:r>
        <w:rPr>
          <w:spacing w:val="-2"/>
        </w:rPr>
        <w:t>人，医惠科技推荐</w:t>
      </w:r>
      <w:r>
        <w:rPr>
          <w:rFonts w:ascii="宋体" w:hAnsi="宋体" w:cs="宋体" w:eastAsia="宋体" w:hint="default"/>
          <w:spacing w:val="-2"/>
        </w:rPr>
        <w:t>3</w:t>
      </w:r>
      <w:r>
        <w:rPr>
          <w:spacing w:val="-2"/>
        </w:rPr>
        <w:t>人，董事会所做决议须经全体董事的过半数同意通过。因而，医惠科技拥有对</w:t>
      </w:r>
    </w:p>
    <w:p>
      <w:pPr>
        <w:spacing w:after="0" w:line="348" w:lineRule="auto"/>
        <w:jc w:val="both"/>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350" w:lineRule="auto" w:before="0"/>
        <w:ind w:left="573" w:right="0" w:hanging="421"/>
        <w:jc w:val="left"/>
      </w:pPr>
      <w:r>
        <w:rPr/>
        <w:t>该公司控制权，自</w:t>
      </w:r>
      <w:r>
        <w:rPr>
          <w:rFonts w:ascii="宋体" w:hAnsi="宋体" w:cs="宋体" w:eastAsia="宋体" w:hint="default"/>
        </w:rPr>
        <w:t>2018</w:t>
      </w:r>
      <w:r>
        <w:rPr/>
        <w:t>年</w:t>
      </w:r>
      <w:r>
        <w:rPr>
          <w:rFonts w:ascii="宋体" w:hAnsi="宋体" w:cs="宋体" w:eastAsia="宋体" w:hint="default"/>
        </w:rPr>
        <w:t>1</w:t>
      </w:r>
      <w:r>
        <w:rPr/>
        <w:t>月纳入公司合并报表范围。</w:t>
      </w:r>
      <w:r>
        <w:rPr>
          <w:w w:val="100"/>
        </w:rPr>
        <w:t> </w:t>
      </w:r>
      <w:r>
        <w:rPr>
          <w:rFonts w:ascii="宋体" w:hAnsi="宋体" w:cs="宋体" w:eastAsia="宋体" w:hint="default"/>
          <w:spacing w:val="-5"/>
        </w:rPr>
        <w:t>2</w:t>
      </w:r>
      <w:r>
        <w:rPr>
          <w:spacing w:val="-5"/>
        </w:rPr>
        <w:t>、报告期内，公司全资子公司思创汇联认缴</w:t>
      </w:r>
      <w:r>
        <w:rPr>
          <w:rFonts w:ascii="宋体" w:hAnsi="宋体" w:cs="宋体" w:eastAsia="宋体" w:hint="default"/>
          <w:spacing w:val="-5"/>
        </w:rPr>
        <w:t>300</w:t>
      </w:r>
      <w:r>
        <w:rPr>
          <w:spacing w:val="-5"/>
        </w:rPr>
        <w:t>万元人民币参与设立杭州中瑞思创智能科技有限公司，</w:t>
      </w:r>
    </w:p>
    <w:p>
      <w:pPr>
        <w:pStyle w:val="Heading5"/>
        <w:spacing w:line="350" w:lineRule="auto" w:before="27"/>
        <w:ind w:left="573" w:right="1133" w:hanging="421"/>
        <w:jc w:val="left"/>
      </w:pPr>
      <w:r>
        <w:rPr/>
        <w:t>思创汇联持有其</w:t>
      </w:r>
      <w:r>
        <w:rPr>
          <w:rFonts w:ascii="宋体" w:hAnsi="宋体" w:cs="宋体" w:eastAsia="宋体" w:hint="default"/>
        </w:rPr>
        <w:t>60%</w:t>
      </w:r>
      <w:r>
        <w:rPr/>
        <w:t>股权，杭州中瑞思创智能科技有限公司自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r>
        <w:rPr>
          <w:w w:val="100"/>
        </w:rPr>
        <w:t> </w:t>
      </w:r>
      <w:r>
        <w:rPr>
          <w:rFonts w:ascii="宋体" w:hAnsi="宋体" w:cs="宋体" w:eastAsia="宋体" w:hint="default"/>
          <w:spacing w:val="-2"/>
        </w:rPr>
        <w:t>3</w:t>
      </w:r>
      <w:r>
        <w:rPr>
          <w:spacing w:val="-2"/>
        </w:rPr>
        <w:t>、报告期内，公司控股子公司琅玕科技认缴</w:t>
      </w:r>
      <w:r>
        <w:rPr>
          <w:rFonts w:ascii="宋体" w:hAnsi="宋体" w:cs="宋体" w:eastAsia="宋体" w:hint="default"/>
          <w:spacing w:val="-2"/>
        </w:rPr>
        <w:t>300</w:t>
      </w:r>
      <w:r>
        <w:rPr>
          <w:spacing w:val="-2"/>
        </w:rPr>
        <w:t>万元人民币设立杭州好睡眠医疗投资管理有限公司，</w:t>
      </w:r>
    </w:p>
    <w:p>
      <w:pPr>
        <w:pStyle w:val="Heading5"/>
        <w:spacing w:line="348" w:lineRule="auto" w:before="29"/>
        <w:ind w:left="573" w:right="1133" w:hanging="421"/>
        <w:jc w:val="left"/>
      </w:pPr>
      <w:r>
        <w:rPr/>
        <w:t>琅玕科技持有其</w:t>
      </w:r>
      <w:r>
        <w:rPr>
          <w:rFonts w:ascii="宋体" w:hAnsi="宋体" w:cs="宋体" w:eastAsia="宋体" w:hint="default"/>
        </w:rPr>
        <w:t>100%</w:t>
      </w:r>
      <w:r>
        <w:rPr/>
        <w:t>股权，杭州好睡眠医疗投资管理有限公司自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r>
        <w:rPr>
          <w:w w:val="100"/>
        </w:rPr>
        <w:t> </w:t>
      </w:r>
      <w:r>
        <w:rPr>
          <w:rFonts w:ascii="宋体" w:hAnsi="宋体" w:cs="宋体" w:eastAsia="宋体" w:hint="default"/>
          <w:spacing w:val="-2"/>
        </w:rPr>
        <w:t>4</w:t>
      </w:r>
      <w:r>
        <w:rPr>
          <w:spacing w:val="-2"/>
        </w:rPr>
        <w:t>、报告期内，公司控股子公司琅玕科技全资子公司杭州好睡眠医疗投资管理有限公司认缴</w:t>
      </w:r>
      <w:r>
        <w:rPr>
          <w:rFonts w:ascii="宋体" w:hAnsi="宋体" w:cs="宋体" w:eastAsia="宋体" w:hint="default"/>
          <w:spacing w:val="-2"/>
        </w:rPr>
        <w:t>100</w:t>
      </w:r>
      <w:r>
        <w:rPr>
          <w:spacing w:val="-2"/>
        </w:rPr>
        <w:t>万元人</w:t>
      </w:r>
    </w:p>
    <w:p>
      <w:pPr>
        <w:pStyle w:val="Heading5"/>
        <w:spacing w:line="350" w:lineRule="auto" w:before="31"/>
        <w:ind w:right="1133"/>
        <w:jc w:val="left"/>
      </w:pPr>
      <w:r>
        <w:rPr>
          <w:spacing w:val="-2"/>
        </w:rPr>
        <w:t>民币设立杭州思力普诊所有限公司，杭州好睡眠医疗投资管理有限公司持有其</w:t>
      </w:r>
      <w:r>
        <w:rPr>
          <w:rFonts w:ascii="宋体" w:hAnsi="宋体" w:cs="宋体" w:eastAsia="宋体" w:hint="default"/>
          <w:spacing w:val="-2"/>
        </w:rPr>
        <w:t>100%</w:t>
      </w:r>
      <w:r>
        <w:rPr>
          <w:spacing w:val="-2"/>
        </w:rPr>
        <w:t>股权，杭州思力普诊所</w:t>
      </w:r>
      <w:r>
        <w:rPr>
          <w:spacing w:val="-38"/>
        </w:rPr>
        <w:t> </w:t>
      </w:r>
      <w:r>
        <w:rPr>
          <w:spacing w:val="-38"/>
        </w:rPr>
      </w:r>
      <w:r>
        <w:rPr/>
        <w:t>有限公司自</w:t>
      </w:r>
      <w:r>
        <w:rPr>
          <w:rFonts w:ascii="宋体" w:hAnsi="宋体" w:cs="宋体" w:eastAsia="宋体" w:hint="default"/>
        </w:rPr>
        <w:t>2018</w:t>
      </w:r>
      <w:r>
        <w:rPr/>
        <w:t>年</w:t>
      </w:r>
      <w:r>
        <w:rPr>
          <w:rFonts w:ascii="宋体" w:hAnsi="宋体" w:cs="宋体" w:eastAsia="宋体" w:hint="default"/>
        </w:rPr>
        <w:t>1</w:t>
      </w:r>
      <w:r>
        <w:rPr/>
        <w:t>月纳入公司合并报表范围。</w:t>
      </w:r>
    </w:p>
    <w:p>
      <w:pPr>
        <w:pStyle w:val="Heading5"/>
        <w:spacing w:line="350" w:lineRule="auto" w:before="27"/>
        <w:ind w:right="1133" w:firstLine="420"/>
        <w:jc w:val="left"/>
      </w:pPr>
      <w:r>
        <w:rPr>
          <w:rFonts w:ascii="宋体" w:hAnsi="宋体" w:cs="宋体" w:eastAsia="宋体" w:hint="default"/>
          <w:spacing w:val="-2"/>
        </w:rPr>
        <w:t>5</w:t>
      </w:r>
      <w:r>
        <w:rPr>
          <w:spacing w:val="-2"/>
        </w:rPr>
        <w:t>、报告期内，公司全资子公司医惠科技认缴</w:t>
      </w:r>
      <w:r>
        <w:rPr>
          <w:rFonts w:ascii="宋体" w:hAnsi="宋体" w:cs="宋体" w:eastAsia="宋体" w:hint="default"/>
          <w:spacing w:val="-2"/>
        </w:rPr>
        <w:t>150</w:t>
      </w:r>
      <w:r>
        <w:rPr>
          <w:spacing w:val="-2"/>
        </w:rPr>
        <w:t>万元人民币设立无锡市仁医医疗人工智能研究院，医</w:t>
      </w:r>
      <w:r>
        <w:rPr>
          <w:w w:val="100"/>
        </w:rPr>
        <w:t> </w:t>
      </w:r>
      <w:r>
        <w:rPr/>
        <w:t>惠科技持有其</w:t>
      </w:r>
      <w:r>
        <w:rPr>
          <w:rFonts w:ascii="宋体" w:hAnsi="宋体" w:cs="宋体" w:eastAsia="宋体" w:hint="default"/>
        </w:rPr>
        <w:t>100%</w:t>
      </w:r>
      <w:r>
        <w:rPr/>
        <w:t>股权，无锡市仁医医疗人工智能研究院自</w:t>
      </w:r>
      <w:r>
        <w:rPr>
          <w:rFonts w:ascii="宋体" w:hAnsi="宋体" w:cs="宋体" w:eastAsia="宋体" w:hint="default"/>
        </w:rPr>
        <w:t>2018</w:t>
      </w:r>
      <w:r>
        <w:rPr/>
        <w:t>年</w:t>
      </w:r>
      <w:r>
        <w:rPr>
          <w:rFonts w:ascii="宋体" w:hAnsi="宋体" w:cs="宋体" w:eastAsia="宋体" w:hint="default"/>
        </w:rPr>
        <w:t>2</w:t>
      </w:r>
      <w:r>
        <w:rPr/>
        <w:t>月纳入公司合并报表范围。</w:t>
      </w:r>
    </w:p>
    <w:p>
      <w:pPr>
        <w:pStyle w:val="Heading5"/>
        <w:spacing w:line="348" w:lineRule="auto" w:before="29"/>
        <w:ind w:right="1133" w:firstLine="420"/>
        <w:jc w:val="left"/>
      </w:pPr>
      <w:r>
        <w:rPr>
          <w:rFonts w:ascii="宋体" w:hAnsi="宋体" w:cs="宋体" w:eastAsia="宋体" w:hint="default"/>
          <w:spacing w:val="-2"/>
        </w:rPr>
        <w:t>6</w:t>
      </w:r>
      <w:r>
        <w:rPr>
          <w:spacing w:val="-2"/>
        </w:rPr>
        <w:t>、报告期内，公司全资子公司医惠科技认缴</w:t>
      </w:r>
      <w:r>
        <w:rPr>
          <w:rFonts w:ascii="宋体" w:hAnsi="宋体" w:cs="宋体" w:eastAsia="宋体" w:hint="default"/>
          <w:spacing w:val="-2"/>
        </w:rPr>
        <w:t>375</w:t>
      </w:r>
      <w:r>
        <w:rPr>
          <w:spacing w:val="-2"/>
        </w:rPr>
        <w:t>万元人民币参与设立杭州联源智能科技有限公司，医</w:t>
      </w:r>
      <w:r>
        <w:rPr>
          <w:w w:val="100"/>
        </w:rPr>
        <w:t> </w:t>
      </w:r>
      <w:r>
        <w:rPr/>
        <w:t>惠科技持有其</w:t>
      </w:r>
      <w:r>
        <w:rPr>
          <w:rFonts w:ascii="宋体" w:hAnsi="宋体" w:cs="宋体" w:eastAsia="宋体" w:hint="default"/>
        </w:rPr>
        <w:t>75%</w:t>
      </w:r>
      <w:r>
        <w:rPr/>
        <w:t>股权，杭州联源智能科技有限公司自</w:t>
      </w:r>
      <w:r>
        <w:rPr>
          <w:rFonts w:ascii="宋体" w:hAnsi="宋体" w:cs="宋体" w:eastAsia="宋体" w:hint="default"/>
        </w:rPr>
        <w:t>2018</w:t>
      </w:r>
      <w:r>
        <w:rPr/>
        <w:t>年</w:t>
      </w:r>
      <w:r>
        <w:rPr>
          <w:rFonts w:ascii="宋体" w:hAnsi="宋体" w:cs="宋体" w:eastAsia="宋体" w:hint="default"/>
        </w:rPr>
        <w:t>5</w:t>
      </w:r>
      <w:r>
        <w:rPr/>
        <w:t>月纳入公司合并报表范围。</w:t>
      </w:r>
    </w:p>
    <w:p>
      <w:pPr>
        <w:pStyle w:val="Heading5"/>
        <w:spacing w:line="350" w:lineRule="auto" w:before="31"/>
        <w:ind w:right="1133" w:firstLine="420"/>
        <w:jc w:val="left"/>
      </w:pPr>
      <w:r>
        <w:rPr>
          <w:rFonts w:ascii="宋体" w:hAnsi="宋体" w:cs="宋体" w:eastAsia="宋体" w:hint="default"/>
          <w:spacing w:val="-2"/>
        </w:rPr>
        <w:t>7</w:t>
      </w:r>
      <w:r>
        <w:rPr>
          <w:spacing w:val="-2"/>
        </w:rPr>
        <w:t>、报告期内，公司全资子公司医惠科技认缴</w:t>
      </w:r>
      <w:r>
        <w:rPr>
          <w:rFonts w:ascii="宋体" w:hAnsi="宋体" w:cs="宋体" w:eastAsia="宋体" w:hint="default"/>
          <w:spacing w:val="-2"/>
        </w:rPr>
        <w:t>300</w:t>
      </w:r>
      <w:r>
        <w:rPr>
          <w:spacing w:val="-2"/>
        </w:rPr>
        <w:t>万元人民币参与设立医惠科技（南京）有限公司，医</w:t>
      </w:r>
      <w:r>
        <w:rPr>
          <w:w w:val="100"/>
        </w:rPr>
        <w:t> </w:t>
      </w:r>
      <w:r>
        <w:rPr/>
        <w:t>惠科技持有其</w:t>
      </w:r>
      <w:r>
        <w:rPr>
          <w:rFonts w:ascii="宋体" w:hAnsi="宋体" w:cs="宋体" w:eastAsia="宋体" w:hint="default"/>
        </w:rPr>
        <w:t>60%</w:t>
      </w:r>
      <w:r>
        <w:rPr/>
        <w:t>股权，医惠科技（南京）有限公司自</w:t>
      </w:r>
      <w:r>
        <w:rPr>
          <w:rFonts w:ascii="宋体" w:hAnsi="宋体" w:cs="宋体" w:eastAsia="宋体" w:hint="default"/>
        </w:rPr>
        <w:t>2018</w:t>
      </w:r>
      <w:r>
        <w:rPr/>
        <w:t>年</w:t>
      </w:r>
      <w:r>
        <w:rPr>
          <w:rFonts w:ascii="宋体" w:hAnsi="宋体" w:cs="宋体" w:eastAsia="宋体" w:hint="default"/>
        </w:rPr>
        <w:t>10</w:t>
      </w:r>
      <w:r>
        <w:rPr/>
        <w:t>月纳入公司合并报表范围。</w:t>
      </w:r>
    </w:p>
    <w:p>
      <w:pPr>
        <w:pStyle w:val="Heading5"/>
        <w:spacing w:line="350" w:lineRule="auto" w:before="27"/>
        <w:ind w:right="1133" w:firstLine="842"/>
        <w:jc w:val="left"/>
      </w:pPr>
      <w:r>
        <w:rPr>
          <w:rFonts w:ascii="宋体" w:hAnsi="宋体" w:cs="宋体" w:eastAsia="宋体" w:hint="default"/>
          <w:spacing w:val="2"/>
        </w:rPr>
        <w:t>8</w:t>
      </w:r>
      <w:r>
        <w:rPr>
          <w:spacing w:val="2"/>
        </w:rPr>
        <w:t>、报告期内，公司控股子公司</w:t>
      </w:r>
      <w:r>
        <w:rPr>
          <w:rFonts w:ascii="宋体" w:hAnsi="宋体" w:cs="宋体" w:eastAsia="宋体" w:hint="default"/>
          <w:spacing w:val="2"/>
        </w:rPr>
        <w:t>EWELL </w:t>
      </w:r>
      <w:r>
        <w:rPr>
          <w:rFonts w:ascii="宋体" w:hAnsi="宋体" w:cs="宋体" w:eastAsia="宋体" w:hint="default"/>
        </w:rPr>
        <w:t>HONGKONG LIMITED</w:t>
      </w:r>
      <w:r>
        <w:rPr/>
        <w:t>认缴</w:t>
      </w:r>
      <w:r>
        <w:rPr>
          <w:rFonts w:ascii="宋体" w:hAnsi="宋体" w:cs="宋体" w:eastAsia="宋体" w:hint="default"/>
        </w:rPr>
        <w:t>380</w:t>
      </w:r>
      <w:r>
        <w:rPr/>
        <w:t>万港币收购</w:t>
      </w:r>
      <w:r>
        <w:rPr>
          <w:rFonts w:ascii="宋体" w:hAnsi="宋体" w:cs="宋体" w:eastAsia="宋体" w:hint="default"/>
        </w:rPr>
        <w:t>Sun Pacific</w:t>
      </w:r>
      <w:r>
        <w:rPr>
          <w:rFonts w:ascii="宋体" w:hAnsi="宋体" w:cs="宋体" w:eastAsia="宋体" w:hint="default"/>
          <w:spacing w:val="13"/>
        </w:rPr>
        <w:t> </w:t>
      </w:r>
      <w:r>
        <w:rPr>
          <w:rFonts w:ascii="宋体" w:hAnsi="宋体" w:cs="宋体" w:eastAsia="宋体" w:hint="default"/>
        </w:rPr>
        <w:t>Link</w:t>
      </w:r>
      <w:r>
        <w:rPr>
          <w:rFonts w:ascii="宋体" w:hAnsi="宋体" w:cs="宋体" w:eastAsia="宋体" w:hint="default"/>
          <w:w w:val="100"/>
        </w:rPr>
        <w:t> </w:t>
      </w:r>
      <w:r>
        <w:rPr>
          <w:rFonts w:ascii="宋体" w:hAnsi="宋体" w:cs="宋体" w:eastAsia="宋体" w:hint="default"/>
        </w:rPr>
        <w:t>Limited 100%</w:t>
      </w:r>
      <w:r>
        <w:rPr/>
        <w:t>股权，</w:t>
      </w:r>
      <w:r>
        <w:rPr>
          <w:rFonts w:ascii="宋体" w:hAnsi="宋体" w:cs="宋体" w:eastAsia="宋体" w:hint="default"/>
        </w:rPr>
        <w:t>Sun Pacific Link</w:t>
      </w:r>
      <w:r>
        <w:rPr>
          <w:rFonts w:ascii="宋体" w:hAnsi="宋体" w:cs="宋体" w:eastAsia="宋体" w:hint="default"/>
          <w:spacing w:val="-8"/>
        </w:rPr>
        <w:t> </w:t>
      </w:r>
      <w:r>
        <w:rPr>
          <w:rFonts w:ascii="宋体" w:hAnsi="宋体" w:cs="宋体" w:eastAsia="宋体" w:hint="default"/>
        </w:rPr>
        <w:t>Limited</w:t>
      </w:r>
      <w:r>
        <w:rPr/>
        <w:t>自</w:t>
      </w:r>
      <w:r>
        <w:rPr>
          <w:rFonts w:ascii="宋体" w:hAnsi="宋体" w:cs="宋体" w:eastAsia="宋体" w:hint="default"/>
        </w:rPr>
        <w:t>2018</w:t>
      </w:r>
      <w:r>
        <w:rPr/>
        <w:t>年</w:t>
      </w:r>
      <w:r>
        <w:rPr>
          <w:rFonts w:ascii="宋体" w:hAnsi="宋体" w:cs="宋体" w:eastAsia="宋体" w:hint="default"/>
        </w:rPr>
        <w:t>11</w:t>
      </w:r>
      <w:r>
        <w:rPr/>
        <w:t>月纳入合并报表范围。</w:t>
      </w:r>
    </w:p>
    <w:p>
      <w:pPr>
        <w:pStyle w:val="Heading5"/>
        <w:spacing w:line="348" w:lineRule="auto" w:before="29"/>
        <w:ind w:right="1133" w:firstLine="420"/>
        <w:jc w:val="left"/>
      </w:pPr>
      <w:r>
        <w:rPr>
          <w:rFonts w:ascii="宋体" w:hAnsi="宋体" w:cs="宋体" w:eastAsia="宋体" w:hint="default"/>
        </w:rPr>
        <w:t>9</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日，由医惠科技公司、孙美凤和张丹芬投资设立的福建医惠医疗信息服务有限</w:t>
      </w:r>
      <w:r>
        <w:rPr>
          <w:w w:val="100"/>
        </w:rPr>
        <w:t> </w:t>
      </w:r>
      <w:r>
        <w:rPr/>
        <w:t>公司，各方实际出资额为</w:t>
      </w:r>
      <w:r>
        <w:rPr>
          <w:rFonts w:ascii="宋体" w:hAnsi="宋体" w:cs="宋体" w:eastAsia="宋体" w:hint="default"/>
        </w:rPr>
        <w:t>0</w:t>
      </w:r>
      <w:r>
        <w:rPr/>
        <w:t>，该公司未发生任何业务。</w:t>
      </w:r>
    </w:p>
    <w:p>
      <w:pPr>
        <w:pStyle w:val="Heading5"/>
        <w:spacing w:line="350" w:lineRule="auto" w:before="32"/>
        <w:ind w:right="1133" w:firstLine="420"/>
        <w:jc w:val="left"/>
      </w:pPr>
      <w:r>
        <w:rPr>
          <w:rFonts w:ascii="宋体" w:hAnsi="宋体" w:cs="宋体" w:eastAsia="宋体" w:hint="default"/>
          <w:spacing w:val="-2"/>
        </w:rPr>
        <w:t>10</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日，由医惠科技公司、上海融健医疗健康科技合伙企业（有限合伙）和陈世斌</w:t>
      </w:r>
      <w:r>
        <w:rPr>
          <w:w w:val="100"/>
        </w:rPr>
        <w:t> </w:t>
      </w:r>
      <w:r>
        <w:rPr/>
        <w:t>投资设立的上海惠沪信息技术有限公司，各方实际出资额为</w:t>
      </w:r>
      <w:r>
        <w:rPr>
          <w:rFonts w:ascii="宋体" w:hAnsi="宋体" w:cs="宋体" w:eastAsia="宋体" w:hint="default"/>
        </w:rPr>
        <w:t>0</w:t>
      </w:r>
      <w:r>
        <w:rPr/>
        <w:t>，该公司未发生任何业务。</w:t>
      </w:r>
    </w:p>
    <w:p>
      <w:pPr>
        <w:pStyle w:val="Heading5"/>
        <w:spacing w:line="350" w:lineRule="auto" w:before="27"/>
        <w:ind w:right="1133" w:firstLine="420"/>
        <w:jc w:val="left"/>
      </w:pPr>
      <w:r>
        <w:rPr>
          <w:rFonts w:ascii="宋体" w:hAnsi="宋体" w:cs="宋体" w:eastAsia="宋体" w:hint="default"/>
          <w:spacing w:val="-2"/>
        </w:rPr>
        <w:t>11</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日，由杭州华洁医疗科技有限公司设立的杭州医惠医疗智能科技有限公司，实</w:t>
      </w:r>
      <w:r>
        <w:rPr>
          <w:w w:val="100"/>
        </w:rPr>
        <w:t> </w:t>
      </w:r>
      <w:r>
        <w:rPr/>
        <w:t>际出资额为</w:t>
      </w:r>
      <w:r>
        <w:rPr>
          <w:rFonts w:ascii="宋体" w:hAnsi="宋体" w:cs="宋体" w:eastAsia="宋体" w:hint="default"/>
        </w:rPr>
        <w:t>0</w:t>
      </w:r>
      <w:r>
        <w:rPr/>
        <w:t>，该公司未发生任何业务。</w:t>
      </w:r>
    </w:p>
    <w:p>
      <w:pPr>
        <w:spacing w:line="240" w:lineRule="auto" w:before="8"/>
        <w:rPr>
          <w:rFonts w:ascii="宋体" w:hAnsi="宋体" w:cs="宋体" w:eastAsia="宋体" w:hint="default"/>
          <w:sz w:val="16"/>
          <w:szCs w:val="16"/>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胡彦龙、徐莉丽</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39"/>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本年度，公司聘请天健会计师事务所（特殊普通合伙）对公司内部控制情况进行审计，并出具了《内部控制鉴证报告》。</w:t>
      </w:r>
    </w:p>
    <w:p>
      <w:pPr>
        <w:spacing w:after="0" w:line="340" w:lineRule="auto"/>
        <w:jc w:val="left"/>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4"/>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434"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12</w:t>
      </w:r>
      <w:r>
        <w:rPr/>
        <w:t>日，经公司第三届董事会第三十五次会议审议通过了《关于</w:t>
      </w:r>
      <w:r>
        <w:rPr>
          <w:rFonts w:ascii="宋体" w:hAnsi="宋体" w:cs="宋体" w:eastAsia="宋体" w:hint="default"/>
        </w:rPr>
        <w:t>2018</w:t>
      </w:r>
      <w:r>
        <w:rPr/>
        <w:t>年度日常关联交易预计的议案》，公司全</w:t>
      </w:r>
    </w:p>
    <w:p>
      <w:pPr>
        <w:pStyle w:val="BodyText"/>
        <w:spacing w:line="408" w:lineRule="auto" w:before="19"/>
        <w:ind w:right="1128"/>
        <w:jc w:val="both"/>
      </w:pPr>
      <w:r>
        <w:rPr>
          <w:spacing w:val="-2"/>
        </w:rPr>
        <w:t>资子公司医惠科技有限公司根据其实际经营发展的需要，</w:t>
      </w:r>
      <w:r>
        <w:rPr>
          <w:rFonts w:ascii="宋体" w:hAnsi="宋体" w:cs="宋体" w:eastAsia="宋体" w:hint="default"/>
          <w:spacing w:val="-2"/>
        </w:rPr>
        <w:t>2018</w:t>
      </w:r>
      <w:r>
        <w:rPr>
          <w:spacing w:val="-2"/>
        </w:rPr>
        <w:t>年度预计与关联法人杭州连帆科技有限公司、苏州智康信息科</w:t>
      </w:r>
      <w:r>
        <w:rPr>
          <w:spacing w:val="-61"/>
        </w:rPr>
        <w:t> </w:t>
      </w:r>
      <w:r>
        <w:rPr>
          <w:spacing w:val="-61"/>
        </w:rPr>
      </w:r>
      <w:r>
        <w:rPr>
          <w:spacing w:val="-5"/>
        </w:rPr>
        <w:t>技股份有限公司、杭州健海科技有限公司、天津医康互联科技有限公司、上海泽信软件有限公司发生总额不超过人民币</w:t>
      </w:r>
      <w:r>
        <w:rPr>
          <w:rFonts w:ascii="宋体" w:hAnsi="宋体" w:cs="宋体" w:eastAsia="宋体" w:hint="default"/>
          <w:spacing w:val="-5"/>
        </w:rPr>
        <w:t>10,000</w:t>
      </w:r>
      <w:r>
        <w:rPr>
          <w:rFonts w:ascii="宋体" w:hAnsi="宋体" w:cs="宋体" w:eastAsia="宋体" w:hint="default"/>
          <w:spacing w:val="-60"/>
        </w:rPr>
        <w:t> </w:t>
      </w:r>
      <w:r>
        <w:rPr>
          <w:rFonts w:ascii="宋体" w:hAnsi="宋体" w:cs="宋体" w:eastAsia="宋体" w:hint="default"/>
          <w:spacing w:val="-60"/>
        </w:rPr>
      </w:r>
      <w:r>
        <w:rPr/>
        <w:t>万元的日常关联交易。具体内容详见公司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14</w:t>
      </w:r>
      <w:r>
        <w:rPr/>
        <w:t>日披露在巨潮资讯网站的相关公告。截至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日，公司与以 上关联法人发生的关联交易均在年初预计额度之内。</w:t>
      </w:r>
    </w:p>
    <w:p>
      <w:pPr>
        <w:pStyle w:val="BodyText"/>
        <w:spacing w:line="215" w:lineRule="exact"/>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1"/>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4"/>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0"/>
        <w:gridCol w:w="921"/>
        <w:gridCol w:w="924"/>
        <w:gridCol w:w="1305"/>
        <w:gridCol w:w="1054"/>
        <w:gridCol w:w="1038"/>
        <w:gridCol w:w="1051"/>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3"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3"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4"/>
              <w:jc w:val="left"/>
              <w:rPr>
                <w:rFonts w:ascii="宋体" w:hAnsi="宋体" w:cs="宋体" w:eastAsia="宋体" w:hint="default"/>
                <w:sz w:val="18"/>
                <w:szCs w:val="18"/>
              </w:rPr>
            </w:pPr>
            <w:r>
              <w:rPr>
                <w:rFonts w:ascii="宋体" w:hAnsi="宋体" w:cs="宋体" w:eastAsia="宋体" w:hint="default"/>
                <w:sz w:val="18"/>
                <w:szCs w:val="18"/>
              </w:rPr>
              <w:t>主债务届满 期后两年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4"/>
              <w:jc w:val="left"/>
              <w:rPr>
                <w:rFonts w:ascii="宋体" w:hAnsi="宋体" w:cs="宋体" w:eastAsia="宋体" w:hint="default"/>
                <w:sz w:val="18"/>
                <w:szCs w:val="18"/>
              </w:rPr>
            </w:pPr>
            <w:r>
              <w:rPr>
                <w:rFonts w:ascii="宋体" w:hAnsi="宋体" w:cs="宋体" w:eastAsia="宋体" w:hint="default"/>
                <w:sz w:val="18"/>
                <w:szCs w:val="18"/>
              </w:rPr>
              <w:t>主债务届满 期后两年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6"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399"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4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40" w:bottom="1160" w:left="980" w:right="0"/>
          <w:cols w:num="2" w:equalWidth="0">
            <w:col w:w="1953" w:space="6696"/>
            <w:col w:w="22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4" w:firstLine="360"/>
        <w:jc w:val="both"/>
      </w:pPr>
      <w:r>
        <w:rPr>
          <w:spacing w:val="-2"/>
        </w:rPr>
        <w:t>公司积极履行企业应尽的义务，承担社会责任。公司在不断为股东创造价值的同时，也积极承担对职工、客户、社会等</w:t>
      </w:r>
      <w:r>
        <w:rPr/>
        <w:t> 其他利益相关者的责任。</w:t>
      </w:r>
    </w:p>
    <w:p>
      <w:pPr>
        <w:pStyle w:val="BodyText"/>
        <w:spacing w:line="319" w:lineRule="auto" w:before="59"/>
        <w:ind w:right="1131"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t>式与投资者进行沟通交流，提高了公司的透明度和诚信度。</w:t>
      </w:r>
    </w:p>
    <w:p>
      <w:pPr>
        <w:pStyle w:val="BodyText"/>
        <w:spacing w:line="360" w:lineRule="auto" w:before="55"/>
        <w:ind w:left="513" w:right="1125"/>
        <w:jc w:val="left"/>
      </w:pPr>
      <w:r>
        <w:rPr/>
        <w:t>公司非常重视对投资者的合理回报，制定了相对稳定的利润分配政策和分红方案以回报股东。 </w:t>
      </w:r>
      <w:r>
        <w:rPr>
          <w:spacing w:val="-2"/>
        </w:rPr>
        <w:t>公司严格遵守《劳动法》、《劳动合同法》等相关法律法规，尊重和维护员工的个人权益，切实关注员工健康、安全和</w:t>
      </w:r>
    </w:p>
    <w:p>
      <w:pPr>
        <w:pStyle w:val="BodyText"/>
        <w:spacing w:line="222" w:lineRule="exact"/>
        <w:ind w:right="1133"/>
        <w:jc w:val="left"/>
      </w:pPr>
      <w:r>
        <w:rPr/>
        <w:t>满意度；通过知识技能的理论培训及实践操作技能培训等方式使员工得到切实的提高和发展，维护员工权益。</w:t>
      </w:r>
    </w:p>
    <w:p>
      <w:pPr>
        <w:pStyle w:val="BodyText"/>
        <w:spacing w:line="316" w:lineRule="auto" w:before="117"/>
        <w:ind w:right="1129"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after="0" w:line="316" w:lineRule="auto"/>
        <w:jc w:val="both"/>
        <w:sectPr>
          <w:type w:val="continuous"/>
          <w:pgSz w:w="11910" w:h="16840"/>
          <w:pgMar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本报告期，公司暂未开展精准扶贫工作，也暂无后续精准扶贫计划。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自愿披露</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化学需氧量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500mg/L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0.46t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PH</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悬浮物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废酒精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擦布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0.31t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0.6t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废油墨罐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0.15t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废热熔胶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废电子元件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0.66t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废清洗墨水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委托有资质 单位（立佳 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0.16t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bl>
    <w:p>
      <w:pPr>
        <w:pStyle w:val="BodyText"/>
        <w:spacing w:line="240" w:lineRule="auto" w:before="68"/>
        <w:ind w:right="1133"/>
        <w:jc w:val="left"/>
      </w:pPr>
      <w:r>
        <w:rPr/>
        <w:t>防治污染设施的建设和运行情况</w:t>
      </w:r>
    </w:p>
    <w:p>
      <w:pPr>
        <w:spacing w:after="0" w:line="240" w:lineRule="auto"/>
        <w:jc w:val="left"/>
        <w:sectPr>
          <w:pgSz w:w="11910" w:h="16840"/>
          <w:pgMar w:header="745" w:footer="979" w:top="1040" w:bottom="1160" w:left="980" w:right="0"/>
        </w:sectPr>
      </w:pPr>
    </w:p>
    <w:p>
      <w:pPr>
        <w:spacing w:line="240" w:lineRule="auto" w:before="2"/>
        <w:rPr>
          <w:rFonts w:ascii="宋体" w:hAnsi="宋体" w:cs="宋体" w:eastAsia="宋体" w:hint="default"/>
          <w:sz w:val="24"/>
          <w:szCs w:val="24"/>
        </w:rPr>
      </w:pPr>
    </w:p>
    <w:p>
      <w:pPr>
        <w:pStyle w:val="Heading3"/>
        <w:spacing w:line="240" w:lineRule="auto"/>
        <w:ind w:left="312" w:right="0"/>
        <w:jc w:val="left"/>
      </w:pPr>
      <w:r>
        <w:rPr>
          <w:rFonts w:ascii="Times New Roman" w:hAnsi="Times New Roman" w:cs="Times New Roman" w:eastAsia="Times New Roman" w:hint="default"/>
        </w:rPr>
        <w:t>1</w:t>
      </w:r>
      <w:r>
        <w:rPr/>
        <w:t>、废水</w:t>
      </w:r>
    </w:p>
    <w:tbl>
      <w:tblPr>
        <w:tblW w:w="0" w:type="auto"/>
        <w:jc w:val="left"/>
        <w:tblInd w:w="156" w:type="dxa"/>
        <w:tblLayout w:type="fixed"/>
        <w:tblCellMar>
          <w:top w:w="0" w:type="dxa"/>
          <w:left w:w="0" w:type="dxa"/>
          <w:bottom w:w="0" w:type="dxa"/>
          <w:right w:w="0" w:type="dxa"/>
        </w:tblCellMar>
        <w:tblLook w:val="01E0"/>
      </w:tblPr>
      <w:tblGrid>
        <w:gridCol w:w="2295"/>
        <w:gridCol w:w="1911"/>
        <w:gridCol w:w="1908"/>
        <w:gridCol w:w="1911"/>
        <w:gridCol w:w="1911"/>
      </w:tblGrid>
      <w:tr>
        <w:trPr>
          <w:trHeight w:val="348"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防治污染设施名称</w:t>
            </w:r>
            <w:r>
              <w:rPr>
                <w:rFonts w:ascii="宋体" w:hAnsi="宋体" w:cs="宋体" w:eastAsia="宋体" w:hint="default"/>
                <w:sz w:val="18"/>
                <w:szCs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6" w:right="0"/>
              <w:jc w:val="left"/>
              <w:rPr>
                <w:rFonts w:ascii="宋体" w:hAnsi="宋体" w:cs="宋体" w:eastAsia="宋体" w:hint="default"/>
                <w:sz w:val="18"/>
                <w:szCs w:val="18"/>
              </w:rPr>
            </w:pPr>
            <w:r>
              <w:rPr>
                <w:rFonts w:ascii="宋体" w:hAnsi="宋体" w:cs="宋体" w:eastAsia="宋体" w:hint="default"/>
                <w:b/>
                <w:bCs/>
                <w:sz w:val="18"/>
                <w:szCs w:val="18"/>
              </w:rPr>
              <w:t>处理工艺</w:t>
            </w:r>
            <w:r>
              <w:rPr>
                <w:rFonts w:ascii="宋体" w:hAnsi="宋体" w:cs="宋体" w:eastAsia="宋体" w:hint="default"/>
                <w:sz w:val="18"/>
                <w:szCs w:val="18"/>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4"/>
              <w:jc w:val="right"/>
              <w:rPr>
                <w:rFonts w:ascii="宋体" w:hAnsi="宋体" w:cs="宋体" w:eastAsia="宋体" w:hint="default"/>
                <w:sz w:val="18"/>
                <w:szCs w:val="18"/>
              </w:rPr>
            </w:pPr>
            <w:r>
              <w:rPr>
                <w:rFonts w:ascii="宋体" w:hAnsi="宋体" w:cs="宋体" w:eastAsia="宋体" w:hint="default"/>
                <w:b/>
                <w:bCs/>
                <w:w w:val="95"/>
                <w:sz w:val="18"/>
                <w:szCs w:val="18"/>
              </w:rPr>
              <w:t>处理能力</w:t>
            </w:r>
            <w:r>
              <w:rPr>
                <w:rFonts w:ascii="宋体" w:hAnsi="宋体" w:cs="宋体" w:eastAsia="宋体" w:hint="default"/>
                <w:sz w:val="18"/>
                <w:szCs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运行时间</w:t>
            </w:r>
            <w:r>
              <w:rPr>
                <w:rFonts w:ascii="宋体" w:hAnsi="宋体" w:cs="宋体" w:eastAsia="宋体" w:hint="default"/>
                <w:sz w:val="18"/>
                <w:szCs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运行状态</w:t>
            </w:r>
            <w:r>
              <w:rPr>
                <w:rFonts w:ascii="宋体" w:hAnsi="宋体" w:cs="宋体" w:eastAsia="宋体" w:hint="default"/>
                <w:sz w:val="18"/>
                <w:szCs w:val="18"/>
              </w:rPr>
            </w:r>
          </w:p>
        </w:tc>
      </w:tr>
      <w:tr>
        <w:trPr>
          <w:trHeight w:val="34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酸碱废水</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8" w:right="0"/>
              <w:jc w:val="left"/>
              <w:rPr>
                <w:rFonts w:ascii="宋体" w:hAnsi="宋体" w:cs="宋体" w:eastAsia="宋体" w:hint="default"/>
                <w:sz w:val="18"/>
                <w:szCs w:val="18"/>
              </w:rPr>
            </w:pPr>
            <w:r>
              <w:rPr>
                <w:rFonts w:ascii="宋体" w:hAnsi="宋体" w:cs="宋体" w:eastAsia="宋体" w:hint="default"/>
                <w:sz w:val="18"/>
                <w:szCs w:val="18"/>
              </w:rPr>
              <w:t>酸碱中和</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47"/>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正常运行</w:t>
            </w:r>
          </w:p>
        </w:tc>
      </w:tr>
    </w:tbl>
    <w:p>
      <w:pPr>
        <w:spacing w:line="240" w:lineRule="auto" w:before="5"/>
        <w:rPr>
          <w:rFonts w:ascii="宋体" w:hAnsi="宋体" w:cs="宋体" w:eastAsia="宋体" w:hint="default"/>
          <w:sz w:val="20"/>
          <w:szCs w:val="20"/>
        </w:rPr>
      </w:pPr>
    </w:p>
    <w:p>
      <w:pPr>
        <w:pStyle w:val="Heading3"/>
        <w:spacing w:line="240" w:lineRule="auto"/>
        <w:ind w:left="312" w:right="0"/>
        <w:jc w:val="left"/>
      </w:pPr>
      <w:r>
        <w:rPr>
          <w:rFonts w:ascii="Times New Roman" w:hAnsi="Times New Roman" w:cs="Times New Roman" w:eastAsia="Times New Roman" w:hint="default"/>
        </w:rPr>
        <w:t>2</w:t>
      </w:r>
      <w:r>
        <w:rPr/>
        <w:t>、固体废弃物</w:t>
      </w:r>
    </w:p>
    <w:tbl>
      <w:tblPr>
        <w:tblW w:w="0" w:type="auto"/>
        <w:jc w:val="left"/>
        <w:tblInd w:w="111" w:type="dxa"/>
        <w:tblLayout w:type="fixed"/>
        <w:tblCellMar>
          <w:top w:w="0" w:type="dxa"/>
          <w:left w:w="0" w:type="dxa"/>
          <w:bottom w:w="0" w:type="dxa"/>
          <w:right w:w="0" w:type="dxa"/>
        </w:tblCellMar>
        <w:tblLook w:val="01E0"/>
      </w:tblPr>
      <w:tblGrid>
        <w:gridCol w:w="2518"/>
        <w:gridCol w:w="1534"/>
        <w:gridCol w:w="1532"/>
        <w:gridCol w:w="1536"/>
        <w:gridCol w:w="2910"/>
      </w:tblGrid>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防治污染设施名称</w:t>
            </w:r>
            <w:r>
              <w:rPr>
                <w:rFonts w:ascii="宋体" w:hAnsi="宋体" w:cs="宋体" w:eastAsia="宋体" w:hint="default"/>
                <w:sz w:val="18"/>
                <w:szCs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处理工艺</w:t>
            </w:r>
            <w:r>
              <w:rPr>
                <w:rFonts w:ascii="宋体" w:hAnsi="宋体" w:cs="宋体" w:eastAsia="宋体" w:hint="default"/>
                <w:sz w:val="18"/>
                <w:szCs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处理能力</w:t>
            </w:r>
            <w:r>
              <w:rPr>
                <w:rFonts w:ascii="宋体" w:hAnsi="宋体" w:cs="宋体" w:eastAsia="宋体" w:hint="default"/>
                <w:sz w:val="18"/>
                <w:szCs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运行时间</w:t>
            </w:r>
            <w:r>
              <w:rPr>
                <w:rFonts w:ascii="宋体" w:hAnsi="宋体" w:cs="宋体" w:eastAsia="宋体" w:hint="default"/>
                <w:sz w:val="18"/>
                <w:szCs w:val="18"/>
              </w:rPr>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运行状态</w:t>
            </w:r>
            <w:r>
              <w:rPr>
                <w:rFonts w:ascii="宋体" w:hAnsi="宋体" w:cs="宋体" w:eastAsia="宋体" w:hint="default"/>
                <w:sz w:val="18"/>
                <w:szCs w:val="18"/>
              </w:rPr>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9"/>
              <w:jc w:val="center"/>
              <w:rPr>
                <w:rFonts w:ascii="宋体" w:hAnsi="宋体" w:cs="宋体" w:eastAsia="宋体" w:hint="default"/>
                <w:sz w:val="18"/>
                <w:szCs w:val="18"/>
              </w:rPr>
            </w:pPr>
            <w:r>
              <w:rPr>
                <w:rFonts w:ascii="宋体" w:hAnsi="宋体" w:cs="宋体" w:eastAsia="宋体" w:hint="default"/>
                <w:sz w:val="18"/>
                <w:szCs w:val="18"/>
              </w:rPr>
              <w:t>危险废物暂存仓库（思创医惠）</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规范储存</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2"/>
                <w:szCs w:val="12"/>
              </w:rPr>
            </w:pPr>
            <w:r>
              <w:rPr>
                <w:rFonts w:ascii="Times New Roman"/>
                <w:sz w:val="18"/>
              </w:rPr>
              <w:t>100m</w:t>
            </w:r>
            <w:r>
              <w:rPr>
                <w:rFonts w:ascii="Times New Roman"/>
                <w:position w:val="8"/>
                <w:sz w:val="12"/>
              </w:rPr>
              <w:t>2</w:t>
            </w:r>
            <w:r>
              <w:rPr>
                <w:rFonts w:ascii="Times New Roman"/>
                <w:sz w:val="1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规范储存，委托有资质单位合法处置</w:t>
            </w:r>
          </w:p>
        </w:tc>
      </w:tr>
      <w:tr>
        <w:trPr>
          <w:trHeight w:val="65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02" w:right="0" w:hanging="800"/>
              <w:jc w:val="left"/>
              <w:rPr>
                <w:rFonts w:ascii="宋体" w:hAnsi="宋体" w:cs="宋体" w:eastAsia="宋体" w:hint="default"/>
                <w:sz w:val="18"/>
                <w:szCs w:val="18"/>
              </w:rPr>
            </w:pPr>
            <w:r>
              <w:rPr>
                <w:rFonts w:ascii="宋体" w:hAnsi="宋体" w:cs="宋体" w:eastAsia="宋体" w:hint="default"/>
                <w:spacing w:val="-2"/>
                <w:sz w:val="18"/>
                <w:szCs w:val="18"/>
              </w:rPr>
              <w:t>危险废物暂存仓库（思创汇联和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思越科技）</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规范储存</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8"/>
              </w:rPr>
              <w:t>25m</w:t>
            </w:r>
            <w:r>
              <w:rPr>
                <w:rFonts w:ascii="Times New Roman"/>
                <w:position w:val="8"/>
                <w:sz w:val="12"/>
              </w:rPr>
              <w:t>2</w:t>
            </w:r>
            <w:r>
              <w:rPr>
                <w:rFonts w:ascii="Times New Roman"/>
                <w:sz w:val="1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规范储存，委托有资质单位合法处置</w:t>
            </w:r>
          </w:p>
        </w:tc>
      </w:tr>
    </w:tbl>
    <w:p>
      <w:pPr>
        <w:spacing w:line="240" w:lineRule="auto" w:before="9"/>
        <w:rPr>
          <w:rFonts w:ascii="宋体" w:hAnsi="宋体" w:cs="宋体" w:eastAsia="宋体" w:hint="default"/>
          <w:sz w:val="25"/>
          <w:szCs w:val="25"/>
        </w:rPr>
      </w:pPr>
    </w:p>
    <w:p>
      <w:pPr>
        <w:pStyle w:val="BodyText"/>
        <w:spacing w:line="360" w:lineRule="auto" w:before="44"/>
        <w:ind w:left="312" w:right="9314"/>
        <w:jc w:val="left"/>
      </w:pPr>
      <w:r>
        <w:rPr/>
        <w:t>其他环保相关信息 不适用</w:t>
      </w:r>
    </w:p>
    <w:p>
      <w:pPr>
        <w:spacing w:line="240" w:lineRule="auto" w:before="5"/>
        <w:rPr>
          <w:rFonts w:ascii="宋体" w:hAnsi="宋体" w:cs="宋体" w:eastAsia="宋体" w:hint="default"/>
          <w:sz w:val="18"/>
          <w:szCs w:val="18"/>
        </w:rPr>
      </w:pPr>
    </w:p>
    <w:p>
      <w:pPr>
        <w:pStyle w:val="Heading2"/>
        <w:spacing w:line="240" w:lineRule="auto"/>
        <w:ind w:left="312" w:right="0"/>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2"/>
          <w:szCs w:val="12"/>
        </w:rPr>
      </w:pPr>
    </w:p>
    <w:p>
      <w:pPr>
        <w:pStyle w:val="Heading5"/>
        <w:spacing w:line="336" w:lineRule="auto" w:before="0"/>
        <w:ind w:left="312"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日，经公司第四届董事会第七次会议、第四届监事会第五次会议审议通过，公司对外发</w:t>
      </w:r>
      <w:r>
        <w:rPr>
          <w:w w:val="100"/>
        </w:rPr>
        <w:t> </w:t>
      </w:r>
      <w:r>
        <w:rPr>
          <w:spacing w:val="-2"/>
        </w:rPr>
        <w:t>布《</w:t>
      </w:r>
      <w:r>
        <w:rPr>
          <w:rFonts w:ascii="Times New Roman" w:hAnsi="Times New Roman" w:cs="Times New Roman" w:eastAsia="Times New Roman" w:hint="default"/>
          <w:spacing w:val="-2"/>
        </w:rPr>
        <w:t>2018</w:t>
      </w:r>
      <w:r>
        <w:rPr>
          <w:spacing w:val="-2"/>
        </w:rPr>
        <w:t>年度非公开发行</w:t>
      </w:r>
      <w:r>
        <w:rPr>
          <w:rFonts w:ascii="Times New Roman" w:hAnsi="Times New Roman" w:cs="Times New Roman" w:eastAsia="Times New Roman" w:hint="default"/>
          <w:spacing w:val="-2"/>
        </w:rPr>
        <w:t>A</w:t>
      </w:r>
      <w:r>
        <w:rPr>
          <w:spacing w:val="-2"/>
        </w:rPr>
        <w:t>股股票预案》及相关材料，拟非公开发行股份不超过本次发行前上市公司总股</w:t>
      </w:r>
      <w:r>
        <w:rPr>
          <w:spacing w:val="-17"/>
        </w:rPr>
        <w:t> </w:t>
      </w:r>
      <w:r>
        <w:rPr>
          <w:spacing w:val="-17"/>
        </w:rPr>
      </w:r>
      <w:r>
        <w:rPr>
          <w:spacing w:val="-2"/>
        </w:rPr>
        <w:t>本</w:t>
      </w:r>
      <w:r>
        <w:rPr>
          <w:rFonts w:ascii="Times New Roman" w:hAnsi="Times New Roman" w:cs="Times New Roman" w:eastAsia="Times New Roman" w:hint="default"/>
          <w:spacing w:val="-2"/>
        </w:rPr>
        <w:t>807,885,334</w:t>
      </w:r>
      <w:r>
        <w:rPr>
          <w:spacing w:val="-2"/>
        </w:rPr>
        <w:t>股的</w:t>
      </w:r>
      <w:r>
        <w:rPr>
          <w:rFonts w:ascii="Times New Roman" w:hAnsi="Times New Roman" w:cs="Times New Roman" w:eastAsia="Times New Roman" w:hint="default"/>
          <w:spacing w:val="-2"/>
        </w:rPr>
        <w:t>20%</w:t>
      </w:r>
      <w:r>
        <w:rPr>
          <w:spacing w:val="-2"/>
        </w:rPr>
        <w:t>，即</w:t>
      </w:r>
      <w:r>
        <w:rPr>
          <w:rFonts w:ascii="Times New Roman" w:hAnsi="Times New Roman" w:cs="Times New Roman" w:eastAsia="Times New Roman" w:hint="default"/>
          <w:spacing w:val="-2"/>
        </w:rPr>
        <w:t>16,157.70</w:t>
      </w:r>
      <w:r>
        <w:rPr>
          <w:spacing w:val="-2"/>
        </w:rPr>
        <w:t>万股（含本数），募集资金不超过</w:t>
      </w:r>
      <w:r>
        <w:rPr>
          <w:rFonts w:ascii="Times New Roman" w:hAnsi="Times New Roman" w:cs="Times New Roman" w:eastAsia="Times New Roman" w:hint="default"/>
          <w:spacing w:val="-2"/>
        </w:rPr>
        <w:t>8.5</w:t>
      </w:r>
      <w:r>
        <w:rPr>
          <w:spacing w:val="-2"/>
        </w:rPr>
        <w:t>亿元投资建设物联网智慧医疗溯</w:t>
      </w:r>
      <w:r>
        <w:rPr>
          <w:spacing w:val="-37"/>
        </w:rPr>
        <w:t> </w:t>
      </w:r>
      <w:r>
        <w:rPr>
          <w:spacing w:val="-37"/>
        </w:rPr>
      </w:r>
      <w:r>
        <w:rPr/>
        <w:t>源管理项目、医疗大数据应用研发中心及补充流动资金。公司已于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日对外披露了《关于思创</w:t>
      </w:r>
      <w:r>
        <w:rPr>
          <w:w w:val="100"/>
        </w:rPr>
        <w:t> </w:t>
      </w:r>
      <w:r>
        <w:rPr>
          <w:spacing w:val="-2"/>
        </w:rPr>
        <w:t>医惠科技股份有限公司创业板非公开发行股票申请文件反馈意见的回复》。截至本年度报告披露日，本次</w:t>
      </w:r>
      <w:r>
        <w:rPr>
          <w:spacing w:val="-42"/>
        </w:rPr>
        <w:t> </w:t>
      </w:r>
      <w:r>
        <w:rPr>
          <w:spacing w:val="-42"/>
        </w:rPr>
      </w:r>
      <w:r>
        <w:rPr>
          <w:spacing w:val="-2"/>
        </w:rPr>
        <w:t>非公开发行事项尚未获得中国证监会批准通过，公司将根据中国证监会对该事项的审核进展情况，及时履</w:t>
      </w:r>
      <w:r>
        <w:rPr>
          <w:spacing w:val="-44"/>
        </w:rPr>
        <w:t> </w:t>
      </w:r>
      <w:r>
        <w:rPr>
          <w:spacing w:val="-44"/>
        </w:rPr>
      </w:r>
      <w:r>
        <w:rPr/>
        <w:t>行信息披露义务。</w:t>
      </w:r>
    </w:p>
    <w:p>
      <w:pPr>
        <w:spacing w:line="240" w:lineRule="auto" w:before="8"/>
        <w:rPr>
          <w:rFonts w:ascii="宋体" w:hAnsi="宋体" w:cs="宋体" w:eastAsia="宋体" w:hint="default"/>
          <w:sz w:val="17"/>
          <w:szCs w:val="17"/>
        </w:rPr>
      </w:pPr>
    </w:p>
    <w:p>
      <w:pPr>
        <w:pStyle w:val="Heading2"/>
        <w:spacing w:line="240" w:lineRule="auto"/>
        <w:ind w:left="312" w:right="0"/>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2"/>
          <w:szCs w:val="12"/>
        </w:rPr>
      </w:pPr>
    </w:p>
    <w:p>
      <w:pPr>
        <w:pStyle w:val="Heading5"/>
        <w:spacing w:line="331" w:lineRule="auto" w:before="0"/>
        <w:ind w:left="312" w:right="1126"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26</w:t>
      </w:r>
      <w:r>
        <w:rPr>
          <w:spacing w:val="-3"/>
        </w:rPr>
        <w:t>日，公司对外披露《关于竞拍取得国有土地使用权的公告》（公告编号：</w:t>
      </w:r>
      <w:r>
        <w:rPr>
          <w:rFonts w:ascii="Times New Roman" w:hAnsi="Times New Roman" w:cs="Times New Roman" w:eastAsia="Times New Roman" w:hint="default"/>
          <w:spacing w:val="-3"/>
        </w:rPr>
        <w:t>2018-029</w:t>
      </w:r>
      <w:r>
        <w:rPr>
          <w:spacing w:val="-3"/>
        </w:rPr>
        <w:t>），公</w:t>
      </w:r>
      <w:r>
        <w:rPr>
          <w:w w:val="100"/>
        </w:rPr>
        <w:t> </w:t>
      </w:r>
      <w:r>
        <w:rPr>
          <w:spacing w:val="-3"/>
        </w:rPr>
        <w:t>司全资子公司医惠科技参加了杭州市国有建设用地使用权挂牌出让活动，以</w:t>
      </w:r>
      <w:r>
        <w:rPr>
          <w:rFonts w:ascii="Times New Roman" w:hAnsi="Times New Roman" w:cs="Times New Roman" w:eastAsia="Times New Roman" w:hint="default"/>
          <w:spacing w:val="-3"/>
        </w:rPr>
        <w:t>1,686</w:t>
      </w:r>
      <w:r>
        <w:rPr>
          <w:spacing w:val="-3"/>
        </w:rPr>
        <w:t>万元人民币竞得了杭政工</w:t>
      </w:r>
      <w:r>
        <w:rPr>
          <w:spacing w:val="-44"/>
        </w:rPr>
        <w:t> </w:t>
      </w:r>
      <w:r>
        <w:rPr>
          <w:spacing w:val="-44"/>
        </w:rPr>
      </w:r>
      <w:r>
        <w:rPr>
          <w:spacing w:val="-3"/>
        </w:rPr>
        <w:t>出</w:t>
      </w:r>
      <w:r>
        <w:rPr>
          <w:rFonts w:ascii="Times New Roman" w:hAnsi="Times New Roman" w:cs="Times New Roman" w:eastAsia="Times New Roman" w:hint="default"/>
          <w:spacing w:val="-3"/>
        </w:rPr>
        <w:t>[2018]5</w:t>
      </w:r>
      <w:r>
        <w:rPr>
          <w:spacing w:val="-3"/>
        </w:rPr>
        <w:t>号土地使用权，并取得了《挂牌竞买成交确认书》，确认医惠科技为前述国有土地使用权的竞得</w:t>
      </w:r>
      <w:r>
        <w:rPr>
          <w:spacing w:val="-20"/>
        </w:rPr>
        <w:t> </w:t>
      </w:r>
      <w:r>
        <w:rPr>
          <w:spacing w:val="-20"/>
        </w:rPr>
      </w:r>
      <w:r>
        <w:rPr/>
        <w:t>人。</w:t>
      </w:r>
    </w:p>
    <w:p>
      <w:pPr>
        <w:pStyle w:val="Heading5"/>
        <w:spacing w:line="240" w:lineRule="auto" w:before="43"/>
        <w:ind w:left="73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日，公司对外披露《关于全资子公司签署国有土地使用权出让合同的公告》（公告编号：</w:t>
      </w:r>
    </w:p>
    <w:p>
      <w:pPr>
        <w:pStyle w:val="Heading5"/>
        <w:spacing w:line="331" w:lineRule="auto" w:before="110"/>
        <w:ind w:left="312" w:right="0"/>
        <w:jc w:val="left"/>
      </w:pPr>
      <w:r>
        <w:rPr>
          <w:rFonts w:ascii="Times New Roman" w:hAnsi="Times New Roman" w:cs="Times New Roman" w:eastAsia="Times New Roman" w:hint="default"/>
          <w:spacing w:val="-2"/>
        </w:rPr>
        <w:t>2018-037</w:t>
      </w:r>
      <w:r>
        <w:rPr>
          <w:spacing w:val="-2"/>
        </w:rPr>
        <w:t>），根据前述成交确认书的有关约定，在完成了必要的程序之后，公司已安排全资子公司医惠科</w:t>
      </w:r>
      <w:r>
        <w:rPr>
          <w:spacing w:val="-11"/>
        </w:rPr>
        <w:t> </w:t>
      </w:r>
      <w:r>
        <w:rPr>
          <w:spacing w:val="-11"/>
        </w:rPr>
      </w:r>
      <w:r>
        <w:rPr/>
        <w:t>技与杭州市国土资源局签署《国有建设用地使用权出让合同》。</w:t>
      </w:r>
    </w:p>
    <w:p>
      <w:pPr>
        <w:spacing w:after="0" w:line="331" w:lineRule="auto"/>
        <w:jc w:val="left"/>
        <w:sectPr>
          <w:pgSz w:w="11910" w:h="16840"/>
          <w:pgMar w:header="745" w:footer="979" w:top="1040" w:bottom="1160" w:left="8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133"/>
        <w:gridCol w:w="746"/>
        <w:gridCol w:w="624"/>
        <w:gridCol w:w="624"/>
        <w:gridCol w:w="629"/>
        <w:gridCol w:w="1078"/>
        <w:gridCol w:w="1100"/>
        <w:gridCol w:w="1010"/>
        <w:gridCol w:w="727"/>
      </w:tblGrid>
      <w:tr>
        <w:trPr>
          <w:trHeight w:val="40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889" w:type="dxa"/>
            <w:vMerge w:val="restart"/>
            <w:tcBorders>
              <w:top w:val="nil" w:sz="6" w:space="0" w:color="auto"/>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18" w:right="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32" w:right="36"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24" w:type="dxa"/>
            <w:vMerge/>
            <w:tcBorders>
              <w:left w:val="single" w:sz="4" w:space="0" w:color="000000"/>
              <w:right w:val="single" w:sz="4" w:space="0" w:color="000000"/>
            </w:tcBorders>
            <w:shd w:val="clear" w:color="auto" w:fill="D2D2D2"/>
          </w:tcPr>
          <w:p>
            <w:pPr/>
          </w:p>
        </w:tc>
        <w:tc>
          <w:tcPr>
            <w:tcW w:w="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29" w:type="dxa"/>
            <w:vMerge/>
            <w:tcBorders>
              <w:left w:val="single" w:sz="4" w:space="0" w:color="000000"/>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624"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vMerge/>
            <w:tcBorders>
              <w:left w:val="single" w:sz="4" w:space="0" w:color="000000"/>
              <w:bottom w:val="single" w:sz="4" w:space="0" w:color="000000"/>
              <w:right w:val="single" w:sz="4" w:space="0" w:color="000000"/>
            </w:tcBorders>
            <w:shd w:val="clear" w:color="auto" w:fill="D2D2D2"/>
          </w:tcPr>
          <w:p>
            <w:pPr/>
          </w:p>
        </w:tc>
        <w:tc>
          <w:tcPr>
            <w:tcW w:w="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313,931,989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-142,424,106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-142,424,106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171,507,883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313,931,989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38.86%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-142,424,106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-142,424,106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171,507,883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137,681,547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-2,669,678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-2,669,678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135,011,869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176,250,442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-139,754,428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-139,754,428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36,496,014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493,953,345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142,424,106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142,424,106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636,377,451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78.77%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493,953,345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142,424,106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142,424,106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636,377,451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807,885,334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807,885,334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15"/>
          <w:szCs w:val="15"/>
        </w:rPr>
      </w:pPr>
    </w:p>
    <w:p>
      <w:pPr>
        <w:pStyle w:val="BodyText"/>
        <w:spacing w:line="240" w:lineRule="auto"/>
        <w:ind w:left="513" w:right="1133"/>
        <w:jc w:val="left"/>
      </w:pPr>
      <w:r>
        <w:rPr>
          <w:rFonts w:ascii="Times New Roman" w:hAnsi="Times New Roman" w:cs="Times New Roman" w:eastAsia="Times New Roman" w:hint="default"/>
        </w:rPr>
        <w:t>1</w:t>
      </w:r>
      <w:r>
        <w:rPr/>
        <w:t>、每年的第一个交易日，董监高股份按照其上年末持有股份数量</w:t>
      </w:r>
      <w:r>
        <w:rPr>
          <w:rFonts w:ascii="Times New Roman" w:hAnsi="Times New Roman" w:cs="Times New Roman" w:eastAsia="Times New Roman" w:hint="default"/>
        </w:rPr>
        <w:t>75%</w:t>
      </w:r>
      <w:r>
        <w:rPr/>
        <w:t>予以锁定。</w:t>
      </w:r>
    </w:p>
    <w:p>
      <w:pPr>
        <w:pStyle w:val="BodyText"/>
        <w:spacing w:line="393" w:lineRule="auto" w:before="149"/>
        <w:ind w:right="1129" w:firstLine="360"/>
        <w:jc w:val="both"/>
      </w:pPr>
      <w:r>
        <w:rPr>
          <w:rFonts w:ascii="Times New Roman" w:hAnsi="Times New Roman" w:cs="Times New Roman" w:eastAsia="Times New Roman" w:hint="default"/>
          <w:spacing w:val="-2"/>
        </w:rPr>
        <w:t>2</w:t>
      </w:r>
      <w:r>
        <w:rPr>
          <w:spacing w:val="-2"/>
        </w:rPr>
        <w:t>、根据公司法人股东杭州博泰投资管理有限公司于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日公司首次公开发行所作出的承诺，自公司股票上市之</w:t>
      </w:r>
      <w:r>
        <w:rPr/>
        <w:t> </w:t>
      </w:r>
      <w:r>
        <w:rPr>
          <w:spacing w:val="-2"/>
        </w:rPr>
        <w:t>日起三十六个月内，不转让或者委托他人管理其已直接或间接持有的公司股份，也不由公司回购该部分股份。承诺每年转让</w:t>
      </w:r>
      <w:r>
        <w:rPr>
          <w:spacing w:val="-63"/>
        </w:rPr>
        <w:t> </w:t>
      </w:r>
      <w:r>
        <w:rPr>
          <w:spacing w:val="-63"/>
        </w:rPr>
      </w:r>
      <w:r>
        <w:rPr>
          <w:spacing w:val="-1"/>
        </w:rPr>
        <w:t>的股份不超过所持有公司股份总数的</w:t>
      </w:r>
      <w:r>
        <w:rPr>
          <w:rFonts w:ascii="Times New Roman" w:hAnsi="Times New Roman" w:cs="Times New Roman" w:eastAsia="Times New Roman" w:hint="default"/>
          <w:spacing w:val="-1"/>
        </w:rPr>
        <w:t>25%</w:t>
      </w:r>
      <w:r>
        <w:rPr>
          <w:spacing w:val="-1"/>
        </w:rPr>
        <w:t>。报告期内，公司向深圳证券交易所提出申请，经交易所批准后，其所持有的公司</w:t>
      </w:r>
      <w:r>
        <w:rPr/>
        <w:t> 首次公开发行前已发行股份</w:t>
      </w:r>
      <w:r>
        <w:rPr>
          <w:rFonts w:ascii="Times New Roman" w:hAnsi="Times New Roman" w:cs="Times New Roman" w:eastAsia="Times New Roman" w:hint="default"/>
        </w:rPr>
        <w:t>2,669,678</w:t>
      </w:r>
      <w:r>
        <w:rPr/>
        <w:t>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日起开始上市流通。</w:t>
      </w:r>
    </w:p>
    <w:p>
      <w:pPr>
        <w:pStyle w:val="BodyText"/>
        <w:spacing w:line="386" w:lineRule="auto" w:before="24"/>
        <w:ind w:right="1126" w:firstLine="36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、根据公司自然人股东章笠中先生、彭军先生、何国平先生、郑凌峻女士于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27</w:t>
      </w:r>
      <w:r>
        <w:rPr/>
        <w:t>日与中瑞思创签署的关于医 </w:t>
      </w:r>
      <w:r>
        <w:rPr>
          <w:spacing w:val="-2"/>
        </w:rPr>
        <w:t>惠科技有限公司之《股权转让合同》中作出承诺，因本次交易所受让的中瑞思创股份自变更登记到其名下之日（即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07</w:t>
      </w:r>
      <w:r>
        <w:rPr>
          <w:rFonts w:ascii="Times New Roman" w:hAnsi="Times New Roman" w:cs="Times New Roman" w:eastAsia="Times New Roman" w:hint="default"/>
        </w:rPr>
      </w:r>
    </w:p>
    <w:p>
      <w:pPr>
        <w:spacing w:after="0" w:line="386" w:lineRule="auto"/>
        <w:jc w:val="both"/>
        <w:rPr>
          <w:rFonts w:ascii="Times New Roman" w:hAnsi="Times New Roman" w:cs="Times New Roman" w:eastAsia="Times New Roman" w:hint="default"/>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BodyText"/>
        <w:spacing w:line="386" w:lineRule="auto" w:before="44"/>
        <w:ind w:right="1133"/>
        <w:jc w:val="left"/>
      </w:pPr>
      <w:r>
        <w:rPr>
          <w:spacing w:val="-2"/>
        </w:rPr>
        <w:t>月</w:t>
      </w:r>
      <w:r>
        <w:rPr>
          <w:rFonts w:ascii="Times New Roman" w:hAnsi="Times New Roman" w:cs="Times New Roman" w:eastAsia="Times New Roman" w:hint="default"/>
          <w:spacing w:val="-2"/>
        </w:rPr>
        <w:t>17</w:t>
      </w:r>
      <w:r>
        <w:rPr>
          <w:spacing w:val="-2"/>
        </w:rPr>
        <w:t>日）起</w:t>
      </w:r>
      <w:r>
        <w:rPr>
          <w:rFonts w:ascii="Times New Roman" w:hAnsi="Times New Roman" w:cs="Times New Roman" w:eastAsia="Times New Roman" w:hint="default"/>
          <w:spacing w:val="-2"/>
        </w:rPr>
        <w:t>36</w:t>
      </w:r>
      <w:r>
        <w:rPr>
          <w:spacing w:val="-2"/>
        </w:rPr>
        <w:t>个月内不得转让。报告期内，上述股东的锁定期已届满，公司向深圳证券交易所提出申请，经交易所批准后该</w:t>
      </w:r>
      <w:r>
        <w:rPr>
          <w:spacing w:val="-66"/>
        </w:rPr>
        <w:t> </w:t>
      </w:r>
      <w:r>
        <w:rPr>
          <w:spacing w:val="-66"/>
        </w:rPr>
      </w:r>
      <w:r>
        <w:rPr/>
        <w:t>部分股票于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日起开始上市流通。</w:t>
      </w:r>
    </w:p>
    <w:p>
      <w:pPr>
        <w:pStyle w:val="BodyText"/>
        <w:spacing w:line="386" w:lineRule="auto" w:before="27"/>
        <w:ind w:right="1042" w:firstLine="360"/>
        <w:jc w:val="both"/>
      </w:pPr>
      <w:r>
        <w:rPr>
          <w:rFonts w:ascii="Times New Roman" w:hAnsi="Times New Roman" w:cs="Times New Roman" w:eastAsia="Times New Roman" w:hint="default"/>
          <w:spacing w:val="-2"/>
        </w:rPr>
        <w:t>4</w:t>
      </w:r>
      <w:r>
        <w:rPr>
          <w:spacing w:val="-2"/>
        </w:rPr>
        <w:t>、原公司董事路楠先生、商巍先生、张佶先生于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月换届离任。根据相关规定，路楠先生、商巍先生、张佶先生</w:t>
      </w:r>
      <w:r>
        <w:rPr/>
        <w:t> </w:t>
      </w:r>
      <w:r>
        <w:rPr>
          <w:spacing w:val="-4"/>
        </w:rPr>
        <w:t>持有的公司股份自申报离任日起六个月内全部锁定。报告期内，以上董事的锁定期已届满，其所持的公司股份全部解除锁定。</w:t>
      </w:r>
    </w:p>
    <w:p>
      <w:pPr>
        <w:pStyle w:val="BodyText"/>
        <w:spacing w:line="393" w:lineRule="auto" w:before="55"/>
        <w:ind w:right="1129" w:firstLine="360"/>
        <w:jc w:val="both"/>
      </w:pPr>
      <w:r>
        <w:rPr>
          <w:rFonts w:ascii="Times New Roman" w:hAnsi="Times New Roman" w:cs="Times New Roman" w:eastAsia="Times New Roman" w:hint="default"/>
        </w:rPr>
        <w:t>5</w:t>
      </w:r>
      <w:r>
        <w:rPr/>
        <w:t>、原公司监事寿瑾华女士于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日通过集中竞价交易方式买入公司股份，于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日办理离职申请，根据 </w:t>
      </w:r>
      <w:r>
        <w:rPr>
          <w:spacing w:val="-2"/>
        </w:rPr>
        <w:t>相关规定，寿瑾华女士所持有的股份自其申报离任日起六个月内全部锁定，且在其就任时确定的任期内及任期届满后六个月</w:t>
      </w:r>
      <w:r>
        <w:rPr>
          <w:spacing w:val="-64"/>
        </w:rPr>
        <w:t> </w:t>
      </w:r>
      <w:r>
        <w:rPr>
          <w:spacing w:val="-64"/>
        </w:rPr>
      </w:r>
      <w:r>
        <w:rPr>
          <w:spacing w:val="-1"/>
        </w:rPr>
        <w:t>内，每年转让股份不超过其所持有本公司股份总数的</w:t>
      </w:r>
      <w:r>
        <w:rPr>
          <w:rFonts w:ascii="Times New Roman" w:hAnsi="Times New Roman" w:cs="Times New Roman" w:eastAsia="Times New Roman" w:hint="default"/>
          <w:spacing w:val="-1"/>
        </w:rPr>
        <w:t>25%</w:t>
      </w:r>
      <w:r>
        <w:rPr>
          <w:spacing w:val="-1"/>
        </w:rPr>
        <w:t>。报告期内，寿瑾华女士的锁定期已届满，其所持的公司股份全部</w:t>
      </w:r>
      <w:r>
        <w:rPr>
          <w:spacing w:val="-88"/>
        </w:rPr>
        <w:t> </w:t>
      </w:r>
      <w:r>
        <w:rPr>
          <w:spacing w:val="-88"/>
        </w:rPr>
      </w:r>
      <w:r>
        <w:rPr/>
        <w:t>解除锁定。</w:t>
      </w:r>
    </w:p>
    <w:p>
      <w:pPr>
        <w:pStyle w:val="BodyText"/>
        <w:spacing w:line="223" w:lineRule="exact"/>
        <w:ind w:right="1133"/>
        <w:jc w:val="left"/>
      </w:pPr>
      <w:r>
        <w:rPr/>
        <w:t>股份变动的批准情况</w:t>
      </w:r>
    </w:p>
    <w:p>
      <w:pPr>
        <w:pStyle w:val="BodyText"/>
        <w:spacing w:line="338" w:lineRule="auto" w:before="118"/>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22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24"/>
        <w:gridCol w:w="1099"/>
        <w:gridCol w:w="1100"/>
        <w:gridCol w:w="972"/>
        <w:gridCol w:w="994"/>
        <w:gridCol w:w="3269"/>
        <w:gridCol w:w="912"/>
      </w:tblGrid>
      <w:tr>
        <w:trPr>
          <w:trHeight w:val="715"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5" w:right="9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6" w:right="92" w:hanging="181"/>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92"/>
              <w:jc w:val="left"/>
              <w:rPr>
                <w:rFonts w:ascii="宋体" w:hAnsi="宋体" w:cs="宋体" w:eastAsia="宋体" w:hint="default"/>
                <w:sz w:val="18"/>
                <w:szCs w:val="18"/>
              </w:rPr>
            </w:pPr>
            <w:r>
              <w:rPr>
                <w:rFonts w:ascii="宋体" w:hAnsi="宋体" w:cs="宋体" w:eastAsia="宋体" w:hint="default"/>
                <w:sz w:val="18"/>
                <w:szCs w:val="18"/>
              </w:rPr>
              <w:t>拟解除限 售日期</w:t>
            </w:r>
          </w:p>
        </w:tc>
      </w:tr>
      <w:tr>
        <w:trPr>
          <w:trHeight w:val="164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118,091,250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118,091,250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原公司董事路楠先生于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 </w:t>
            </w:r>
            <w:r>
              <w:rPr>
                <w:rFonts w:ascii="宋体" w:hAnsi="宋体" w:cs="宋体" w:eastAsia="宋体" w:hint="default"/>
                <w:spacing w:val="-2"/>
                <w:sz w:val="18"/>
                <w:szCs w:val="18"/>
              </w:rPr>
              <w:t>离任。根据相关规定，路楠先生持有的公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司股份自申报离任日起六个月内全部锁 定。报告期内路楠先生的锁定期已届满， 其所持的公司股份全部解除锁定。</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杭州思创医惠 集团有限公司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90,912,612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90,912,612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根据重组收购协议自愿承诺限售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24,589,053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24,589,053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18,450,902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18,450,902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高管锁定股，每年的第一个交易日，按照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上年末持有股份数量的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解除限售。根</w:t>
            </w:r>
            <w:r>
              <w:rPr>
                <w:rFonts w:ascii="宋体" w:hAnsi="宋体" w:cs="宋体" w:eastAsia="宋体" w:hint="default"/>
                <w:sz w:val="18"/>
                <w:szCs w:val="18"/>
              </w:rPr>
              <w:t> 据章笠中先生于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 中瑞思创签署的关于医惠科技有限公司 </w:t>
            </w:r>
            <w:r>
              <w:rPr>
                <w:rFonts w:ascii="宋体" w:hAnsi="宋体" w:cs="宋体" w:eastAsia="宋体" w:hint="default"/>
                <w:spacing w:val="-2"/>
                <w:sz w:val="18"/>
                <w:szCs w:val="18"/>
              </w:rPr>
              <w:t>之《股权转让合同》中作出承诺，因本次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7.673004pt;margin-top:72.475983pt;width:87.3pt;height:95.7pt;mso-position-horizontal-relative:page;mso-position-vertical-relative:page;z-index:-1079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上市流通。</w:t>
                  </w:r>
                </w:p>
              </w:txbxContent>
            </v:textbox>
            <w10:wrap type="none"/>
          </v:shape>
        </w:pict>
      </w:r>
      <w:r>
        <w:rPr/>
        <w:pict>
          <v:shape style="position:absolute;margin-left:447.673004pt;margin-top:628.659973pt;width:87.3pt;height:54.6pt;mso-position-horizontal-relative:page;mso-position-vertical-relative:page;z-index:-1079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上市流通。</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24"/>
        <w:gridCol w:w="1099"/>
        <w:gridCol w:w="1100"/>
        <w:gridCol w:w="972"/>
        <w:gridCol w:w="994"/>
        <w:gridCol w:w="3269"/>
        <w:gridCol w:w="912"/>
      </w:tblGrid>
      <w:tr>
        <w:trPr>
          <w:trHeight w:val="1923" w:hRule="exact"/>
        </w:trPr>
        <w:tc>
          <w:tcPr>
            <w:tcW w:w="122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9"/>
              <w:jc w:val="both"/>
              <w:rPr>
                <w:rFonts w:ascii="宋体" w:hAnsi="宋体" w:cs="宋体" w:eastAsia="宋体" w:hint="default"/>
                <w:sz w:val="18"/>
                <w:szCs w:val="18"/>
              </w:rPr>
            </w:pPr>
            <w:r>
              <w:rPr>
                <w:rFonts w:ascii="宋体" w:hAnsi="宋体" w:cs="宋体" w:eastAsia="宋体" w:hint="default"/>
                <w:sz w:val="18"/>
                <w:szCs w:val="18"/>
              </w:rPr>
              <w:t>交易所受让的中瑞思创股份自变更登记 到其名下之日（即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312" w:lineRule="auto"/>
              <w:ind w:left="24" w:right="20"/>
              <w:jc w:val="both"/>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个月内不得转让。报告期内，章笠</w:t>
            </w:r>
            <w:r>
              <w:rPr>
                <w:rFonts w:ascii="宋体" w:hAnsi="宋体" w:cs="宋体" w:eastAsia="宋体" w:hint="default"/>
                <w:sz w:val="18"/>
                <w:szCs w:val="18"/>
              </w:rPr>
              <w:t> </w:t>
            </w:r>
            <w:r>
              <w:rPr>
                <w:rFonts w:ascii="宋体" w:hAnsi="宋体" w:cs="宋体" w:eastAsia="宋体" w:hint="default"/>
                <w:spacing w:val="-2"/>
                <w:sz w:val="18"/>
                <w:szCs w:val="18"/>
              </w:rPr>
              <w:t>中先生的锁定期已届满，公司向深圳证券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交易所提出申请，经交易所批准后该部分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股票于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日起开始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45.15pt;height:95.7pt;mso-position-horizontal-relative:char;mso-position-vertical-relative:line" coordorigin="0,0" coordsize="903,1914">
                  <v:group style="position:absolute;left:0;top:0;width:903;height:1914" coordorigin="0,0" coordsize="903,1914">
                    <v:shape style="position:absolute;left:0;top:0;width:903;height:1914" coordorigin="0,0" coordsize="903,1914" path="m0,1913l902,1913,902,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r>
      <w:tr>
        <w:trPr>
          <w:trHeight w:val="71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18,045,112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18,045,112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根据非公开发行协议自愿承诺限售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西藏瑞华资本 管理有限公司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18,045,112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18,045,112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根据非公开发行协议自愿承诺限售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96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浙江鲲鹏资产 管理有限公司</w:t>
            </w:r>
          </w:p>
          <w:p>
            <w:pPr>
              <w:pStyle w:val="TableParagraph"/>
              <w:spacing w:line="312"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－鲲鹏资本－ 中瑞思创定增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号证券投资 基金</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18,045,111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18,045,111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根据非公开发行协议自愿承诺限售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杭州博泰投资 管理有限公司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10,678,712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2,669,678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8,009,034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每年解锁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164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7,593,750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7,593,750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原公司董事张佶先生于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 </w:t>
            </w:r>
            <w:r>
              <w:rPr>
                <w:rFonts w:ascii="宋体" w:hAnsi="宋体" w:cs="宋体" w:eastAsia="宋体" w:hint="default"/>
                <w:spacing w:val="-2"/>
                <w:sz w:val="18"/>
                <w:szCs w:val="18"/>
              </w:rPr>
              <w:t>离任。根据相关规定，张佶先生持有的公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司股份自申报离任日起六个月内全部锁 定。报告期内张佶先生的锁定期已届满， 其所持的公司股份全部解除锁定。</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5,886,675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5,886,675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原公司董事商巍先生于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 </w:t>
            </w:r>
            <w:r>
              <w:rPr>
                <w:rFonts w:ascii="宋体" w:hAnsi="宋体" w:cs="宋体" w:eastAsia="宋体" w:hint="default"/>
                <w:spacing w:val="-2"/>
                <w:sz w:val="18"/>
                <w:szCs w:val="18"/>
              </w:rPr>
              <w:t>离任。根据相关规定，商巍先生持有的公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司股份自申报离任日起六个月内全部锁 定。报告期内商巍先生的锁定期已届满， 其所持的公司股份全部解除锁定。</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9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何国平</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根据何国平先生于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与中瑞思创签署的关于医惠科技有限公 </w:t>
            </w:r>
            <w:r>
              <w:rPr>
                <w:rFonts w:ascii="宋体" w:hAnsi="宋体" w:cs="宋体" w:eastAsia="宋体" w:hint="default"/>
                <w:spacing w:val="-2"/>
                <w:sz w:val="18"/>
                <w:szCs w:val="18"/>
              </w:rPr>
              <w:t>司之《股权转让合同》中作出承诺，因本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次交易所受让的中瑞思创股份自变更登 </w:t>
            </w:r>
            <w:r>
              <w:rPr>
                <w:rFonts w:ascii="宋体" w:hAnsi="宋体" w:cs="宋体" w:eastAsia="宋体" w:hint="default"/>
                <w:spacing w:val="-3"/>
                <w:sz w:val="18"/>
                <w:szCs w:val="18"/>
              </w:rPr>
              <w:t>记到其名下之日（即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1"/>
              <w:ind w:left="24" w:right="20"/>
              <w:jc w:val="both"/>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个月内不得转让。报告期内，何国</w:t>
            </w:r>
            <w:r>
              <w:rPr>
                <w:rFonts w:ascii="宋体" w:hAnsi="宋体" w:cs="宋体" w:eastAsia="宋体" w:hint="default"/>
                <w:sz w:val="18"/>
                <w:szCs w:val="18"/>
              </w:rPr>
              <w:t> </w:t>
            </w:r>
            <w:r>
              <w:rPr>
                <w:rFonts w:ascii="宋体" w:hAnsi="宋体" w:cs="宋体" w:eastAsia="宋体" w:hint="default"/>
                <w:spacing w:val="-2"/>
                <w:sz w:val="18"/>
                <w:szCs w:val="18"/>
              </w:rPr>
              <w:t>平先生的锁定期已届满，公司向深圳证券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交易所提出申请，经交易所批准后该部分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股票于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日起开始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149" w:lineRule="exact"/>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1807"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pict>
                <v:group style="width:45.15pt;height:90.4pt;mso-position-horizontal-relative:char;mso-position-vertical-relative:line" coordorigin="0,0" coordsize="903,1808">
                  <v:group style="position:absolute;left:12;top:12;width:2;height:704" coordorigin="12,12" coordsize="2,704">
                    <v:shape style="position:absolute;left:12;top:12;width:2;height:704" coordorigin="12,12" coordsize="0,704" path="m12,12l12,716e" filled="false" stroked="true" strokeweight="1.2pt" strokecolor="#ffffff">
                      <v:path arrowok="t"/>
                    </v:shape>
                  </v:group>
                  <v:group style="position:absolute;left:0;top:716;width:903;height:1092" coordorigin="0,716" coordsize="903,1092">
                    <v:shape style="position:absolute;left:0;top:716;width:903;height:1092" coordorigin="0,716" coordsize="903,1092" path="m0,1808l902,1808,902,716,0,716,0,1808xe" filled="true" fillcolor="#ffffff" stroked="false">
                      <v:path arrowok="t"/>
                      <v:fill type="solid"/>
                    </v:shape>
                  </v:group>
                  <v:group style="position:absolute;left:24;top:12;width:857;height:354" coordorigin="24,12" coordsize="857,354">
                    <v:shape style="position:absolute;left:24;top:12;width:857;height:354" coordorigin="24,12" coordsize="857,354" path="m24,365l881,365,881,12,24,12,24,365xe" filled="true" fillcolor="#ffffff" stroked="false">
                      <v:path arrowok="t"/>
                      <v:fill type="solid"/>
                    </v:shape>
                  </v:group>
                  <v:group style="position:absolute;left:24;top:365;width:857;height:351" coordorigin="24,365" coordsize="857,351">
                    <v:shape style="position:absolute;left:24;top:365;width:857;height:351" coordorigin="24,365" coordsize="857,351" path="m24,716l881,716,881,365,24,365,24,716xe" filled="true" fillcolor="#ffffff" stroked="false">
                      <v:path arrowok="t"/>
                      <v:fill type="solid"/>
                    </v:shape>
                  </v:group>
                </v:group>
              </w:pict>
            </w:r>
            <w:r>
              <w:rPr>
                <w:rFonts w:ascii="Times New Roman" w:hAnsi="Times New Roman" w:cs="Times New Roman" w:eastAsia="Times New Roman" w:hint="default"/>
                <w:position w:val="-35"/>
                <w:sz w:val="20"/>
                <w:szCs w:val="20"/>
              </w:rPr>
            </w:r>
          </w:p>
        </w:tc>
      </w:tr>
      <w:tr>
        <w:trPr>
          <w:trHeight w:val="161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根据彭军先生于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 中瑞思创签署的关于医惠科技有限公司 </w:t>
            </w:r>
            <w:r>
              <w:rPr>
                <w:rFonts w:ascii="宋体" w:hAnsi="宋体" w:cs="宋体" w:eastAsia="宋体" w:hint="default"/>
                <w:spacing w:val="-2"/>
                <w:sz w:val="18"/>
                <w:szCs w:val="18"/>
              </w:rPr>
              <w:t>之《股权转让合同》中作出承诺，因本次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交易所受让的中瑞思创股份自变更登记 到其名下之日（即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24"/>
        <w:gridCol w:w="1099"/>
        <w:gridCol w:w="1100"/>
        <w:gridCol w:w="972"/>
        <w:gridCol w:w="994"/>
        <w:gridCol w:w="3269"/>
        <w:gridCol w:w="912"/>
      </w:tblGrid>
      <w:tr>
        <w:trPr>
          <w:trHeight w:val="1299" w:hRule="exact"/>
        </w:trPr>
        <w:tc>
          <w:tcPr>
            <w:tcW w:w="122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5"/>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个月内不得转让。报告期内，彭军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先生的锁定期已届满，公司向深圳证券交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易所提出申请，经交易所批准后该部分股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日起开始上市流通。</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郑凌峻</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根据郑凌峻女士于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与中瑞思创签署的关于医惠科技有限公 </w:t>
            </w:r>
            <w:r>
              <w:rPr>
                <w:rFonts w:ascii="宋体" w:hAnsi="宋体" w:cs="宋体" w:eastAsia="宋体" w:hint="default"/>
                <w:spacing w:val="-2"/>
                <w:sz w:val="18"/>
                <w:szCs w:val="18"/>
              </w:rPr>
              <w:t>司之《股权转让合同》中作出承诺，因本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次交易所受让的中瑞思创股份自变更登 </w:t>
            </w:r>
            <w:r>
              <w:rPr>
                <w:rFonts w:ascii="宋体" w:hAnsi="宋体" w:cs="宋体" w:eastAsia="宋体" w:hint="default"/>
                <w:spacing w:val="-3"/>
                <w:sz w:val="18"/>
                <w:szCs w:val="18"/>
              </w:rPr>
              <w:t>记到其名下之日（即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1"/>
              <w:ind w:left="24" w:right="20"/>
              <w:jc w:val="both"/>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个月内不得转让。报告期内，郑凌</w:t>
            </w:r>
            <w:r>
              <w:rPr>
                <w:rFonts w:ascii="宋体" w:hAnsi="宋体" w:cs="宋体" w:eastAsia="宋体" w:hint="default"/>
                <w:sz w:val="18"/>
                <w:szCs w:val="18"/>
              </w:rPr>
              <w:t> </w:t>
            </w:r>
            <w:r>
              <w:rPr>
                <w:rFonts w:ascii="宋体" w:hAnsi="宋体" w:cs="宋体" w:eastAsia="宋体" w:hint="default"/>
                <w:spacing w:val="-2"/>
                <w:sz w:val="18"/>
                <w:szCs w:val="18"/>
              </w:rPr>
              <w:t>峻女士的锁定期已届满，公司向深圳证券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交易所提出申请，经交易所批准后该部分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股票于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日起开始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149" w:lineRule="exact"/>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1807"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pict>
                <v:group style="width:45.15pt;height:90.4pt;mso-position-horizontal-relative:char;mso-position-vertical-relative:line" coordorigin="0,0" coordsize="903,1808">
                  <v:group style="position:absolute;left:12;top:12;width:2;height:704" coordorigin="12,12" coordsize="2,704">
                    <v:shape style="position:absolute;left:12;top:12;width:2;height:704" coordorigin="12,12" coordsize="0,704" path="m12,12l12,715e" filled="false" stroked="true" strokeweight="1.2pt" strokecolor="#ffffff">
                      <v:path arrowok="t"/>
                    </v:shape>
                  </v:group>
                  <v:group style="position:absolute;left:0;top:715;width:903;height:1093" coordorigin="0,715" coordsize="903,1093">
                    <v:shape style="position:absolute;left:0;top:715;width:903;height:1093" coordorigin="0,715" coordsize="903,1093" path="m0,1808l902,1808,902,715,0,715,0,1808xe" filled="true" fillcolor="#ffffff" stroked="false">
                      <v:path arrowok="t"/>
                      <v:fill type="solid"/>
                    </v:shape>
                  </v:group>
                  <v:group style="position:absolute;left:24;top:12;width:857;height:353" coordorigin="24,12" coordsize="857,353">
                    <v:shape style="position:absolute;left:24;top:12;width:857;height:353" coordorigin="24,12" coordsize="857,353" path="m24,365l881,365,881,12,24,12,24,365xe" filled="true" fillcolor="#ffffff" stroked="false">
                      <v:path arrowok="t"/>
                      <v:fill type="solid"/>
                    </v:shape>
                  </v:group>
                  <v:group style="position:absolute;left:24;top:365;width:857;height:351" coordorigin="24,365" coordsize="857,351">
                    <v:shape style="position:absolute;left:24;top:365;width:857;height:351" coordorigin="24,365" coordsize="857,351" path="m24,715l881,715,881,365,24,365,24,715xe" filled="true" fillcolor="#ffffff" stroked="false">
                      <v:path arrowok="t"/>
                      <v:fill type="solid"/>
                    </v:shape>
                  </v:group>
                </v:group>
              </w:pict>
            </w:r>
            <w:r>
              <w:rPr>
                <w:rFonts w:ascii="Times New Roman" w:hAnsi="Times New Roman" w:cs="Times New Roman" w:eastAsia="Times New Roman" w:hint="default"/>
                <w:position w:val="-35"/>
                <w:sz w:val="20"/>
                <w:szCs w:val="20"/>
              </w:rPr>
            </w:r>
          </w:p>
        </w:tc>
      </w:tr>
      <w:tr>
        <w:trPr>
          <w:trHeight w:val="715"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报告期内，寿瑾华女士的锁定期已届满， 其所持的公司股份全部解除锁定。</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313,931,989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160,875,008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18,450,902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171,507,883</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pict>
          <v:shape style="position:absolute;margin-left:447.673004pt;margin-top:-122.708382pt;width:87.3pt;height:54.65pt;mso-position-horizontal-relative:page;mso-position-vertical-relative:paragraph;z-index:-1079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上市流通。</w:t>
                  </w:r>
                </w:p>
              </w:txbxContent>
            </v:textbox>
            <w10:wrap type="none"/>
          </v:shape>
        </w:pict>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pict>
          <v:group style="position:absolute;margin-left:499.899994pt;margin-top:55.071716pt;width:35.050pt;height:15.6pt;mso-position-horizontal-relative:page;mso-position-vertical-relative:paragraph;z-index:-1079776" coordorigin="9998,1101" coordsize="701,312">
            <v:shape style="position:absolute;left:9998;top:1101;width:701;height:312" coordorigin="9998,1101" coordsize="701,312" path="m9998,1413l10699,1413,10699,1101,9998,1101,9998,141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12"/>
        <w:gridCol w:w="356"/>
        <w:gridCol w:w="463"/>
        <w:gridCol w:w="1114"/>
        <w:gridCol w:w="534"/>
        <w:gridCol w:w="121"/>
        <w:gridCol w:w="790"/>
        <w:gridCol w:w="122"/>
        <w:gridCol w:w="879"/>
        <w:gridCol w:w="666"/>
        <w:gridCol w:w="378"/>
        <w:gridCol w:w="367"/>
        <w:gridCol w:w="826"/>
        <w:gridCol w:w="740"/>
        <w:gridCol w:w="166"/>
        <w:gridCol w:w="341"/>
        <w:gridCol w:w="380"/>
      </w:tblGrid>
      <w:tr>
        <w:trPr>
          <w:trHeight w:val="163" w:hRule="exact"/>
        </w:trPr>
        <w:tc>
          <w:tcPr>
            <w:tcW w:w="13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5"/>
                <w:szCs w:val="15"/>
              </w:rPr>
            </w:pPr>
            <w:r>
              <w:rPr>
                <w:rFonts w:ascii="宋体"/>
                <w:sz w:val="15"/>
              </w:rPr>
              <w:t>41,106</w:t>
            </w:r>
          </w:p>
        </w:tc>
        <w:tc>
          <w:tcPr>
            <w:tcW w:w="176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5"/>
                <w:szCs w:val="15"/>
              </w:rPr>
            </w:pPr>
            <w:r>
              <w:rPr>
                <w:rFonts w:ascii="宋体"/>
                <w:sz w:val="15"/>
              </w:rPr>
              <w:t>44,146</w:t>
            </w:r>
          </w:p>
        </w:tc>
        <w:tc>
          <w:tcPr>
            <w:tcW w:w="16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79" w:lineRule="auto" w:before="77"/>
              <w:ind w:left="12" w:right="-6"/>
              <w:jc w:val="left"/>
              <w:rPr>
                <w:rFonts w:ascii="宋体" w:hAnsi="宋体" w:cs="宋体" w:eastAsia="宋体" w:hint="default"/>
                <w:sz w:val="15"/>
                <w:szCs w:val="15"/>
              </w:rPr>
            </w:pPr>
            <w:r>
              <w:rPr>
                <w:rFonts w:ascii="宋体" w:hAnsi="宋体" w:cs="宋体" w:eastAsia="宋体" w:hint="default"/>
                <w:sz w:val="15"/>
                <w:szCs w:val="15"/>
              </w:rPr>
              <w:t>报告期末表决权恢复的</w:t>
            </w:r>
            <w:r>
              <w:rPr>
                <w:rFonts w:ascii="宋体" w:hAnsi="宋体" w:cs="宋体" w:eastAsia="宋体" w:hint="default"/>
                <w:w w:val="100"/>
                <w:sz w:val="15"/>
                <w:szCs w:val="15"/>
              </w:rPr>
              <w:t> </w:t>
            </w:r>
            <w:r>
              <w:rPr>
                <w:rFonts w:ascii="宋体" w:hAnsi="宋体" w:cs="宋体" w:eastAsia="宋体" w:hint="default"/>
                <w:spacing w:val="-2"/>
                <w:sz w:val="15"/>
                <w:szCs w:val="15"/>
              </w:rPr>
              <w:t>优先股股东总数（如有）</w:t>
            </w:r>
          </w:p>
          <w:p>
            <w:pPr>
              <w:pStyle w:val="TableParagraph"/>
              <w:spacing w:line="240" w:lineRule="auto" w:before="28"/>
              <w:ind w:left="12" w:right="0"/>
              <w:jc w:val="left"/>
              <w:rPr>
                <w:rFonts w:ascii="宋体" w:hAnsi="宋体" w:cs="宋体" w:eastAsia="宋体" w:hint="default"/>
                <w:sz w:val="15"/>
                <w:szCs w:val="15"/>
              </w:rPr>
            </w:pPr>
            <w:r>
              <w:rPr>
                <w:rFonts w:ascii="宋体" w:hAnsi="宋体" w:cs="宋体" w:eastAsia="宋体" w:hint="default"/>
                <w:sz w:val="15"/>
                <w:szCs w:val="15"/>
              </w:rPr>
              <w:t>（参见注</w:t>
            </w:r>
            <w:r>
              <w:rPr>
                <w:rFonts w:ascii="宋体" w:hAnsi="宋体" w:cs="宋体" w:eastAsia="宋体" w:hint="default"/>
                <w:spacing w:val="-38"/>
                <w:sz w:val="15"/>
                <w:szCs w:val="15"/>
              </w:rPr>
              <w:t> </w:t>
            </w:r>
            <w:r>
              <w:rPr>
                <w:rFonts w:ascii="宋体" w:hAnsi="宋体" w:cs="宋体" w:eastAsia="宋体" w:hint="default"/>
                <w:sz w:val="15"/>
                <w:szCs w:val="15"/>
              </w:rPr>
              <w:t>9</w:t>
            </w:r>
            <w:r>
              <w:rPr>
                <w:rFonts w:ascii="宋体" w:hAnsi="宋体" w:cs="宋体" w:eastAsia="宋体" w:hint="default"/>
                <w:sz w:val="15"/>
                <w:szCs w:val="15"/>
              </w:rPr>
              <w:t>）</w:t>
            </w:r>
          </w:p>
        </w:tc>
        <w:tc>
          <w:tcPr>
            <w:tcW w:w="745" w:type="dxa"/>
            <w:gridSpan w:val="2"/>
            <w:vMerge w:val="restart"/>
            <w:tcBorders>
              <w:top w:val="single" w:sz="4" w:space="0" w:color="000000"/>
              <w:left w:val="single" w:sz="12" w:space="0" w:color="D2D2D2"/>
              <w:right w:val="single" w:sz="10" w:space="0" w:color="D2D2D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5"/>
                <w:szCs w:val="15"/>
              </w:rPr>
            </w:pPr>
            <w:r>
              <w:rPr>
                <w:rFonts w:ascii="宋体"/>
                <w:w w:val="100"/>
                <w:sz w:val="15"/>
              </w:rPr>
              <w:t>0</w:t>
            </w:r>
          </w:p>
        </w:tc>
        <w:tc>
          <w:tcPr>
            <w:tcW w:w="17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79" w:lineRule="auto" w:before="77"/>
              <w:ind w:left="11" w:right="55"/>
              <w:jc w:val="both"/>
              <w:rPr>
                <w:rFonts w:ascii="宋体" w:hAnsi="宋体" w:cs="宋体" w:eastAsia="宋体" w:hint="default"/>
                <w:sz w:val="15"/>
                <w:szCs w:val="15"/>
              </w:rPr>
            </w:pPr>
            <w:r>
              <w:rPr>
                <w:rFonts w:ascii="宋体" w:hAnsi="宋体" w:cs="宋体" w:eastAsia="宋体" w:hint="default"/>
                <w:spacing w:val="-2"/>
                <w:sz w:val="15"/>
                <w:szCs w:val="15"/>
              </w:rPr>
              <w:t>年度报告披露日前上一月</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末表决权恢复的优先股股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4"/>
                <w:w w:val="100"/>
                <w:sz w:val="15"/>
                <w:szCs w:val="15"/>
              </w:rPr>
              <w:t>东总数（如有）（参见注</w:t>
            </w:r>
            <w:r>
              <w:rPr>
                <w:rFonts w:ascii="宋体" w:hAnsi="宋体" w:cs="宋体" w:eastAsia="宋体" w:hint="default"/>
                <w:spacing w:val="-37"/>
                <w:w w:val="100"/>
                <w:sz w:val="15"/>
                <w:szCs w:val="15"/>
              </w:rPr>
              <w:t> </w:t>
            </w:r>
            <w:r>
              <w:rPr>
                <w:rFonts w:ascii="宋体" w:hAnsi="宋体" w:cs="宋体" w:eastAsia="宋体" w:hint="default"/>
                <w:w w:val="100"/>
                <w:sz w:val="15"/>
                <w:szCs w:val="15"/>
              </w:rPr>
              <w:t>9</w:t>
            </w:r>
          </w:p>
        </w:tc>
        <w:tc>
          <w:tcPr>
            <w:tcW w:w="341" w:type="dxa"/>
            <w:tcBorders>
              <w:top w:val="single" w:sz="4" w:space="0" w:color="000000"/>
              <w:left w:val="single" w:sz="12" w:space="0" w:color="D2D2D2"/>
              <w:bottom w:val="nil" w:sz="6" w:space="0" w:color="auto"/>
              <w:right w:val="nil" w:sz="6" w:space="0" w:color="auto"/>
            </w:tcBorders>
          </w:tcPr>
          <w:p>
            <w:pPr/>
          </w:p>
        </w:tc>
        <w:tc>
          <w:tcPr>
            <w:tcW w:w="380" w:type="dxa"/>
            <w:tcBorders>
              <w:top w:val="single" w:sz="4" w:space="0" w:color="000000"/>
              <w:left w:val="nil" w:sz="6" w:space="0" w:color="auto"/>
              <w:bottom w:val="nil" w:sz="6" w:space="0" w:color="auto"/>
              <w:right w:val="single" w:sz="4" w:space="0" w:color="000000"/>
            </w:tcBorders>
          </w:tcPr>
          <w:p>
            <w:pPr/>
          </w:p>
        </w:tc>
      </w:tr>
      <w:tr>
        <w:trPr>
          <w:trHeight w:val="703" w:hRule="exact"/>
        </w:trPr>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79" w:lineRule="auto" w:before="74"/>
              <w:ind w:left="12" w:right="86"/>
              <w:jc w:val="left"/>
              <w:rPr>
                <w:rFonts w:ascii="宋体" w:hAnsi="宋体" w:cs="宋体" w:eastAsia="宋体" w:hint="default"/>
                <w:sz w:val="15"/>
                <w:szCs w:val="15"/>
              </w:rPr>
            </w:pPr>
            <w:r>
              <w:rPr>
                <w:rFonts w:ascii="宋体" w:hAnsi="宋体" w:cs="宋体" w:eastAsia="宋体" w:hint="default"/>
                <w:spacing w:val="-2"/>
                <w:sz w:val="15"/>
                <w:szCs w:val="15"/>
              </w:rPr>
              <w:t>报告期末普通股股</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东总数</w:t>
            </w:r>
          </w:p>
        </w:tc>
        <w:tc>
          <w:tcPr>
            <w:tcW w:w="820" w:type="dxa"/>
            <w:gridSpan w:val="2"/>
            <w:vMerge/>
            <w:tcBorders>
              <w:left w:val="single" w:sz="9" w:space="0" w:color="D2D2D2"/>
              <w:right w:val="single" w:sz="10" w:space="0" w:color="D2D2D2"/>
            </w:tcBorders>
          </w:tcPr>
          <w:p>
            <w:pPr/>
          </w:p>
        </w:tc>
        <w:tc>
          <w:tcPr>
            <w:tcW w:w="176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79" w:lineRule="auto" w:before="74"/>
              <w:ind w:left="11" w:right="92"/>
              <w:jc w:val="left"/>
              <w:rPr>
                <w:rFonts w:ascii="宋体" w:hAnsi="宋体" w:cs="宋体" w:eastAsia="宋体" w:hint="default"/>
                <w:sz w:val="15"/>
                <w:szCs w:val="15"/>
              </w:rPr>
            </w:pPr>
            <w:r>
              <w:rPr>
                <w:rFonts w:ascii="宋体" w:hAnsi="宋体" w:cs="宋体" w:eastAsia="宋体" w:hint="default"/>
                <w:spacing w:val="-2"/>
                <w:sz w:val="15"/>
                <w:szCs w:val="15"/>
              </w:rPr>
              <w:t>年度报告披露日前上一月</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末普通股股东总数</w:t>
            </w:r>
          </w:p>
        </w:tc>
        <w:tc>
          <w:tcPr>
            <w:tcW w:w="790" w:type="dxa"/>
            <w:vMerge/>
            <w:tcBorders>
              <w:left w:val="single" w:sz="10" w:space="0" w:color="D2D2D2"/>
              <w:right w:val="single" w:sz="13" w:space="0" w:color="D2D2D2"/>
            </w:tcBorders>
          </w:tcPr>
          <w:p>
            <w:pPr/>
          </w:p>
        </w:tc>
        <w:tc>
          <w:tcPr>
            <w:tcW w:w="1667" w:type="dxa"/>
            <w:gridSpan w:val="3"/>
            <w:vMerge/>
            <w:tcBorders>
              <w:left w:val="single" w:sz="4" w:space="0" w:color="000000"/>
              <w:right w:val="single" w:sz="4" w:space="0" w:color="000000"/>
            </w:tcBorders>
            <w:shd w:val="clear" w:color="auto" w:fill="D2D2D2"/>
          </w:tcPr>
          <w:p>
            <w:pPr/>
          </w:p>
        </w:tc>
        <w:tc>
          <w:tcPr>
            <w:tcW w:w="745" w:type="dxa"/>
            <w:gridSpan w:val="2"/>
            <w:vMerge/>
            <w:tcBorders>
              <w:left w:val="single" w:sz="12" w:space="0" w:color="D2D2D2"/>
              <w:right w:val="single" w:sz="10"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341" w:type="dxa"/>
            <w:tcBorders>
              <w:top w:val="nil" w:sz="6" w:space="0" w:color="auto"/>
              <w:left w:val="single" w:sz="12" w:space="0" w:color="D2D2D2"/>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38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w w:val="100"/>
                <w:sz w:val="15"/>
              </w:rPr>
              <w:t>0</w:t>
            </w:r>
          </w:p>
        </w:tc>
      </w:tr>
      <w:tr>
        <w:trPr>
          <w:trHeight w:val="166" w:hRule="exact"/>
        </w:trPr>
        <w:tc>
          <w:tcPr>
            <w:tcW w:w="13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gridSpan w:val="2"/>
            <w:vMerge/>
            <w:tcBorders>
              <w:left w:val="single" w:sz="9" w:space="0" w:color="D2D2D2"/>
              <w:bottom w:val="single" w:sz="4" w:space="0" w:color="000000"/>
              <w:right w:val="single" w:sz="10" w:space="0" w:color="D2D2D2"/>
            </w:tcBorders>
          </w:tcPr>
          <w:p>
            <w:pPr/>
          </w:p>
        </w:tc>
        <w:tc>
          <w:tcPr>
            <w:tcW w:w="176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10" w:space="0" w:color="D2D2D2"/>
              <w:bottom w:val="single" w:sz="4" w:space="0" w:color="000000"/>
              <w:right w:val="single" w:sz="13" w:space="0" w:color="D2D2D2"/>
            </w:tcBorders>
          </w:tcPr>
          <w:p>
            <w:pPr/>
          </w:p>
        </w:tc>
        <w:tc>
          <w:tcPr>
            <w:tcW w:w="1667" w:type="dxa"/>
            <w:gridSpan w:val="3"/>
            <w:vMerge/>
            <w:tcBorders>
              <w:left w:val="single" w:sz="4" w:space="0" w:color="000000"/>
              <w:bottom w:val="single" w:sz="4" w:space="0" w:color="000000"/>
              <w:right w:val="single" w:sz="4" w:space="0" w:color="000000"/>
            </w:tcBorders>
            <w:shd w:val="clear" w:color="auto" w:fill="D2D2D2"/>
          </w:tcPr>
          <w:p>
            <w:pPr/>
          </w:p>
        </w:tc>
        <w:tc>
          <w:tcPr>
            <w:tcW w:w="745" w:type="dxa"/>
            <w:gridSpan w:val="2"/>
            <w:vMerge/>
            <w:tcBorders>
              <w:left w:val="single" w:sz="12" w:space="0" w:color="D2D2D2"/>
              <w:bottom w:val="single" w:sz="4" w:space="0" w:color="000000"/>
              <w:right w:val="single" w:sz="10" w:space="0" w:color="D2D2D2"/>
            </w:tcBorders>
          </w:tcPr>
          <w:p>
            <w:pPr/>
          </w:p>
        </w:tc>
        <w:tc>
          <w:tcPr>
            <w:tcW w:w="1732" w:type="dxa"/>
            <w:gridSpan w:val="3"/>
            <w:vMerge/>
            <w:tcBorders>
              <w:left w:val="single" w:sz="4" w:space="0" w:color="000000"/>
              <w:bottom w:val="single" w:sz="4" w:space="0" w:color="000000"/>
              <w:right w:val="single" w:sz="4" w:space="0" w:color="000000"/>
            </w:tcBorders>
            <w:shd w:val="clear" w:color="auto" w:fill="D2D2D2"/>
          </w:tcPr>
          <w:p>
            <w:pPr/>
          </w:p>
        </w:tc>
        <w:tc>
          <w:tcPr>
            <w:tcW w:w="341" w:type="dxa"/>
            <w:tcBorders>
              <w:top w:val="nil" w:sz="6" w:space="0" w:color="auto"/>
              <w:left w:val="single" w:sz="12" w:space="0" w:color="D2D2D2"/>
              <w:bottom w:val="single" w:sz="4" w:space="0" w:color="000000"/>
              <w:right w:val="nil" w:sz="6" w:space="0" w:color="auto"/>
            </w:tcBorders>
          </w:tcPr>
          <w:p>
            <w:pPr/>
          </w:p>
        </w:tc>
        <w:tc>
          <w:tcPr>
            <w:tcW w:w="38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7"/>
              <w:jc w:val="center"/>
              <w:rPr>
                <w:rFonts w:ascii="宋体" w:hAnsi="宋体" w:cs="宋体" w:eastAsia="宋体" w:hint="default"/>
                <w:sz w:val="15"/>
                <w:szCs w:val="15"/>
              </w:rPr>
            </w:pPr>
            <w:r>
              <w:rPr>
                <w:rFonts w:ascii="宋体" w:hAnsi="宋体" w:cs="宋体" w:eastAsia="宋体" w:hint="default"/>
                <w:sz w:val="15"/>
                <w:szCs w:val="15"/>
              </w:rPr>
              <w:t>持股</w:t>
            </w:r>
            <w:r>
              <w:rPr>
                <w:rFonts w:ascii="宋体" w:hAnsi="宋体" w:cs="宋体" w:eastAsia="宋体" w:hint="default"/>
                <w:spacing w:val="-40"/>
                <w:sz w:val="15"/>
                <w:szCs w:val="15"/>
              </w:rPr>
              <w:t> </w:t>
            </w:r>
            <w:r>
              <w:rPr>
                <w:rFonts w:ascii="宋体" w:hAnsi="宋体" w:cs="宋体" w:eastAsia="宋体" w:hint="default"/>
                <w:sz w:val="15"/>
                <w:szCs w:val="15"/>
              </w:rPr>
              <w:t>5%</w:t>
            </w:r>
            <w:r>
              <w:rPr>
                <w:rFonts w:ascii="宋体" w:hAnsi="宋体" w:cs="宋体" w:eastAsia="宋体" w:hint="default"/>
                <w:sz w:val="15"/>
                <w:szCs w:val="15"/>
              </w:rPr>
              <w:t>以上的股东或前</w:t>
            </w:r>
            <w:r>
              <w:rPr>
                <w:rFonts w:ascii="宋体" w:hAnsi="宋体" w:cs="宋体" w:eastAsia="宋体" w:hint="default"/>
                <w:spacing w:val="-38"/>
                <w:sz w:val="15"/>
                <w:szCs w:val="15"/>
              </w:rPr>
              <w:t> </w:t>
            </w:r>
            <w:r>
              <w:rPr>
                <w:rFonts w:ascii="宋体" w:hAnsi="宋体" w:cs="宋体" w:eastAsia="宋体" w:hint="default"/>
                <w:sz w:val="15"/>
                <w:szCs w:val="15"/>
              </w:rPr>
              <w:t>10</w:t>
            </w:r>
            <w:r>
              <w:rPr>
                <w:rFonts w:ascii="宋体" w:hAnsi="宋体" w:cs="宋体" w:eastAsia="宋体" w:hint="default"/>
                <w:spacing w:val="-39"/>
                <w:sz w:val="15"/>
                <w:szCs w:val="15"/>
              </w:rPr>
              <w:t> </w:t>
            </w:r>
            <w:r>
              <w:rPr>
                <w:rFonts w:ascii="宋体" w:hAnsi="宋体" w:cs="宋体" w:eastAsia="宋体" w:hint="default"/>
                <w:sz w:val="15"/>
                <w:szCs w:val="15"/>
              </w:rPr>
              <w:t>名股东持股情况</w:t>
            </w:r>
          </w:p>
        </w:tc>
      </w:tr>
      <w:tr>
        <w:trPr>
          <w:trHeight w:val="211" w:hRule="exact"/>
        </w:trPr>
        <w:tc>
          <w:tcPr>
            <w:tcW w:w="16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34"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87" w:right="32" w:hanging="152"/>
              <w:jc w:val="left"/>
              <w:rPr>
                <w:rFonts w:ascii="宋体" w:hAnsi="宋体" w:cs="宋体" w:eastAsia="宋体"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p>
        </w:tc>
        <w:tc>
          <w:tcPr>
            <w:tcW w:w="10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361" w:right="58" w:hanging="300"/>
              <w:jc w:val="left"/>
              <w:rPr>
                <w:rFonts w:ascii="宋体" w:hAnsi="宋体" w:cs="宋体" w:eastAsia="宋体" w:hint="default"/>
                <w:sz w:val="15"/>
                <w:szCs w:val="15"/>
              </w:rPr>
            </w:pPr>
            <w:r>
              <w:rPr>
                <w:rFonts w:ascii="宋体" w:hAnsi="宋体" w:cs="宋体" w:eastAsia="宋体" w:hint="default"/>
                <w:sz w:val="15"/>
                <w:szCs w:val="15"/>
              </w:rPr>
              <w:t>报告期末持股</w:t>
            </w:r>
            <w:r>
              <w:rPr>
                <w:rFonts w:ascii="宋体" w:hAnsi="宋体" w:cs="宋体" w:eastAsia="宋体" w:hint="default"/>
                <w:w w:val="100"/>
                <w:sz w:val="15"/>
                <w:szCs w:val="15"/>
              </w:rPr>
              <w:t> </w:t>
            </w:r>
            <w:r>
              <w:rPr>
                <w:rFonts w:ascii="宋体" w:hAnsi="宋体" w:cs="宋体" w:eastAsia="宋体" w:hint="default"/>
                <w:sz w:val="15"/>
                <w:szCs w:val="15"/>
              </w:rPr>
              <w:t>数量</w:t>
            </w:r>
          </w:p>
        </w:tc>
        <w:tc>
          <w:tcPr>
            <w:tcW w:w="879"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60" w:right="53"/>
              <w:jc w:val="left"/>
              <w:rPr>
                <w:rFonts w:ascii="宋体" w:hAnsi="宋体" w:cs="宋体" w:eastAsia="宋体" w:hint="default"/>
                <w:sz w:val="15"/>
                <w:szCs w:val="15"/>
              </w:rPr>
            </w:pPr>
            <w:r>
              <w:rPr>
                <w:rFonts w:ascii="宋体" w:hAnsi="宋体" w:cs="宋体" w:eastAsia="宋体" w:hint="default"/>
                <w:sz w:val="15"/>
                <w:szCs w:val="15"/>
              </w:rPr>
              <w:t>报告期内增</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减变动情况</w:t>
            </w:r>
          </w:p>
        </w:tc>
        <w:tc>
          <w:tcPr>
            <w:tcW w:w="10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67" w:right="62"/>
              <w:jc w:val="left"/>
              <w:rPr>
                <w:rFonts w:ascii="宋体" w:hAnsi="宋体" w:cs="宋体" w:eastAsia="宋体" w:hint="default"/>
                <w:sz w:val="15"/>
                <w:szCs w:val="15"/>
              </w:rPr>
            </w:pPr>
            <w:r>
              <w:rPr>
                <w:rFonts w:ascii="宋体" w:hAnsi="宋体" w:cs="宋体" w:eastAsia="宋体" w:hint="default"/>
                <w:sz w:val="15"/>
                <w:szCs w:val="15"/>
              </w:rPr>
              <w:t>持有有限售条</w:t>
            </w:r>
            <w:r>
              <w:rPr>
                <w:rFonts w:ascii="宋体" w:hAnsi="宋体" w:cs="宋体" w:eastAsia="宋体" w:hint="default"/>
                <w:w w:val="100"/>
                <w:sz w:val="15"/>
                <w:szCs w:val="15"/>
              </w:rPr>
              <w:t> </w:t>
            </w:r>
            <w:r>
              <w:rPr>
                <w:rFonts w:ascii="宋体" w:hAnsi="宋体" w:cs="宋体" w:eastAsia="宋体" w:hint="default"/>
                <w:sz w:val="15"/>
                <w:szCs w:val="15"/>
              </w:rPr>
              <w:t>件的股份数量</w:t>
            </w:r>
          </w:p>
        </w:tc>
        <w:tc>
          <w:tcPr>
            <w:tcW w:w="11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15" w:right="60" w:hanging="149"/>
              <w:jc w:val="left"/>
              <w:rPr>
                <w:rFonts w:ascii="宋体" w:hAnsi="宋体" w:cs="宋体" w:eastAsia="宋体" w:hint="default"/>
                <w:sz w:val="15"/>
                <w:szCs w:val="15"/>
              </w:rPr>
            </w:pPr>
            <w:r>
              <w:rPr>
                <w:rFonts w:ascii="宋体" w:hAnsi="宋体" w:cs="宋体" w:eastAsia="宋体" w:hint="default"/>
                <w:sz w:val="15"/>
                <w:szCs w:val="15"/>
              </w:rPr>
              <w:t>持有无限售条件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的股份数量</w:t>
            </w:r>
          </w:p>
        </w:tc>
        <w:tc>
          <w:tcPr>
            <w:tcW w:w="162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83" w:right="0"/>
              <w:jc w:val="left"/>
              <w:rPr>
                <w:rFonts w:ascii="宋体" w:hAnsi="宋体" w:cs="宋体" w:eastAsia="宋体" w:hint="default"/>
                <w:sz w:val="15"/>
                <w:szCs w:val="15"/>
              </w:rPr>
            </w:pPr>
            <w:r>
              <w:rPr>
                <w:rFonts w:ascii="宋体" w:hAnsi="宋体" w:cs="宋体" w:eastAsia="宋体" w:hint="default"/>
                <w:sz w:val="15"/>
                <w:szCs w:val="15"/>
              </w:rPr>
              <w:t>质押或冻结情况</w:t>
            </w:r>
          </w:p>
        </w:tc>
      </w:tr>
      <w:tr>
        <w:trPr>
          <w:trHeight w:val="192" w:hRule="exact"/>
        </w:trPr>
        <w:tc>
          <w:tcPr>
            <w:tcW w:w="16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523" w:right="0"/>
              <w:jc w:val="left"/>
              <w:rPr>
                <w:rFonts w:ascii="宋体" w:hAnsi="宋体" w:cs="宋体" w:eastAsia="宋体" w:hint="default"/>
                <w:sz w:val="15"/>
                <w:szCs w:val="15"/>
              </w:rPr>
            </w:pPr>
            <w:r>
              <w:rPr>
                <w:rFonts w:ascii="宋体" w:hAnsi="宋体" w:cs="宋体" w:eastAsia="宋体" w:hint="default"/>
                <w:sz w:val="15"/>
                <w:szCs w:val="15"/>
              </w:rPr>
              <w:t>股东名称</w:t>
            </w:r>
          </w:p>
        </w:tc>
        <w:tc>
          <w:tcPr>
            <w:tcW w:w="15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484" w:right="0"/>
              <w:jc w:val="left"/>
              <w:rPr>
                <w:rFonts w:ascii="宋体" w:hAnsi="宋体" w:cs="宋体" w:eastAsia="宋体" w:hint="default"/>
                <w:sz w:val="15"/>
                <w:szCs w:val="15"/>
              </w:rPr>
            </w:pPr>
            <w:r>
              <w:rPr>
                <w:rFonts w:ascii="宋体" w:hAnsi="宋体" w:cs="宋体" w:eastAsia="宋体" w:hint="default"/>
                <w:sz w:val="15"/>
                <w:szCs w:val="15"/>
              </w:rPr>
              <w:t>股东性质</w:t>
            </w:r>
          </w:p>
        </w:tc>
        <w:tc>
          <w:tcPr>
            <w:tcW w:w="534" w:type="dxa"/>
            <w:vMerge/>
            <w:tcBorders>
              <w:left w:val="single" w:sz="4" w:space="0" w:color="000000"/>
              <w:right w:val="single" w:sz="4" w:space="0" w:color="000000"/>
            </w:tcBorders>
            <w:shd w:val="clear" w:color="auto" w:fill="D2D2D2"/>
          </w:tcPr>
          <w:p>
            <w:pPr/>
          </w:p>
        </w:tc>
        <w:tc>
          <w:tcPr>
            <w:tcW w:w="1033" w:type="dxa"/>
            <w:gridSpan w:val="3"/>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1044" w:type="dxa"/>
            <w:gridSpan w:val="2"/>
            <w:vMerge/>
            <w:tcBorders>
              <w:left w:val="single" w:sz="4" w:space="0" w:color="000000"/>
              <w:right w:val="single" w:sz="4" w:space="0" w:color="000000"/>
            </w:tcBorders>
            <w:shd w:val="clear" w:color="auto" w:fill="D2D2D2"/>
          </w:tcPr>
          <w:p>
            <w:pPr/>
          </w:p>
        </w:tc>
        <w:tc>
          <w:tcPr>
            <w:tcW w:w="1193" w:type="dxa"/>
            <w:gridSpan w:val="2"/>
            <w:vMerge/>
            <w:tcBorders>
              <w:left w:val="single" w:sz="4" w:space="0" w:color="000000"/>
              <w:right w:val="single" w:sz="4" w:space="0" w:color="000000"/>
            </w:tcBorders>
            <w:shd w:val="clear" w:color="auto" w:fill="D2D2D2"/>
          </w:tcPr>
          <w:p>
            <w:pPr/>
          </w:p>
        </w:tc>
        <w:tc>
          <w:tcPr>
            <w:tcW w:w="1627"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68" w:type="dxa"/>
            <w:gridSpan w:val="2"/>
            <w:vMerge/>
            <w:tcBorders>
              <w:left w:val="single" w:sz="4" w:space="0" w:color="000000"/>
              <w:bottom w:val="nil" w:sz="6" w:space="0" w:color="auto"/>
              <w:right w:val="single" w:sz="4" w:space="0" w:color="000000"/>
            </w:tcBorders>
            <w:shd w:val="clear" w:color="auto" w:fill="D2D2D2"/>
          </w:tcPr>
          <w:p>
            <w:pPr/>
          </w:p>
        </w:tc>
        <w:tc>
          <w:tcPr>
            <w:tcW w:w="1577" w:type="dxa"/>
            <w:gridSpan w:val="2"/>
            <w:vMerge/>
            <w:tcBorders>
              <w:left w:val="single" w:sz="4" w:space="0" w:color="000000"/>
              <w:bottom w:val="nil" w:sz="6" w:space="0" w:color="auto"/>
              <w:right w:val="single" w:sz="4" w:space="0" w:color="000000"/>
            </w:tcBorders>
            <w:shd w:val="clear" w:color="auto" w:fill="D2D2D2"/>
          </w:tcPr>
          <w:p>
            <w:pPr/>
          </w:p>
        </w:tc>
        <w:tc>
          <w:tcPr>
            <w:tcW w:w="534" w:type="dxa"/>
            <w:vMerge/>
            <w:tcBorders>
              <w:left w:val="single" w:sz="4" w:space="0" w:color="000000"/>
              <w:right w:val="single" w:sz="4" w:space="0" w:color="000000"/>
            </w:tcBorders>
            <w:shd w:val="clear" w:color="auto" w:fill="D2D2D2"/>
          </w:tcPr>
          <w:p>
            <w:pPr/>
          </w:p>
        </w:tc>
        <w:tc>
          <w:tcPr>
            <w:tcW w:w="1033" w:type="dxa"/>
            <w:gridSpan w:val="3"/>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1044" w:type="dxa"/>
            <w:gridSpan w:val="2"/>
            <w:vMerge/>
            <w:tcBorders>
              <w:left w:val="single" w:sz="4" w:space="0" w:color="000000"/>
              <w:right w:val="single" w:sz="4" w:space="0" w:color="000000"/>
            </w:tcBorders>
            <w:shd w:val="clear" w:color="auto" w:fill="D2D2D2"/>
          </w:tcPr>
          <w:p>
            <w:pPr/>
          </w:p>
        </w:tc>
        <w:tc>
          <w:tcPr>
            <w:tcW w:w="1193" w:type="dxa"/>
            <w:gridSpan w:val="2"/>
            <w:vMerge/>
            <w:tcBorders>
              <w:left w:val="single" w:sz="4" w:space="0" w:color="000000"/>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64" w:right="0"/>
              <w:jc w:val="left"/>
              <w:rPr>
                <w:rFonts w:ascii="宋体" w:hAnsi="宋体" w:cs="宋体" w:eastAsia="宋体" w:hint="default"/>
                <w:sz w:val="15"/>
                <w:szCs w:val="15"/>
              </w:rPr>
            </w:pPr>
            <w:r>
              <w:rPr>
                <w:rFonts w:ascii="宋体" w:hAnsi="宋体" w:cs="宋体" w:eastAsia="宋体" w:hint="default"/>
                <w:sz w:val="15"/>
                <w:szCs w:val="15"/>
              </w:rPr>
              <w:t>股份状态</w:t>
            </w:r>
          </w:p>
        </w:tc>
        <w:tc>
          <w:tcPr>
            <w:tcW w:w="8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89" w:right="0"/>
              <w:jc w:val="left"/>
              <w:rPr>
                <w:rFonts w:ascii="宋体" w:hAnsi="宋体" w:cs="宋体" w:eastAsia="宋体" w:hint="default"/>
                <w:sz w:val="15"/>
                <w:szCs w:val="15"/>
              </w:rPr>
            </w:pPr>
            <w:r>
              <w:rPr>
                <w:rFonts w:ascii="宋体" w:hAnsi="宋体" w:cs="宋体" w:eastAsia="宋体" w:hint="default"/>
                <w:sz w:val="15"/>
                <w:szCs w:val="15"/>
              </w:rPr>
              <w:t>数量</w:t>
            </w:r>
          </w:p>
        </w:tc>
      </w:tr>
      <w:tr>
        <w:trPr>
          <w:trHeight w:val="184" w:hRule="exact"/>
        </w:trPr>
        <w:tc>
          <w:tcPr>
            <w:tcW w:w="16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34" w:type="dxa"/>
            <w:vMerge/>
            <w:tcBorders>
              <w:left w:val="single" w:sz="4" w:space="0" w:color="000000"/>
              <w:bottom w:val="single" w:sz="4" w:space="0" w:color="000000"/>
              <w:right w:val="single" w:sz="4" w:space="0" w:color="000000"/>
            </w:tcBorders>
            <w:shd w:val="clear" w:color="auto" w:fill="D2D2D2"/>
          </w:tcPr>
          <w:p>
            <w:pPr/>
          </w:p>
        </w:tc>
        <w:tc>
          <w:tcPr>
            <w:tcW w:w="1033" w:type="dxa"/>
            <w:gridSpan w:val="3"/>
            <w:vMerge/>
            <w:tcBorders>
              <w:left w:val="single" w:sz="4" w:space="0" w:color="000000"/>
              <w:bottom w:val="single" w:sz="4" w:space="0" w:color="000000"/>
              <w:right w:val="single" w:sz="4" w:space="0" w:color="000000"/>
            </w:tcBorders>
            <w:shd w:val="clear" w:color="auto" w:fill="D2D2D2"/>
          </w:tcPr>
          <w:p>
            <w:pPr/>
          </w:p>
        </w:tc>
        <w:tc>
          <w:tcPr>
            <w:tcW w:w="879" w:type="dxa"/>
            <w:vMerge/>
            <w:tcBorders>
              <w:left w:val="single" w:sz="4" w:space="0" w:color="000000"/>
              <w:bottom w:val="single" w:sz="4" w:space="0" w:color="000000"/>
              <w:right w:val="single" w:sz="4" w:space="0" w:color="000000"/>
            </w:tcBorders>
            <w:shd w:val="clear" w:color="auto" w:fill="D2D2D2"/>
          </w:tcPr>
          <w:p>
            <w:pPr/>
          </w:p>
        </w:tc>
        <w:tc>
          <w:tcPr>
            <w:tcW w:w="1044" w:type="dxa"/>
            <w:gridSpan w:val="2"/>
            <w:vMerge/>
            <w:tcBorders>
              <w:left w:val="single" w:sz="4" w:space="0" w:color="000000"/>
              <w:bottom w:val="single" w:sz="4" w:space="0" w:color="000000"/>
              <w:right w:val="single" w:sz="4" w:space="0" w:color="000000"/>
            </w:tcBorders>
            <w:shd w:val="clear" w:color="auto" w:fill="D2D2D2"/>
          </w:tcPr>
          <w:p>
            <w:pPr/>
          </w:p>
        </w:tc>
        <w:tc>
          <w:tcPr>
            <w:tcW w:w="1193" w:type="dxa"/>
            <w:gridSpan w:val="2"/>
            <w:vMerge/>
            <w:tcBorders>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887"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680"/>
        <w:gridCol w:w="1577"/>
        <w:gridCol w:w="533"/>
        <w:gridCol w:w="1034"/>
        <w:gridCol w:w="876"/>
        <w:gridCol w:w="1044"/>
        <w:gridCol w:w="346"/>
        <w:gridCol w:w="850"/>
        <w:gridCol w:w="389"/>
        <w:gridCol w:w="350"/>
        <w:gridCol w:w="888"/>
      </w:tblGrid>
      <w:tr>
        <w:trPr>
          <w:trHeight w:val="40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路</w:t>
            </w:r>
            <w:r>
              <w:rPr>
                <w:rFonts w:ascii="宋体" w:hAnsi="宋体" w:cs="宋体" w:eastAsia="宋体" w:hint="default"/>
                <w:spacing w:val="1"/>
                <w:sz w:val="15"/>
                <w:szCs w:val="15"/>
              </w:rPr>
              <w:t> </w:t>
            </w:r>
            <w:r>
              <w:rPr>
                <w:rFonts w:ascii="宋体" w:hAnsi="宋体" w:cs="宋体" w:eastAsia="宋体" w:hint="default"/>
                <w:sz w:val="15"/>
                <w:szCs w:val="15"/>
              </w:rPr>
              <w:t>楠</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境内自然人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 w:right="0"/>
              <w:jc w:val="center"/>
              <w:rPr>
                <w:rFonts w:ascii="宋体" w:hAnsi="宋体" w:cs="宋体" w:eastAsia="宋体" w:hint="default"/>
                <w:sz w:val="15"/>
                <w:szCs w:val="15"/>
              </w:rPr>
            </w:pPr>
            <w:r>
              <w:rPr>
                <w:rFonts w:ascii="宋体"/>
                <w:sz w:val="15"/>
              </w:rPr>
              <w:t>16.33%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131,905,000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宋体" w:hAnsi="宋体" w:cs="宋体" w:eastAsia="宋体" w:hint="default"/>
                <w:sz w:val="15"/>
                <w:szCs w:val="15"/>
              </w:rPr>
            </w:pPr>
            <w:r>
              <w:rPr>
                <w:rFonts w:ascii="宋体"/>
                <w:w w:val="100"/>
                <w:sz w:val="15"/>
              </w:rPr>
              <w:t>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8" w:right="0"/>
              <w:jc w:val="left"/>
              <w:rPr>
                <w:rFonts w:ascii="宋体" w:hAnsi="宋体" w:cs="宋体" w:eastAsia="宋体" w:hint="default"/>
                <w:sz w:val="15"/>
                <w:szCs w:val="15"/>
              </w:rPr>
            </w:pPr>
            <w:r>
              <w:rPr>
                <w:rFonts w:ascii="宋体"/>
                <w:sz w:val="15"/>
              </w:rPr>
              <w:t>131,905,000</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42"/>
              <w:jc w:val="left"/>
              <w:rPr>
                <w:rFonts w:ascii="宋体" w:hAnsi="宋体" w:cs="宋体" w:eastAsia="宋体" w:hint="default"/>
                <w:sz w:val="15"/>
                <w:szCs w:val="15"/>
              </w:rPr>
            </w:pPr>
            <w:r>
              <w:rPr>
                <w:rFonts w:ascii="宋体" w:hAnsi="宋体" w:cs="宋体" w:eastAsia="宋体" w:hint="default"/>
                <w:spacing w:val="-2"/>
                <w:sz w:val="15"/>
                <w:szCs w:val="15"/>
              </w:rPr>
              <w:t>杭州思创医惠集团有限</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境内非国有法人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9" w:right="0"/>
              <w:jc w:val="center"/>
              <w:rPr>
                <w:rFonts w:ascii="宋体" w:hAnsi="宋体" w:cs="宋体" w:eastAsia="宋体" w:hint="default"/>
                <w:sz w:val="15"/>
                <w:szCs w:val="15"/>
              </w:rPr>
            </w:pPr>
            <w:r>
              <w:rPr>
                <w:rFonts w:ascii="宋体"/>
                <w:sz w:val="15"/>
              </w:rPr>
              <w:t>11.25%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90,912,612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90,912,612</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w w:val="100"/>
                <w:sz w:val="15"/>
              </w:rPr>
              <w:t>0</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质押</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4" w:right="0"/>
              <w:jc w:val="center"/>
              <w:rPr>
                <w:rFonts w:ascii="宋体" w:hAnsi="宋体" w:cs="宋体" w:eastAsia="宋体" w:hint="default"/>
                <w:sz w:val="15"/>
                <w:szCs w:val="15"/>
              </w:rPr>
            </w:pPr>
            <w:r>
              <w:rPr>
                <w:rFonts w:ascii="宋体"/>
                <w:sz w:val="15"/>
              </w:rPr>
              <w:t>34,150,000</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章笠中</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境内自然人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6" w:right="0"/>
              <w:jc w:val="center"/>
              <w:rPr>
                <w:rFonts w:ascii="宋体" w:hAnsi="宋体" w:cs="宋体" w:eastAsia="宋体" w:hint="default"/>
                <w:sz w:val="15"/>
                <w:szCs w:val="15"/>
              </w:rPr>
            </w:pPr>
            <w:r>
              <w:rPr>
                <w:rFonts w:ascii="宋体"/>
                <w:sz w:val="15"/>
              </w:rPr>
              <w:t>3.05%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24,601,203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宋体" w:hAnsi="宋体" w:cs="宋体" w:eastAsia="宋体" w:hint="default"/>
                <w:sz w:val="15"/>
                <w:szCs w:val="15"/>
              </w:rPr>
            </w:pPr>
            <w:r>
              <w:rPr>
                <w:rFonts w:ascii="宋体"/>
                <w:spacing w:val="-1"/>
                <w:sz w:val="15"/>
              </w:rPr>
              <w:t>18,450,902</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89" w:right="0"/>
              <w:jc w:val="left"/>
              <w:rPr>
                <w:rFonts w:ascii="宋体" w:hAnsi="宋体" w:cs="宋体" w:eastAsia="宋体" w:hint="default"/>
                <w:sz w:val="15"/>
                <w:szCs w:val="15"/>
              </w:rPr>
            </w:pPr>
            <w:r>
              <w:rPr>
                <w:rFonts w:ascii="宋体"/>
                <w:sz w:val="15"/>
              </w:rPr>
              <w:t>6,150,301</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5"/>
                <w:szCs w:val="15"/>
              </w:rPr>
            </w:pPr>
            <w:r>
              <w:rPr>
                <w:rFonts w:ascii="宋体" w:hAnsi="宋体" w:cs="宋体" w:eastAsia="宋体" w:hint="default"/>
                <w:sz w:val="15"/>
                <w:szCs w:val="15"/>
              </w:rPr>
              <w:t>方振淳</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5"/>
                <w:szCs w:val="15"/>
              </w:rPr>
            </w:pPr>
            <w:r>
              <w:rPr>
                <w:rFonts w:ascii="宋体" w:hAnsi="宋体" w:cs="宋体" w:eastAsia="宋体" w:hint="default"/>
                <w:sz w:val="15"/>
                <w:szCs w:val="15"/>
              </w:rPr>
              <w:t>境内自然人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6" w:right="0"/>
              <w:jc w:val="center"/>
              <w:rPr>
                <w:rFonts w:ascii="宋体" w:hAnsi="宋体" w:cs="宋体" w:eastAsia="宋体" w:hint="default"/>
                <w:sz w:val="15"/>
                <w:szCs w:val="15"/>
              </w:rPr>
            </w:pPr>
            <w:r>
              <w:rPr>
                <w:rFonts w:ascii="宋体"/>
                <w:sz w:val="15"/>
              </w:rPr>
              <w:t>2.37%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5"/>
                <w:szCs w:val="15"/>
              </w:rPr>
            </w:pPr>
            <w:r>
              <w:rPr>
                <w:rFonts w:ascii="宋体"/>
                <w:spacing w:val="-1"/>
                <w:sz w:val="15"/>
              </w:rPr>
              <w:t>19,160,312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宋体" w:hAnsi="宋体" w:cs="宋体" w:eastAsia="宋体" w:hint="default"/>
                <w:sz w:val="15"/>
                <w:szCs w:val="15"/>
              </w:rPr>
            </w:pPr>
            <w:r>
              <w:rPr>
                <w:rFonts w:ascii="宋体"/>
                <w:spacing w:val="-1"/>
                <w:sz w:val="15"/>
              </w:rPr>
              <w:t>-81058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宋体" w:hAnsi="宋体" w:cs="宋体" w:eastAsia="宋体" w:hint="default"/>
                <w:sz w:val="15"/>
                <w:szCs w:val="15"/>
              </w:rPr>
            </w:pPr>
            <w:r>
              <w:rPr>
                <w:rFonts w:ascii="宋体"/>
                <w:spacing w:val="-1"/>
                <w:sz w:val="15"/>
              </w:rPr>
              <w:t>18,045,112</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宋体" w:hAnsi="宋体" w:cs="宋体" w:eastAsia="宋体" w:hint="default"/>
                <w:sz w:val="15"/>
                <w:szCs w:val="15"/>
              </w:rPr>
            </w:pPr>
            <w:r>
              <w:rPr>
                <w:rFonts w:ascii="宋体"/>
                <w:sz w:val="15"/>
              </w:rPr>
              <w:t>1,115,200</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5" w:right="0"/>
              <w:jc w:val="left"/>
              <w:rPr>
                <w:rFonts w:ascii="宋体" w:hAnsi="宋体" w:cs="宋体" w:eastAsia="宋体" w:hint="default"/>
                <w:sz w:val="15"/>
                <w:szCs w:val="15"/>
              </w:rPr>
            </w:pPr>
            <w:r>
              <w:rPr>
                <w:rFonts w:ascii="宋体" w:hAnsi="宋体" w:cs="宋体" w:eastAsia="宋体" w:hint="default"/>
                <w:sz w:val="15"/>
                <w:szCs w:val="15"/>
              </w:rPr>
              <w:t>质押</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4" w:right="0"/>
              <w:jc w:val="center"/>
              <w:rPr>
                <w:rFonts w:ascii="宋体" w:hAnsi="宋体" w:cs="宋体" w:eastAsia="宋体" w:hint="default"/>
                <w:sz w:val="15"/>
                <w:szCs w:val="15"/>
              </w:rPr>
            </w:pPr>
            <w:r>
              <w:rPr>
                <w:rFonts w:ascii="宋体"/>
                <w:sz w:val="15"/>
              </w:rPr>
              <w:t>19,160,312</w:t>
            </w:r>
          </w:p>
        </w:tc>
      </w:tr>
      <w:tr>
        <w:trPr>
          <w:trHeight w:val="71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42"/>
              <w:jc w:val="left"/>
              <w:rPr>
                <w:rFonts w:ascii="宋体" w:hAnsi="宋体" w:cs="宋体" w:eastAsia="宋体" w:hint="default"/>
                <w:sz w:val="15"/>
                <w:szCs w:val="15"/>
              </w:rPr>
            </w:pPr>
            <w:r>
              <w:rPr>
                <w:rFonts w:ascii="宋体" w:hAnsi="宋体" w:cs="宋体" w:eastAsia="宋体" w:hint="default"/>
                <w:spacing w:val="-2"/>
                <w:sz w:val="15"/>
                <w:szCs w:val="15"/>
              </w:rPr>
              <w:t>西藏瑞华资本管理有限</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境内非国有法人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15"/>
                <w:szCs w:val="15"/>
              </w:rPr>
            </w:pPr>
            <w:r>
              <w:rPr>
                <w:rFonts w:ascii="宋体"/>
                <w:sz w:val="15"/>
              </w:rPr>
              <w:t>2.23%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18,045,112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18,045,112</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w w:val="100"/>
                <w:sz w:val="15"/>
              </w:rPr>
              <w:t>0</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质押</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84" w:right="0"/>
              <w:jc w:val="center"/>
              <w:rPr>
                <w:rFonts w:ascii="宋体" w:hAnsi="宋体" w:cs="宋体" w:eastAsia="宋体" w:hint="default"/>
                <w:sz w:val="15"/>
                <w:szCs w:val="15"/>
              </w:rPr>
            </w:pPr>
            <w:r>
              <w:rPr>
                <w:rFonts w:ascii="宋体"/>
                <w:sz w:val="15"/>
              </w:rPr>
              <w:t>18,045,111</w:t>
            </w:r>
          </w:p>
        </w:tc>
      </w:tr>
      <w:tr>
        <w:trPr>
          <w:trHeight w:val="134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 w:right="19"/>
              <w:jc w:val="left"/>
              <w:rPr>
                <w:rFonts w:ascii="宋体" w:hAnsi="宋体" w:cs="宋体" w:eastAsia="宋体" w:hint="default"/>
                <w:sz w:val="15"/>
                <w:szCs w:val="15"/>
              </w:rPr>
            </w:pPr>
            <w:r>
              <w:rPr>
                <w:rFonts w:ascii="宋体" w:hAnsi="宋体" w:cs="宋体" w:eastAsia="宋体" w:hint="default"/>
                <w:sz w:val="15"/>
                <w:szCs w:val="15"/>
              </w:rPr>
              <w:t>浙江鲲鹏资产管理有限</w:t>
            </w:r>
            <w:r>
              <w:rPr>
                <w:rFonts w:ascii="宋体" w:hAnsi="宋体" w:cs="宋体" w:eastAsia="宋体" w:hint="default"/>
                <w:w w:val="100"/>
                <w:sz w:val="15"/>
                <w:szCs w:val="15"/>
              </w:rPr>
              <w:t> </w:t>
            </w:r>
            <w:r>
              <w:rPr>
                <w:rFonts w:ascii="宋体" w:hAnsi="宋体" w:cs="宋体" w:eastAsia="宋体" w:hint="default"/>
                <w:sz w:val="15"/>
                <w:szCs w:val="15"/>
              </w:rPr>
              <w:t>公司－鲲鹏资本－中瑞</w:t>
            </w:r>
            <w:r>
              <w:rPr>
                <w:rFonts w:ascii="宋体" w:hAnsi="宋体" w:cs="宋体" w:eastAsia="宋体" w:hint="default"/>
                <w:w w:val="100"/>
                <w:sz w:val="15"/>
                <w:szCs w:val="15"/>
              </w:rPr>
              <w:t> </w:t>
            </w:r>
            <w:r>
              <w:rPr>
                <w:rFonts w:ascii="宋体" w:hAnsi="宋体" w:cs="宋体" w:eastAsia="宋体" w:hint="default"/>
                <w:sz w:val="15"/>
                <w:szCs w:val="15"/>
              </w:rPr>
              <w:t>思创定增</w:t>
            </w:r>
            <w:r>
              <w:rPr>
                <w:rFonts w:ascii="宋体" w:hAnsi="宋体" w:cs="宋体" w:eastAsia="宋体" w:hint="default"/>
                <w:spacing w:val="-53"/>
                <w:sz w:val="15"/>
                <w:szCs w:val="15"/>
              </w:rPr>
              <w:t> </w:t>
            </w:r>
            <w:r>
              <w:rPr>
                <w:rFonts w:ascii="宋体" w:hAnsi="宋体" w:cs="宋体" w:eastAsia="宋体" w:hint="default"/>
                <w:sz w:val="15"/>
                <w:szCs w:val="15"/>
              </w:rPr>
              <w:t>1</w:t>
            </w:r>
            <w:r>
              <w:rPr>
                <w:rFonts w:ascii="宋体" w:hAnsi="宋体" w:cs="宋体" w:eastAsia="宋体" w:hint="default"/>
                <w:spacing w:val="-50"/>
                <w:sz w:val="15"/>
                <w:szCs w:val="15"/>
              </w:rPr>
              <w:t> </w:t>
            </w:r>
            <w:r>
              <w:rPr>
                <w:rFonts w:ascii="宋体" w:hAnsi="宋体" w:cs="宋体" w:eastAsia="宋体" w:hint="default"/>
                <w:sz w:val="15"/>
                <w:szCs w:val="15"/>
              </w:rPr>
              <w:t>号证券投资基</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宋体" w:hAnsi="宋体" w:cs="宋体" w:eastAsia="宋体" w:hint="default"/>
                <w:sz w:val="15"/>
                <w:szCs w:val="15"/>
              </w:rPr>
            </w:pPr>
            <w:r>
              <w:rPr>
                <w:rFonts w:ascii="宋体"/>
                <w:sz w:val="15"/>
              </w:rPr>
              <w:t>2.23%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18,045,111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18,045,111</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w w:val="100"/>
                <w:sz w:val="15"/>
              </w:rPr>
              <w:t>0</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42"/>
              <w:jc w:val="both"/>
              <w:rPr>
                <w:rFonts w:ascii="宋体" w:hAnsi="宋体" w:cs="宋体" w:eastAsia="宋体" w:hint="default"/>
                <w:sz w:val="15"/>
                <w:szCs w:val="15"/>
              </w:rPr>
            </w:pPr>
            <w:r>
              <w:rPr>
                <w:rFonts w:ascii="宋体" w:hAnsi="宋体" w:cs="宋体" w:eastAsia="宋体" w:hint="default"/>
                <w:spacing w:val="-2"/>
                <w:sz w:val="15"/>
                <w:szCs w:val="15"/>
              </w:rPr>
              <w:t>中国工商银行股份有限</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公司－易方达创业板交</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易型开放式指数证券投</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资基金</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宋体" w:hAnsi="宋体" w:cs="宋体" w:eastAsia="宋体" w:hint="default"/>
                <w:sz w:val="15"/>
                <w:szCs w:val="15"/>
              </w:rPr>
            </w:pPr>
            <w:r>
              <w:rPr>
                <w:rFonts w:ascii="宋体"/>
                <w:sz w:val="15"/>
              </w:rPr>
              <w:t>1.32%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10,630,658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8226535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12" w:right="0"/>
              <w:jc w:val="left"/>
              <w:rPr>
                <w:rFonts w:ascii="宋体" w:hAnsi="宋体" w:cs="宋体" w:eastAsia="宋体" w:hint="default"/>
                <w:sz w:val="15"/>
                <w:szCs w:val="15"/>
              </w:rPr>
            </w:pPr>
            <w:r>
              <w:rPr>
                <w:rFonts w:ascii="宋体"/>
                <w:sz w:val="15"/>
              </w:rPr>
              <w:t>10,630,658</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5"/>
                <w:szCs w:val="15"/>
              </w:rPr>
            </w:pPr>
            <w:r>
              <w:rPr>
                <w:rFonts w:ascii="宋体" w:hAnsi="宋体" w:cs="宋体" w:eastAsia="宋体" w:hint="default"/>
                <w:sz w:val="15"/>
                <w:szCs w:val="15"/>
              </w:rPr>
              <w:t>张</w:t>
            </w:r>
            <w:r>
              <w:rPr>
                <w:rFonts w:ascii="宋体" w:hAnsi="宋体" w:cs="宋体" w:eastAsia="宋体" w:hint="default"/>
                <w:spacing w:val="1"/>
                <w:sz w:val="15"/>
                <w:szCs w:val="15"/>
              </w:rPr>
              <w:t> </w:t>
            </w:r>
            <w:r>
              <w:rPr>
                <w:rFonts w:ascii="宋体" w:hAnsi="宋体" w:cs="宋体" w:eastAsia="宋体" w:hint="default"/>
                <w:sz w:val="15"/>
                <w:szCs w:val="15"/>
              </w:rPr>
              <w:t>佶</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5"/>
                <w:szCs w:val="15"/>
              </w:rPr>
            </w:pPr>
            <w:r>
              <w:rPr>
                <w:rFonts w:ascii="宋体" w:hAnsi="宋体" w:cs="宋体" w:eastAsia="宋体" w:hint="default"/>
                <w:sz w:val="15"/>
                <w:szCs w:val="15"/>
              </w:rPr>
              <w:t>境内自然人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6" w:right="0"/>
              <w:jc w:val="center"/>
              <w:rPr>
                <w:rFonts w:ascii="宋体" w:hAnsi="宋体" w:cs="宋体" w:eastAsia="宋体" w:hint="default"/>
                <w:sz w:val="15"/>
                <w:szCs w:val="15"/>
              </w:rPr>
            </w:pPr>
            <w:r>
              <w:rPr>
                <w:rFonts w:ascii="宋体"/>
                <w:sz w:val="15"/>
              </w:rPr>
              <w:t>1.13%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5"/>
                <w:szCs w:val="15"/>
              </w:rPr>
            </w:pPr>
            <w:r>
              <w:rPr>
                <w:rFonts w:ascii="宋体"/>
                <w:spacing w:val="-2"/>
                <w:sz w:val="15"/>
              </w:rPr>
              <w:t>9,167,600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宋体" w:hAnsi="宋体" w:cs="宋体" w:eastAsia="宋体" w:hint="default"/>
                <w:sz w:val="15"/>
                <w:szCs w:val="15"/>
              </w:rPr>
            </w:pPr>
            <w:r>
              <w:rPr>
                <w:rFonts w:ascii="宋体"/>
                <w:w w:val="100"/>
                <w:sz w:val="15"/>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宋体" w:hAnsi="宋体" w:cs="宋体" w:eastAsia="宋体" w:hint="default"/>
                <w:sz w:val="15"/>
                <w:szCs w:val="15"/>
              </w:rPr>
            </w:pPr>
            <w:r>
              <w:rPr>
                <w:rFonts w:ascii="宋体"/>
                <w:w w:val="100"/>
                <w:sz w:val="15"/>
              </w:rPr>
              <w:t>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宋体" w:hAnsi="宋体" w:cs="宋体" w:eastAsia="宋体" w:hint="default"/>
                <w:sz w:val="15"/>
                <w:szCs w:val="15"/>
              </w:rPr>
            </w:pPr>
            <w:r>
              <w:rPr>
                <w:rFonts w:ascii="宋体"/>
                <w:sz w:val="15"/>
              </w:rPr>
              <w:t>9,167,600</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67"/>
              <w:jc w:val="left"/>
              <w:rPr>
                <w:rFonts w:ascii="宋体" w:hAnsi="宋体" w:cs="宋体" w:eastAsia="宋体" w:hint="default"/>
                <w:sz w:val="15"/>
                <w:szCs w:val="15"/>
              </w:rPr>
            </w:pPr>
            <w:r>
              <w:rPr>
                <w:rFonts w:ascii="宋体" w:hAnsi="宋体" w:cs="宋体" w:eastAsia="宋体" w:hint="default"/>
                <w:sz w:val="15"/>
                <w:szCs w:val="15"/>
              </w:rPr>
              <w:t>中国建设银行股份有限</w:t>
            </w:r>
            <w:r>
              <w:rPr>
                <w:rFonts w:ascii="宋体" w:hAnsi="宋体" w:cs="宋体" w:eastAsia="宋体" w:hint="default"/>
                <w:w w:val="100"/>
                <w:sz w:val="15"/>
                <w:szCs w:val="15"/>
              </w:rPr>
              <w:t> </w:t>
            </w:r>
            <w:r>
              <w:rPr>
                <w:rFonts w:ascii="宋体" w:hAnsi="宋体" w:cs="宋体" w:eastAsia="宋体" w:hint="default"/>
                <w:sz w:val="15"/>
                <w:szCs w:val="15"/>
              </w:rPr>
              <w:t>公司－华安创业板</w:t>
            </w:r>
            <w:r>
              <w:rPr>
                <w:rFonts w:ascii="宋体" w:hAnsi="宋体" w:cs="宋体" w:eastAsia="宋体" w:hint="default"/>
                <w:spacing w:val="-39"/>
                <w:sz w:val="15"/>
                <w:szCs w:val="15"/>
              </w:rPr>
              <w:t> </w:t>
            </w: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交</w:t>
            </w:r>
            <w:r>
              <w:rPr>
                <w:rFonts w:ascii="宋体" w:hAnsi="宋体" w:cs="宋体" w:eastAsia="宋体" w:hint="default"/>
                <w:w w:val="100"/>
                <w:sz w:val="15"/>
                <w:szCs w:val="15"/>
              </w:rPr>
              <w:t> </w:t>
            </w:r>
            <w:r>
              <w:rPr>
                <w:rFonts w:ascii="宋体" w:hAnsi="宋体" w:cs="宋体" w:eastAsia="宋体" w:hint="default"/>
                <w:sz w:val="15"/>
                <w:szCs w:val="15"/>
              </w:rPr>
              <w:t>易型开放式指数证券投</w:t>
            </w:r>
            <w:r>
              <w:rPr>
                <w:rFonts w:ascii="宋体" w:hAnsi="宋体" w:cs="宋体" w:eastAsia="宋体" w:hint="default"/>
                <w:w w:val="100"/>
                <w:sz w:val="15"/>
                <w:szCs w:val="15"/>
              </w:rPr>
              <w:t> </w:t>
            </w:r>
            <w:r>
              <w:rPr>
                <w:rFonts w:ascii="宋体" w:hAnsi="宋体" w:cs="宋体" w:eastAsia="宋体" w:hint="default"/>
                <w:sz w:val="15"/>
                <w:szCs w:val="15"/>
              </w:rPr>
              <w:t>资基金</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宋体" w:hAnsi="宋体" w:cs="宋体" w:eastAsia="宋体" w:hint="default"/>
                <w:sz w:val="15"/>
                <w:szCs w:val="15"/>
              </w:rPr>
            </w:pPr>
            <w:r>
              <w:rPr>
                <w:rFonts w:ascii="宋体"/>
                <w:sz w:val="15"/>
              </w:rPr>
              <w:t>1.12%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9,043,703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8876603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89" w:right="0"/>
              <w:jc w:val="left"/>
              <w:rPr>
                <w:rFonts w:ascii="宋体" w:hAnsi="宋体" w:cs="宋体" w:eastAsia="宋体" w:hint="default"/>
                <w:sz w:val="15"/>
                <w:szCs w:val="15"/>
              </w:rPr>
            </w:pPr>
            <w:r>
              <w:rPr>
                <w:rFonts w:ascii="宋体"/>
                <w:sz w:val="15"/>
              </w:rPr>
              <w:t>9,043,703</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 w:right="142"/>
              <w:jc w:val="both"/>
              <w:rPr>
                <w:rFonts w:ascii="宋体" w:hAnsi="宋体" w:cs="宋体" w:eastAsia="宋体" w:hint="default"/>
                <w:sz w:val="15"/>
                <w:szCs w:val="15"/>
              </w:rPr>
            </w:pPr>
            <w:r>
              <w:rPr>
                <w:rFonts w:ascii="宋体" w:hAnsi="宋体" w:cs="宋体" w:eastAsia="宋体" w:hint="default"/>
                <w:spacing w:val="-2"/>
                <w:sz w:val="15"/>
                <w:szCs w:val="15"/>
              </w:rPr>
              <w:t>中国建设银行股份有限</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公司－交银施罗德阿尔</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法核心混合型证券投资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基金</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宋体" w:hAnsi="宋体" w:cs="宋体" w:eastAsia="宋体" w:hint="default"/>
                <w:sz w:val="15"/>
                <w:szCs w:val="15"/>
              </w:rPr>
            </w:pPr>
            <w:r>
              <w:rPr>
                <w:rFonts w:ascii="宋体"/>
                <w:sz w:val="15"/>
              </w:rPr>
              <w:t>1.10%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8,888,125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8888125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5"/>
                <w:szCs w:val="15"/>
              </w:rPr>
            </w:pPr>
            <w:r>
              <w:rPr>
                <w:rFonts w:ascii="宋体"/>
                <w:w w:val="100"/>
                <w:sz w:val="15"/>
              </w:rPr>
              <w:t>0</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89" w:right="0"/>
              <w:jc w:val="left"/>
              <w:rPr>
                <w:rFonts w:ascii="宋体" w:hAnsi="宋体" w:cs="宋体" w:eastAsia="宋体" w:hint="default"/>
                <w:sz w:val="15"/>
                <w:szCs w:val="15"/>
              </w:rPr>
            </w:pPr>
            <w:r>
              <w:rPr>
                <w:rFonts w:ascii="宋体"/>
                <w:sz w:val="15"/>
              </w:rPr>
              <w:t>8,888,125</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4" w:right="23"/>
              <w:jc w:val="left"/>
              <w:rPr>
                <w:rFonts w:ascii="宋体" w:hAnsi="宋体" w:cs="宋体" w:eastAsia="宋体" w:hint="default"/>
                <w:sz w:val="15"/>
                <w:szCs w:val="15"/>
              </w:rPr>
            </w:pPr>
            <w:r>
              <w:rPr>
                <w:rFonts w:ascii="宋体" w:hAnsi="宋体" w:cs="宋体" w:eastAsia="宋体" w:hint="default"/>
                <w:sz w:val="15"/>
                <w:szCs w:val="15"/>
              </w:rPr>
              <w:t>战略投资者或一般法人因配售新股成为前</w:t>
            </w:r>
            <w:r>
              <w:rPr>
                <w:rFonts w:ascii="宋体" w:hAnsi="宋体" w:cs="宋体" w:eastAsia="宋体" w:hint="default"/>
                <w:spacing w:val="-51"/>
                <w:sz w:val="15"/>
                <w:szCs w:val="15"/>
              </w:rPr>
              <w:t> </w:t>
            </w:r>
            <w:r>
              <w:rPr>
                <w:rFonts w:ascii="宋体" w:hAnsi="宋体" w:cs="宋体" w:eastAsia="宋体" w:hint="default"/>
                <w:sz w:val="15"/>
                <w:szCs w:val="15"/>
              </w:rPr>
              <w:t>10</w:t>
            </w:r>
            <w:r>
              <w:rPr>
                <w:rFonts w:ascii="宋体" w:hAnsi="宋体" w:cs="宋体" w:eastAsia="宋体" w:hint="default"/>
                <w:spacing w:val="-51"/>
                <w:sz w:val="15"/>
                <w:szCs w:val="15"/>
              </w:rPr>
              <w:t> </w:t>
            </w:r>
            <w:r>
              <w:rPr>
                <w:rFonts w:ascii="宋体" w:hAnsi="宋体" w:cs="宋体" w:eastAsia="宋体" w:hint="default"/>
                <w:spacing w:val="-3"/>
                <w:sz w:val="15"/>
                <w:szCs w:val="15"/>
              </w:rPr>
              <w:t>名股</w:t>
            </w:r>
            <w:r>
              <w:rPr>
                <w:rFonts w:ascii="宋体" w:hAnsi="宋体" w:cs="宋体" w:eastAsia="宋体" w:hint="default"/>
                <w:spacing w:val="-3"/>
                <w:w w:val="100"/>
                <w:sz w:val="15"/>
                <w:szCs w:val="15"/>
              </w:rPr>
              <w:t> </w:t>
            </w:r>
            <w:r>
              <w:rPr>
                <w:rFonts w:ascii="宋体" w:hAnsi="宋体" w:cs="宋体" w:eastAsia="宋体" w:hint="default"/>
                <w:spacing w:val="-8"/>
                <w:w w:val="100"/>
                <w:sz w:val="15"/>
                <w:szCs w:val="15"/>
              </w:rPr>
              <w:t>东的情况（如有）（参见注</w:t>
            </w:r>
            <w:r>
              <w:rPr>
                <w:rFonts w:ascii="宋体" w:hAnsi="宋体" w:cs="宋体" w:eastAsia="宋体" w:hint="default"/>
                <w:spacing w:val="-34"/>
                <w:w w:val="100"/>
                <w:sz w:val="15"/>
                <w:szCs w:val="15"/>
              </w:rPr>
              <w:t> </w:t>
            </w:r>
            <w:r>
              <w:rPr>
                <w:rFonts w:ascii="宋体" w:hAnsi="宋体" w:cs="宋体" w:eastAsia="宋体" w:hint="default"/>
                <w:spacing w:val="-1"/>
                <w:w w:val="100"/>
                <w:sz w:val="15"/>
                <w:szCs w:val="15"/>
              </w:rPr>
              <w:t>4</w:t>
            </w:r>
            <w:r>
              <w:rPr>
                <w:rFonts w:ascii="宋体" w:hAnsi="宋体" w:cs="宋体" w:eastAsia="宋体" w:hint="default"/>
                <w:spacing w:val="-1"/>
                <w:w w:val="100"/>
                <w:sz w:val="15"/>
                <w:szCs w:val="15"/>
              </w:rPr>
              <w:t>）</w:t>
            </w:r>
          </w:p>
        </w:tc>
        <w:tc>
          <w:tcPr>
            <w:tcW w:w="6311"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西藏瑞华资本管理有限公司、浙江鲲鹏资产管理有限公司－鲲鹏资本－中瑞思创定增 </w:t>
            </w:r>
            <w:r>
              <w:rPr>
                <w:rFonts w:ascii="宋体" w:hAnsi="宋体" w:cs="宋体" w:eastAsia="宋体" w:hint="default"/>
                <w:sz w:val="15"/>
                <w:szCs w:val="15"/>
              </w:rPr>
              <w:t>1</w:t>
            </w:r>
            <w:r>
              <w:rPr>
                <w:rFonts w:ascii="宋体" w:hAnsi="宋体" w:cs="宋体" w:eastAsia="宋体" w:hint="default"/>
                <w:spacing w:val="-47"/>
                <w:sz w:val="15"/>
                <w:szCs w:val="15"/>
              </w:rPr>
              <w:t> </w:t>
            </w:r>
            <w:r>
              <w:rPr>
                <w:rFonts w:ascii="宋体" w:hAnsi="宋体" w:cs="宋体" w:eastAsia="宋体" w:hint="default"/>
                <w:sz w:val="15"/>
                <w:szCs w:val="15"/>
              </w:rPr>
              <w:t>号证券</w:t>
            </w:r>
          </w:p>
          <w:p>
            <w:pPr>
              <w:pStyle w:val="TableParagraph"/>
              <w:spacing w:line="240" w:lineRule="auto" w:before="115"/>
              <w:ind w:left="11" w:right="0"/>
              <w:jc w:val="left"/>
              <w:rPr>
                <w:rFonts w:ascii="宋体" w:hAnsi="宋体" w:cs="宋体" w:eastAsia="宋体" w:hint="default"/>
                <w:sz w:val="15"/>
                <w:szCs w:val="15"/>
              </w:rPr>
            </w:pPr>
            <w:r>
              <w:rPr>
                <w:rFonts w:ascii="宋体" w:hAnsi="宋体" w:cs="宋体" w:eastAsia="宋体" w:hint="default"/>
                <w:sz w:val="15"/>
                <w:szCs w:val="15"/>
              </w:rPr>
              <w:t>投资基金、方振淳因认购公司非公开发行新股成为前</w:t>
            </w:r>
            <w:r>
              <w:rPr>
                <w:rFonts w:ascii="宋体" w:hAnsi="宋体" w:cs="宋体" w:eastAsia="宋体" w:hint="default"/>
                <w:spacing w:val="-43"/>
                <w:sz w:val="15"/>
                <w:szCs w:val="15"/>
              </w:rPr>
              <w:t> </w:t>
            </w:r>
            <w:r>
              <w:rPr>
                <w:rFonts w:ascii="宋体" w:hAnsi="宋体" w:cs="宋体" w:eastAsia="宋体" w:hint="default"/>
                <w:sz w:val="15"/>
                <w:szCs w:val="15"/>
              </w:rPr>
              <w:t>10</w:t>
            </w:r>
            <w:r>
              <w:rPr>
                <w:rFonts w:ascii="宋体" w:hAnsi="宋体" w:cs="宋体" w:eastAsia="宋体" w:hint="default"/>
                <w:spacing w:val="-40"/>
                <w:sz w:val="15"/>
                <w:szCs w:val="15"/>
              </w:rPr>
              <w:t> </w:t>
            </w:r>
            <w:r>
              <w:rPr>
                <w:rFonts w:ascii="宋体" w:hAnsi="宋体" w:cs="宋体" w:eastAsia="宋体" w:hint="default"/>
                <w:sz w:val="15"/>
                <w:szCs w:val="15"/>
              </w:rPr>
              <w:t>名股东。</w:t>
            </w:r>
          </w:p>
        </w:tc>
      </w:tr>
      <w:tr>
        <w:trPr>
          <w:trHeight w:val="1214" w:hRule="exact"/>
        </w:trPr>
        <w:tc>
          <w:tcPr>
            <w:tcW w:w="32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11" w:type="dxa"/>
            <w:gridSpan w:val="9"/>
            <w:vMerge w:val="restart"/>
            <w:tcBorders>
              <w:top w:val="single" w:sz="4" w:space="0" w:color="000000"/>
              <w:left w:val="single" w:sz="10" w:space="0" w:color="D2D2D2"/>
              <w:right w:val="single" w:sz="4" w:space="0" w:color="000000"/>
            </w:tcBorders>
          </w:tcPr>
          <w:p>
            <w:pPr>
              <w:pStyle w:val="TableParagraph"/>
              <w:spacing w:line="381" w:lineRule="auto" w:before="36"/>
              <w:ind w:left="16" w:right="14"/>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宋体" w:hAnsi="宋体" w:cs="宋体" w:eastAsia="宋体" w:hint="default"/>
                <w:spacing w:val="-3"/>
                <w:sz w:val="15"/>
                <w:szCs w:val="15"/>
              </w:rPr>
              <w:t>1</w:t>
            </w:r>
            <w:r>
              <w:rPr>
                <w:rFonts w:ascii="宋体" w:hAnsi="宋体" w:cs="宋体" w:eastAsia="宋体" w:hint="default"/>
                <w:spacing w:val="-3"/>
                <w:sz w:val="15"/>
                <w:szCs w:val="15"/>
              </w:rPr>
              <w:t>）公司自然人股东路楠先生持有法人股东杭州博泰投资管理有限公司 </w:t>
            </w:r>
            <w:r>
              <w:rPr>
                <w:rFonts w:ascii="宋体" w:hAnsi="宋体" w:cs="宋体" w:eastAsia="宋体" w:hint="default"/>
                <w:spacing w:val="-4"/>
                <w:sz w:val="15"/>
                <w:szCs w:val="15"/>
              </w:rPr>
              <w:t>59.02%</w:t>
            </w:r>
            <w:r>
              <w:rPr>
                <w:rFonts w:ascii="宋体" w:hAnsi="宋体" w:cs="宋体" w:eastAsia="宋体" w:hint="default"/>
                <w:spacing w:val="-4"/>
                <w:sz w:val="15"/>
                <w:szCs w:val="15"/>
              </w:rPr>
              <w:t>的股权；非公开</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3"/>
                <w:sz w:val="15"/>
                <w:szCs w:val="15"/>
              </w:rPr>
              <w:t>发行认购方西藏瑞华资本管理有限公司、浙江鲲鹏资产管理有限公司—鲲鹏资本—中瑞思创定增</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w w:val="100"/>
                <w:sz w:val="15"/>
                <w:szCs w:val="15"/>
              </w:rPr>
              <w:t>1 </w:t>
            </w:r>
            <w:r>
              <w:rPr>
                <w:rFonts w:ascii="宋体" w:hAnsi="宋体" w:cs="宋体" w:eastAsia="宋体" w:hint="default"/>
                <w:spacing w:val="-4"/>
                <w:w w:val="100"/>
                <w:sz w:val="15"/>
                <w:szCs w:val="15"/>
              </w:rPr>
              <w:t>号证券投资基金、方振淳与公司控股股东路楠先生签署了《委托投票协议书》，就其本次认购</w:t>
            </w:r>
            <w:r>
              <w:rPr>
                <w:rFonts w:ascii="宋体" w:hAnsi="宋体" w:cs="宋体" w:eastAsia="宋体" w:hint="default"/>
                <w:spacing w:val="-47"/>
                <w:w w:val="100"/>
                <w:sz w:val="15"/>
                <w:szCs w:val="15"/>
              </w:rPr>
              <w:t> </w:t>
            </w:r>
            <w:r>
              <w:rPr>
                <w:rFonts w:ascii="宋体" w:hAnsi="宋体" w:cs="宋体" w:eastAsia="宋体" w:hint="default"/>
                <w:spacing w:val="-47"/>
                <w:w w:val="100"/>
                <w:sz w:val="15"/>
                <w:szCs w:val="15"/>
              </w:rPr>
            </w:r>
            <w:r>
              <w:rPr>
                <w:rFonts w:ascii="宋体" w:hAnsi="宋体" w:cs="宋体" w:eastAsia="宋体" w:hint="default"/>
                <w:spacing w:val="-3"/>
                <w:sz w:val="15"/>
                <w:szCs w:val="15"/>
              </w:rPr>
              <w:t>所获股份及其孳生股份不可撤销地委托路楠先生代为行使表决权，该等股份相关委托投票权的行</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z w:val="15"/>
                <w:szCs w:val="15"/>
              </w:rPr>
              <w:t>使，自</w:t>
            </w:r>
            <w:r>
              <w:rPr>
                <w:rFonts w:ascii="宋体" w:hAnsi="宋体" w:cs="宋体" w:eastAsia="宋体" w:hint="default"/>
                <w:spacing w:val="-41"/>
                <w:sz w:val="15"/>
                <w:szCs w:val="15"/>
              </w:rPr>
              <w:t> </w:t>
            </w:r>
            <w:r>
              <w:rPr>
                <w:rFonts w:ascii="宋体" w:hAnsi="宋体" w:cs="宋体" w:eastAsia="宋体" w:hint="default"/>
                <w:sz w:val="15"/>
                <w:szCs w:val="15"/>
              </w:rPr>
              <w:t>2016</w:t>
            </w:r>
            <w:r>
              <w:rPr>
                <w:rFonts w:ascii="宋体" w:hAnsi="宋体" w:cs="宋体" w:eastAsia="宋体"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日后且路楠先生所持公司全部表决权股份（包含委托人委托表决权和</w:t>
            </w:r>
            <w:r>
              <w:rPr>
                <w:rFonts w:ascii="宋体" w:hAnsi="宋体" w:cs="宋体" w:eastAsia="宋体" w:hint="default"/>
                <w:sz w:val="15"/>
                <w:szCs w:val="15"/>
              </w:rPr>
              <w:t>/</w:t>
            </w:r>
            <w:r>
              <w:rPr>
                <w:rFonts w:ascii="宋体" w:hAnsi="宋体" w:cs="宋体" w:eastAsia="宋体" w:hint="default"/>
                <w:sz w:val="15"/>
                <w:szCs w:val="15"/>
              </w:rPr>
              <w:t>或</w:t>
            </w:r>
            <w:r>
              <w:rPr>
                <w:rFonts w:ascii="宋体" w:hAnsi="宋体" w:cs="宋体" w:eastAsia="宋体" w:hint="default"/>
                <w:w w:val="100"/>
                <w:sz w:val="15"/>
                <w:szCs w:val="15"/>
              </w:rPr>
              <w:t> </w:t>
            </w:r>
            <w:r>
              <w:rPr>
                <w:rFonts w:ascii="宋体" w:hAnsi="宋体" w:cs="宋体" w:eastAsia="宋体" w:hint="default"/>
                <w:sz w:val="15"/>
                <w:szCs w:val="15"/>
              </w:rPr>
              <w:t>其他拟委托投票权，如有）合计低于</w:t>
            </w:r>
            <w:r>
              <w:rPr>
                <w:rFonts w:ascii="宋体" w:hAnsi="宋体" w:cs="宋体" w:eastAsia="宋体" w:hint="default"/>
                <w:spacing w:val="-41"/>
                <w:sz w:val="15"/>
                <w:szCs w:val="15"/>
              </w:rPr>
              <w:t> </w:t>
            </w:r>
            <w:r>
              <w:rPr>
                <w:rFonts w:ascii="宋体" w:hAnsi="宋体" w:cs="宋体" w:eastAsia="宋体" w:hint="default"/>
                <w:sz w:val="15"/>
                <w:szCs w:val="15"/>
              </w:rPr>
              <w:t>30%</w:t>
            </w:r>
            <w:r>
              <w:rPr>
                <w:rFonts w:ascii="宋体" w:hAnsi="宋体" w:cs="宋体" w:eastAsia="宋体" w:hint="default"/>
                <w:sz w:val="15"/>
                <w:szCs w:val="15"/>
              </w:rPr>
              <w:t>时开始实施，期间委托人将就上市公司所有董事会</w:t>
            </w:r>
            <w:r>
              <w:rPr>
                <w:rFonts w:ascii="宋体" w:hAnsi="宋体" w:cs="宋体" w:eastAsia="宋体" w:hint="default"/>
                <w:sz w:val="15"/>
                <w:szCs w:val="15"/>
              </w:rPr>
              <w:t>/</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东大会审议事项与路楠先生保持相同意见。</w:t>
            </w:r>
          </w:p>
          <w:p>
            <w:pPr>
              <w:pStyle w:val="TableParagraph"/>
              <w:spacing w:line="240" w:lineRule="auto" w:before="27"/>
              <w:ind w:left="16" w:right="0"/>
              <w:jc w:val="lef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2</w:t>
            </w:r>
            <w:r>
              <w:rPr>
                <w:rFonts w:ascii="宋体" w:hAnsi="宋体" w:cs="宋体" w:eastAsia="宋体" w:hint="default"/>
                <w:spacing w:val="-2"/>
                <w:sz w:val="15"/>
                <w:szCs w:val="15"/>
              </w:rPr>
              <w:t>）公司自然人股东章笠中先生持有法人股东杭州思创医惠集团有限公司</w:t>
            </w:r>
            <w:r>
              <w:rPr>
                <w:rFonts w:ascii="宋体" w:hAnsi="宋体" w:cs="宋体" w:eastAsia="宋体" w:hint="default"/>
                <w:spacing w:val="30"/>
                <w:sz w:val="15"/>
                <w:szCs w:val="15"/>
              </w:rPr>
              <w:t> </w:t>
            </w:r>
            <w:r>
              <w:rPr>
                <w:rFonts w:ascii="宋体" w:hAnsi="宋体" w:cs="宋体" w:eastAsia="宋体" w:hint="default"/>
                <w:spacing w:val="-1"/>
                <w:sz w:val="15"/>
                <w:szCs w:val="15"/>
              </w:rPr>
              <w:t>53.63%</w:t>
            </w:r>
            <w:r>
              <w:rPr>
                <w:rFonts w:ascii="宋体" w:hAnsi="宋体" w:cs="宋体" w:eastAsia="宋体" w:hint="default"/>
                <w:spacing w:val="-1"/>
                <w:sz w:val="15"/>
                <w:szCs w:val="15"/>
              </w:rPr>
              <w:t>的股权。</w:t>
            </w:r>
          </w:p>
          <w:p>
            <w:pPr>
              <w:pStyle w:val="TableParagraph"/>
              <w:spacing w:line="240" w:lineRule="auto" w:before="115"/>
              <w:ind w:left="1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）除此之外，公司未知其他股东之间是否存在关联关系或一致行动人关系。</w:t>
            </w:r>
          </w:p>
        </w:tc>
      </w:tr>
      <w:tr>
        <w:trPr>
          <w:trHeight w:val="392" w:hRule="exact"/>
        </w:trPr>
        <w:tc>
          <w:tcPr>
            <w:tcW w:w="32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上述股东关联关系或一致行动的说明</w:t>
            </w:r>
          </w:p>
        </w:tc>
        <w:tc>
          <w:tcPr>
            <w:tcW w:w="6311" w:type="dxa"/>
            <w:gridSpan w:val="9"/>
            <w:vMerge/>
            <w:tcBorders>
              <w:left w:val="single" w:sz="10" w:space="0" w:color="D2D2D2"/>
              <w:right w:val="single" w:sz="4" w:space="0" w:color="000000"/>
            </w:tcBorders>
          </w:tcPr>
          <w:p>
            <w:pPr/>
          </w:p>
        </w:tc>
      </w:tr>
      <w:tr>
        <w:trPr>
          <w:trHeight w:val="1214" w:hRule="exact"/>
        </w:trPr>
        <w:tc>
          <w:tcPr>
            <w:tcW w:w="32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11" w:type="dxa"/>
            <w:gridSpan w:val="9"/>
            <w:vMerge/>
            <w:tcBorders>
              <w:left w:val="single" w:sz="10" w:space="0" w:color="D2D2D2"/>
              <w:bottom w:val="single" w:sz="4" w:space="0" w:color="000000"/>
              <w:right w:val="single" w:sz="4" w:space="0" w:color="000000"/>
            </w:tcBorders>
          </w:tcPr>
          <w:p>
            <w:pP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前</w:t>
            </w:r>
            <w:r>
              <w:rPr>
                <w:rFonts w:ascii="宋体" w:hAnsi="宋体" w:cs="宋体" w:eastAsia="宋体" w:hint="default"/>
                <w:spacing w:val="-41"/>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名无限售条件股东持股情况</w:t>
            </w:r>
          </w:p>
        </w:tc>
      </w:tr>
      <w:tr>
        <w:trPr>
          <w:trHeight w:val="206" w:hRule="exact"/>
        </w:trPr>
        <w:tc>
          <w:tcPr>
            <w:tcW w:w="32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83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7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股份种类</w:t>
            </w:r>
          </w:p>
        </w:tc>
      </w:tr>
      <w:tr>
        <w:trPr>
          <w:trHeight w:val="192" w:hRule="exact"/>
        </w:trPr>
        <w:tc>
          <w:tcPr>
            <w:tcW w:w="32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383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787" w:right="0"/>
              <w:jc w:val="left"/>
              <w:rPr>
                <w:rFonts w:ascii="宋体" w:hAnsi="宋体" w:cs="宋体" w:eastAsia="宋体" w:hint="default"/>
                <w:sz w:val="15"/>
                <w:szCs w:val="15"/>
              </w:rPr>
            </w:pPr>
            <w:r>
              <w:rPr>
                <w:rFonts w:ascii="宋体" w:hAnsi="宋体" w:cs="宋体" w:eastAsia="宋体" w:hint="default"/>
                <w:sz w:val="15"/>
                <w:szCs w:val="15"/>
              </w:rPr>
              <w:t>报告期末持有无限售条件股份数量</w:t>
            </w:r>
          </w:p>
        </w:tc>
        <w:tc>
          <w:tcPr>
            <w:tcW w:w="2477"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258" w:type="dxa"/>
            <w:gridSpan w:val="2"/>
            <w:vMerge/>
            <w:tcBorders>
              <w:left w:val="single" w:sz="4" w:space="0" w:color="000000"/>
              <w:bottom w:val="nil" w:sz="6" w:space="0" w:color="auto"/>
              <w:right w:val="single" w:sz="4" w:space="0" w:color="000000"/>
            </w:tcBorders>
            <w:shd w:val="clear" w:color="auto" w:fill="D2D2D2"/>
          </w:tcPr>
          <w:p>
            <w:pPr/>
          </w:p>
        </w:tc>
        <w:tc>
          <w:tcPr>
            <w:tcW w:w="3833" w:type="dxa"/>
            <w:gridSpan w:val="5"/>
            <w:vMerge/>
            <w:tcBorders>
              <w:left w:val="single" w:sz="4" w:space="0" w:color="000000"/>
              <w:bottom w:val="nil" w:sz="6" w:space="0" w:color="auto"/>
              <w:right w:val="single" w:sz="4" w:space="0" w:color="000000"/>
            </w:tcBorders>
            <w:shd w:val="clear" w:color="auto" w:fill="D2D2D2"/>
          </w:tcPr>
          <w:p>
            <w:pPr/>
          </w:p>
        </w:tc>
        <w:tc>
          <w:tcPr>
            <w:tcW w:w="1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14" w:right="0"/>
              <w:jc w:val="left"/>
              <w:rPr>
                <w:rFonts w:ascii="宋体" w:hAnsi="宋体" w:cs="宋体" w:eastAsia="宋体" w:hint="default"/>
                <w:sz w:val="15"/>
                <w:szCs w:val="15"/>
              </w:rPr>
            </w:pPr>
            <w:r>
              <w:rPr>
                <w:rFonts w:ascii="宋体" w:hAnsi="宋体" w:cs="宋体" w:eastAsia="宋体" w:hint="default"/>
                <w:sz w:val="15"/>
                <w:szCs w:val="15"/>
              </w:rPr>
              <w:t>股份种类</w:t>
            </w:r>
          </w:p>
        </w:tc>
        <w:tc>
          <w:tcPr>
            <w:tcW w:w="12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 w:right="0"/>
              <w:jc w:val="center"/>
              <w:rPr>
                <w:rFonts w:ascii="宋体" w:hAnsi="宋体" w:cs="宋体" w:eastAsia="宋体" w:hint="default"/>
                <w:sz w:val="15"/>
                <w:szCs w:val="15"/>
              </w:rPr>
            </w:pPr>
            <w:r>
              <w:rPr>
                <w:rFonts w:ascii="宋体" w:hAnsi="宋体" w:cs="宋体" w:eastAsia="宋体" w:hint="default"/>
                <w:sz w:val="15"/>
                <w:szCs w:val="15"/>
              </w:rPr>
              <w:t>数量</w:t>
            </w:r>
          </w:p>
        </w:tc>
      </w:tr>
      <w:tr>
        <w:trPr>
          <w:trHeight w:val="206" w:hRule="exact"/>
        </w:trPr>
        <w:tc>
          <w:tcPr>
            <w:tcW w:w="32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83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39" w:type="dxa"/>
            <w:gridSpan w:val="2"/>
            <w:vMerge/>
            <w:tcBorders>
              <w:left w:val="single" w:sz="4" w:space="0" w:color="000000"/>
              <w:bottom w:val="single" w:sz="4" w:space="0" w:color="000000"/>
              <w:right w:val="single" w:sz="4" w:space="0" w:color="000000"/>
            </w:tcBorders>
            <w:shd w:val="clear" w:color="auto" w:fill="D2D2D2"/>
          </w:tcPr>
          <w:p>
            <w:pPr/>
          </w:p>
        </w:tc>
        <w:tc>
          <w:tcPr>
            <w:tcW w:w="123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路</w:t>
            </w:r>
            <w:r>
              <w:rPr>
                <w:rFonts w:ascii="宋体" w:hAnsi="宋体" w:cs="宋体" w:eastAsia="宋体" w:hint="default"/>
                <w:spacing w:val="1"/>
                <w:sz w:val="15"/>
                <w:szCs w:val="15"/>
              </w:rPr>
              <w:t> </w:t>
            </w:r>
            <w:r>
              <w:rPr>
                <w:rFonts w:ascii="宋体" w:hAnsi="宋体" w:cs="宋体" w:eastAsia="宋体" w:hint="default"/>
                <w:sz w:val="15"/>
                <w:szCs w:val="15"/>
              </w:rPr>
              <w:t>楠</w:t>
            </w:r>
          </w:p>
        </w:tc>
        <w:tc>
          <w:tcPr>
            <w:tcW w:w="38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131,905,000</w:t>
            </w:r>
          </w:p>
        </w:tc>
        <w:tc>
          <w:tcPr>
            <w:tcW w:w="1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1" w:right="0"/>
              <w:jc w:val="left"/>
              <w:rPr>
                <w:rFonts w:ascii="宋体" w:hAnsi="宋体" w:cs="宋体" w:eastAsia="宋体" w:hint="default"/>
                <w:sz w:val="15"/>
                <w:szCs w:val="15"/>
              </w:rPr>
            </w:pPr>
            <w:r>
              <w:rPr>
                <w:rFonts w:ascii="宋体"/>
                <w:sz w:val="15"/>
              </w:rPr>
              <w:t>131,905,000</w:t>
            </w:r>
          </w:p>
        </w:tc>
      </w:tr>
      <w:tr>
        <w:trPr>
          <w:trHeight w:val="401" w:hRule="exac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15"/>
                <w:szCs w:val="15"/>
              </w:rPr>
            </w:pPr>
            <w:r>
              <w:rPr>
                <w:rFonts w:ascii="宋体" w:hAnsi="宋体" w:cs="宋体" w:eastAsia="宋体" w:hint="default"/>
                <w:sz w:val="15"/>
                <w:szCs w:val="15"/>
              </w:rPr>
              <w:t>中国工商银行股份有限公司－易方达创业板交易</w:t>
            </w:r>
          </w:p>
        </w:tc>
        <w:tc>
          <w:tcPr>
            <w:tcW w:w="38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10,630,658</w:t>
            </w:r>
          </w:p>
        </w:tc>
        <w:tc>
          <w:tcPr>
            <w:tcW w:w="1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5" w:right="0"/>
              <w:jc w:val="left"/>
              <w:rPr>
                <w:rFonts w:ascii="宋体" w:hAnsi="宋体" w:cs="宋体" w:eastAsia="宋体" w:hint="default"/>
                <w:sz w:val="15"/>
                <w:szCs w:val="15"/>
              </w:rPr>
            </w:pPr>
            <w:r>
              <w:rPr>
                <w:rFonts w:ascii="宋体"/>
                <w:sz w:val="15"/>
              </w:rPr>
              <w:t>10,630,658</w:t>
            </w:r>
          </w:p>
        </w:tc>
      </w:tr>
    </w:tbl>
    <w:p>
      <w:pPr>
        <w:spacing w:after="0" w:line="240" w:lineRule="auto"/>
        <w:jc w:val="left"/>
        <w:rPr>
          <w:rFonts w:ascii="宋体" w:hAnsi="宋体" w:cs="宋体" w:eastAsia="宋体" w:hint="default"/>
          <w:sz w:val="15"/>
          <w:szCs w:val="15"/>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258"/>
        <w:gridCol w:w="3833"/>
        <w:gridCol w:w="1239"/>
        <w:gridCol w:w="1238"/>
      </w:tblGrid>
      <w:tr>
        <w:trPr>
          <w:trHeight w:val="36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型开放式指数证券投资基金</w:t>
            </w:r>
          </w:p>
        </w:tc>
        <w:tc>
          <w:tcPr>
            <w:tcW w:w="383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张</w:t>
            </w:r>
            <w:r>
              <w:rPr>
                <w:rFonts w:ascii="宋体" w:hAnsi="宋体" w:cs="宋体" w:eastAsia="宋体" w:hint="default"/>
                <w:spacing w:val="1"/>
                <w:sz w:val="15"/>
                <w:szCs w:val="15"/>
              </w:rPr>
              <w:t> </w:t>
            </w:r>
            <w:r>
              <w:rPr>
                <w:rFonts w:ascii="宋体" w:hAnsi="宋体" w:cs="宋体" w:eastAsia="宋体" w:hint="default"/>
                <w:sz w:val="15"/>
                <w:szCs w:val="15"/>
              </w:rPr>
              <w:t>佶</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9,167,600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9,167,600</w:t>
            </w:r>
          </w:p>
        </w:tc>
      </w:tr>
      <w:tr>
        <w:trPr>
          <w:trHeight w:val="715"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23"/>
              <w:jc w:val="left"/>
              <w:rPr>
                <w:rFonts w:ascii="宋体" w:hAnsi="宋体" w:cs="宋体" w:eastAsia="宋体" w:hint="default"/>
                <w:sz w:val="15"/>
                <w:szCs w:val="15"/>
              </w:rPr>
            </w:pPr>
            <w:r>
              <w:rPr>
                <w:rFonts w:ascii="宋体" w:hAnsi="宋体" w:cs="宋体" w:eastAsia="宋体" w:hint="default"/>
                <w:sz w:val="15"/>
                <w:szCs w:val="15"/>
              </w:rPr>
              <w:t>中国建设银行股份有限公司－华安创业板</w:t>
            </w:r>
            <w:r>
              <w:rPr>
                <w:rFonts w:ascii="宋体" w:hAnsi="宋体" w:cs="宋体" w:eastAsia="宋体" w:hint="default"/>
                <w:spacing w:val="-51"/>
                <w:sz w:val="15"/>
                <w:szCs w:val="15"/>
              </w:rPr>
              <w:t> </w:t>
            </w:r>
            <w:r>
              <w:rPr>
                <w:rFonts w:ascii="宋体" w:hAnsi="宋体" w:cs="宋体" w:eastAsia="宋体" w:hint="default"/>
                <w:sz w:val="15"/>
                <w:szCs w:val="15"/>
              </w:rPr>
              <w:t>50</w:t>
            </w:r>
            <w:r>
              <w:rPr>
                <w:rFonts w:ascii="宋体" w:hAnsi="宋体" w:cs="宋体" w:eastAsia="宋体" w:hint="default"/>
                <w:spacing w:val="-51"/>
                <w:sz w:val="15"/>
                <w:szCs w:val="15"/>
              </w:rPr>
              <w:t> </w:t>
            </w:r>
            <w:r>
              <w:rPr>
                <w:rFonts w:ascii="宋体" w:hAnsi="宋体" w:cs="宋体" w:eastAsia="宋体" w:hint="default"/>
                <w:spacing w:val="-3"/>
                <w:sz w:val="15"/>
                <w:szCs w:val="15"/>
              </w:rPr>
              <w:t>交易</w:t>
            </w:r>
            <w:r>
              <w:rPr>
                <w:rFonts w:ascii="宋体" w:hAnsi="宋体" w:cs="宋体" w:eastAsia="宋体" w:hint="default"/>
                <w:spacing w:val="-3"/>
                <w:w w:val="100"/>
                <w:sz w:val="15"/>
                <w:szCs w:val="15"/>
              </w:rPr>
              <w:t> </w:t>
            </w:r>
            <w:r>
              <w:rPr>
                <w:rFonts w:ascii="宋体" w:hAnsi="宋体" w:cs="宋体" w:eastAsia="宋体" w:hint="default"/>
                <w:sz w:val="15"/>
                <w:szCs w:val="15"/>
              </w:rPr>
              <w:t>型开放式指数证券投资基金</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9,043,703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9,043,703</w:t>
            </w:r>
          </w:p>
        </w:tc>
      </w:tr>
      <w:tr>
        <w:trPr>
          <w:trHeight w:val="71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68"/>
              <w:jc w:val="left"/>
              <w:rPr>
                <w:rFonts w:ascii="宋体" w:hAnsi="宋体" w:cs="宋体" w:eastAsia="宋体" w:hint="default"/>
                <w:sz w:val="15"/>
                <w:szCs w:val="15"/>
              </w:rPr>
            </w:pPr>
            <w:r>
              <w:rPr>
                <w:rFonts w:ascii="宋体" w:hAnsi="宋体" w:cs="宋体" w:eastAsia="宋体" w:hint="default"/>
                <w:spacing w:val="-2"/>
                <w:sz w:val="15"/>
                <w:szCs w:val="15"/>
              </w:rPr>
              <w:t>中国建设银行股份有限公司－交银施罗德阿尔法</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核心混合型证券投资基金</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8,888,125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8,888,125</w:t>
            </w:r>
          </w:p>
        </w:tc>
      </w:tr>
      <w:tr>
        <w:trPr>
          <w:trHeight w:val="715"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68"/>
              <w:jc w:val="left"/>
              <w:rPr>
                <w:rFonts w:ascii="宋体" w:hAnsi="宋体" w:cs="宋体" w:eastAsia="宋体" w:hint="default"/>
                <w:sz w:val="15"/>
                <w:szCs w:val="15"/>
              </w:rPr>
            </w:pPr>
            <w:r>
              <w:rPr>
                <w:rFonts w:ascii="宋体" w:hAnsi="宋体" w:cs="宋体" w:eastAsia="宋体" w:hint="default"/>
                <w:spacing w:val="-2"/>
                <w:sz w:val="15"/>
                <w:szCs w:val="15"/>
              </w:rPr>
              <w:t>中国工商银行股份有限公司－交银施罗德优势行</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业灵活配置混合型证券投资基金</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8,880,835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8,880,835</w:t>
            </w:r>
          </w:p>
        </w:tc>
      </w:tr>
      <w:tr>
        <w:trPr>
          <w:trHeight w:val="40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沈祥龙</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7,200,000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7,200,000</w:t>
            </w:r>
          </w:p>
        </w:tc>
      </w:tr>
      <w:tr>
        <w:trPr>
          <w:trHeight w:val="40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全国社保基金六零二组合</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6,819,939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6,819,939</w:t>
            </w:r>
          </w:p>
        </w:tc>
      </w:tr>
      <w:tr>
        <w:trPr>
          <w:trHeight w:val="71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4" w:right="68"/>
              <w:jc w:val="left"/>
              <w:rPr>
                <w:rFonts w:ascii="宋体" w:hAnsi="宋体" w:cs="宋体" w:eastAsia="宋体" w:hint="default"/>
                <w:sz w:val="15"/>
                <w:szCs w:val="15"/>
              </w:rPr>
            </w:pPr>
            <w:r>
              <w:rPr>
                <w:rFonts w:ascii="宋体" w:hAnsi="宋体" w:cs="宋体" w:eastAsia="宋体" w:hint="default"/>
                <w:spacing w:val="-2"/>
                <w:sz w:val="15"/>
                <w:szCs w:val="15"/>
              </w:rPr>
              <w:t>中信银行股份有限公司－交银施罗德新生活力灵</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活配置混合型证券投资基金</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6,555,905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6,555,905</w:t>
            </w:r>
          </w:p>
        </w:tc>
      </w:tr>
      <w:tr>
        <w:trPr>
          <w:trHeight w:val="40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章笠中</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6,150,301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2"/>
                <w:sz w:val="15"/>
              </w:rPr>
              <w:t>6,150,301</w:t>
            </w:r>
          </w:p>
        </w:tc>
      </w:tr>
      <w:tr>
        <w:trPr>
          <w:trHeight w:val="2818"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前</w:t>
            </w:r>
            <w:r>
              <w:rPr>
                <w:rFonts w:ascii="宋体" w:hAnsi="宋体" w:cs="宋体" w:eastAsia="宋体" w:hint="default"/>
                <w:spacing w:val="-40"/>
                <w:sz w:val="15"/>
                <w:szCs w:val="15"/>
              </w:rPr>
              <w:t> </w:t>
            </w:r>
            <w:r>
              <w:rPr>
                <w:rFonts w:ascii="宋体" w:hAnsi="宋体" w:cs="宋体" w:eastAsia="宋体" w:hint="default"/>
                <w:sz w:val="15"/>
                <w:szCs w:val="15"/>
              </w:rPr>
              <w:t>10</w:t>
            </w:r>
            <w:r>
              <w:rPr>
                <w:rFonts w:ascii="宋体" w:hAnsi="宋体" w:cs="宋体" w:eastAsia="宋体" w:hint="default"/>
                <w:spacing w:val="-37"/>
                <w:sz w:val="15"/>
                <w:szCs w:val="15"/>
              </w:rPr>
              <w:t> </w:t>
            </w:r>
            <w:r>
              <w:rPr>
                <w:rFonts w:ascii="宋体" w:hAnsi="宋体" w:cs="宋体" w:eastAsia="宋体" w:hint="default"/>
                <w:sz w:val="15"/>
                <w:szCs w:val="15"/>
              </w:rPr>
              <w:t>名无限售流通股股东之间，以及前</w:t>
            </w:r>
            <w:r>
              <w:rPr>
                <w:rFonts w:ascii="宋体" w:hAnsi="宋体" w:cs="宋体" w:eastAsia="宋体" w:hint="default"/>
                <w:spacing w:val="-40"/>
                <w:sz w:val="15"/>
                <w:szCs w:val="15"/>
              </w:rPr>
              <w:t> </w:t>
            </w:r>
            <w:r>
              <w:rPr>
                <w:rFonts w:ascii="宋体" w:hAnsi="宋体" w:cs="宋体" w:eastAsia="宋体" w:hint="default"/>
                <w:sz w:val="15"/>
                <w:szCs w:val="15"/>
              </w:rPr>
              <w:t>10</w:t>
            </w:r>
            <w:r>
              <w:rPr>
                <w:rFonts w:ascii="宋体" w:hAnsi="宋体" w:cs="宋体" w:eastAsia="宋体" w:hint="default"/>
                <w:spacing w:val="-39"/>
                <w:sz w:val="15"/>
                <w:szCs w:val="15"/>
              </w:rPr>
              <w:t> </w:t>
            </w:r>
            <w:r>
              <w:rPr>
                <w:rFonts w:ascii="宋体" w:hAnsi="宋体" w:cs="宋体" w:eastAsia="宋体" w:hint="default"/>
                <w:sz w:val="15"/>
                <w:szCs w:val="15"/>
              </w:rPr>
              <w:t>名无</w:t>
            </w:r>
          </w:p>
          <w:p>
            <w:pPr>
              <w:pStyle w:val="TableParagraph"/>
              <w:spacing w:line="381" w:lineRule="auto" w:before="115"/>
              <w:ind w:left="24" w:right="17"/>
              <w:jc w:val="left"/>
              <w:rPr>
                <w:rFonts w:ascii="宋体" w:hAnsi="宋体" w:cs="宋体" w:eastAsia="宋体" w:hint="default"/>
                <w:sz w:val="15"/>
                <w:szCs w:val="15"/>
              </w:rPr>
            </w:pPr>
            <w:r>
              <w:rPr>
                <w:rFonts w:ascii="宋体" w:hAnsi="宋体" w:cs="宋体" w:eastAsia="宋体" w:hint="default"/>
                <w:sz w:val="15"/>
                <w:szCs w:val="15"/>
              </w:rPr>
              <w:t>限售流通股股东和前</w:t>
            </w:r>
            <w:r>
              <w:rPr>
                <w:rFonts w:ascii="宋体" w:hAnsi="宋体" w:cs="宋体" w:eastAsia="宋体" w:hint="default"/>
                <w:spacing w:val="-52"/>
                <w:sz w:val="15"/>
                <w:szCs w:val="15"/>
              </w:rPr>
              <w:t> </w:t>
            </w:r>
            <w:r>
              <w:rPr>
                <w:rFonts w:ascii="宋体" w:hAnsi="宋体" w:cs="宋体" w:eastAsia="宋体" w:hint="default"/>
                <w:sz w:val="15"/>
                <w:szCs w:val="15"/>
              </w:rPr>
              <w:t>10</w:t>
            </w:r>
            <w:r>
              <w:rPr>
                <w:rFonts w:ascii="宋体" w:hAnsi="宋体" w:cs="宋体" w:eastAsia="宋体" w:hint="default"/>
                <w:spacing w:val="-52"/>
                <w:sz w:val="15"/>
                <w:szCs w:val="15"/>
              </w:rPr>
              <w:t> </w:t>
            </w:r>
            <w:r>
              <w:rPr>
                <w:rFonts w:ascii="宋体" w:hAnsi="宋体" w:cs="宋体" w:eastAsia="宋体" w:hint="default"/>
                <w:sz w:val="15"/>
                <w:szCs w:val="15"/>
              </w:rPr>
              <w:t>名股东之间关联关系或一</w:t>
            </w:r>
            <w:r>
              <w:rPr>
                <w:rFonts w:ascii="宋体" w:hAnsi="宋体" w:cs="宋体" w:eastAsia="宋体" w:hint="default"/>
                <w:w w:val="100"/>
                <w:sz w:val="15"/>
                <w:szCs w:val="15"/>
              </w:rPr>
              <w:t> </w:t>
            </w:r>
            <w:r>
              <w:rPr>
                <w:rFonts w:ascii="宋体" w:hAnsi="宋体" w:cs="宋体" w:eastAsia="宋体" w:hint="default"/>
                <w:sz w:val="15"/>
                <w:szCs w:val="15"/>
              </w:rPr>
              <w:t>致行动的说明</w:t>
            </w:r>
          </w:p>
        </w:tc>
        <w:tc>
          <w:tcPr>
            <w:tcW w:w="6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3" w:right="17"/>
              <w:jc w:val="lef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1</w:t>
            </w:r>
            <w:r>
              <w:rPr>
                <w:rFonts w:ascii="宋体" w:hAnsi="宋体" w:cs="宋体" w:eastAsia="宋体" w:hint="default"/>
                <w:spacing w:val="-2"/>
                <w:sz w:val="15"/>
                <w:szCs w:val="15"/>
              </w:rPr>
              <w:t>）公司自然人股东路楠先生持有法人股东杭州博泰投资管理有限公司</w:t>
            </w:r>
            <w:r>
              <w:rPr>
                <w:rFonts w:ascii="宋体" w:hAnsi="宋体" w:cs="宋体" w:eastAsia="宋体" w:hint="default"/>
                <w:sz w:val="15"/>
                <w:szCs w:val="15"/>
              </w:rPr>
              <w:t> </w:t>
            </w:r>
            <w:r>
              <w:rPr>
                <w:rFonts w:ascii="宋体" w:hAnsi="宋体" w:cs="宋体" w:eastAsia="宋体" w:hint="default"/>
                <w:spacing w:val="-2"/>
                <w:sz w:val="15"/>
                <w:szCs w:val="15"/>
              </w:rPr>
              <w:t>59.02%</w:t>
            </w:r>
            <w:r>
              <w:rPr>
                <w:rFonts w:ascii="宋体" w:hAnsi="宋体" w:cs="宋体" w:eastAsia="宋体" w:hint="default"/>
                <w:spacing w:val="-2"/>
                <w:sz w:val="15"/>
                <w:szCs w:val="15"/>
              </w:rPr>
              <w:t>的股权；非公开</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pacing w:val="-3"/>
                <w:sz w:val="15"/>
                <w:szCs w:val="15"/>
              </w:rPr>
              <w:t>发行认购方西藏瑞华资本管理有限公司、浙江鲲鹏资产管理有限公司—鲲鹏资本—中瑞思创定增</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w w:val="100"/>
                <w:sz w:val="15"/>
                <w:szCs w:val="15"/>
              </w:rPr>
              <w:t>1</w:t>
            </w:r>
            <w:r>
              <w:rPr>
                <w:rFonts w:ascii="宋体" w:hAnsi="宋体" w:cs="宋体" w:eastAsia="宋体" w:hint="default"/>
                <w:spacing w:val="-31"/>
                <w:w w:val="100"/>
                <w:sz w:val="15"/>
                <w:szCs w:val="15"/>
              </w:rPr>
              <w:t> </w:t>
            </w:r>
            <w:r>
              <w:rPr>
                <w:rFonts w:ascii="宋体" w:hAnsi="宋体" w:cs="宋体" w:eastAsia="宋体" w:hint="default"/>
                <w:spacing w:val="-4"/>
                <w:w w:val="100"/>
                <w:sz w:val="15"/>
                <w:szCs w:val="15"/>
              </w:rPr>
              <w:t>号证券投资基金、方振淳与公司控股股东路楠先生签署了《委托投票协议书》，就其本次认购</w:t>
            </w:r>
            <w:r>
              <w:rPr>
                <w:rFonts w:ascii="宋体" w:hAnsi="宋体" w:cs="宋体" w:eastAsia="宋体" w:hint="default"/>
                <w:spacing w:val="-55"/>
                <w:w w:val="100"/>
                <w:sz w:val="15"/>
                <w:szCs w:val="15"/>
              </w:rPr>
              <w:t> </w:t>
            </w:r>
            <w:r>
              <w:rPr>
                <w:rFonts w:ascii="宋体" w:hAnsi="宋体" w:cs="宋体" w:eastAsia="宋体" w:hint="default"/>
                <w:spacing w:val="-55"/>
                <w:w w:val="100"/>
                <w:sz w:val="15"/>
                <w:szCs w:val="15"/>
              </w:rPr>
            </w:r>
            <w:r>
              <w:rPr>
                <w:rFonts w:ascii="宋体" w:hAnsi="宋体" w:cs="宋体" w:eastAsia="宋体" w:hint="default"/>
                <w:spacing w:val="-3"/>
                <w:sz w:val="15"/>
                <w:szCs w:val="15"/>
              </w:rPr>
              <w:t>所获股份及其孳生股份不可撤销地委托路楠先生代为行使表决权，该等股份相关委托投票权的行</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z w:val="15"/>
                <w:szCs w:val="15"/>
              </w:rPr>
              <w:t>使，自</w:t>
            </w:r>
            <w:r>
              <w:rPr>
                <w:rFonts w:ascii="宋体" w:hAnsi="宋体" w:cs="宋体" w:eastAsia="宋体" w:hint="default"/>
                <w:spacing w:val="-40"/>
                <w:sz w:val="15"/>
                <w:szCs w:val="15"/>
              </w:rPr>
              <w:t> </w:t>
            </w:r>
            <w:r>
              <w:rPr>
                <w:rFonts w:ascii="宋体" w:hAnsi="宋体" w:cs="宋体" w:eastAsia="宋体" w:hint="default"/>
                <w:sz w:val="15"/>
                <w:szCs w:val="15"/>
              </w:rPr>
              <w:t>2016</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37"/>
                <w:sz w:val="15"/>
                <w:szCs w:val="15"/>
              </w:rPr>
              <w:t> </w:t>
            </w:r>
            <w:r>
              <w:rPr>
                <w:rFonts w:ascii="宋体" w:hAnsi="宋体" w:cs="宋体" w:eastAsia="宋体" w:hint="default"/>
                <w:sz w:val="15"/>
                <w:szCs w:val="15"/>
              </w:rPr>
              <w:t>日后且路楠先生所持公司全部表决权股份（包含委托人委托表决权和</w:t>
            </w:r>
            <w:r>
              <w:rPr>
                <w:rFonts w:ascii="宋体" w:hAnsi="宋体" w:cs="宋体" w:eastAsia="宋体" w:hint="default"/>
                <w:sz w:val="15"/>
                <w:szCs w:val="15"/>
              </w:rPr>
              <w:t>/</w:t>
            </w:r>
            <w:r>
              <w:rPr>
                <w:rFonts w:ascii="宋体" w:hAnsi="宋体" w:cs="宋体" w:eastAsia="宋体" w:hint="default"/>
                <w:sz w:val="15"/>
                <w:szCs w:val="15"/>
              </w:rPr>
              <w:t>或</w:t>
            </w:r>
            <w:r>
              <w:rPr>
                <w:rFonts w:ascii="宋体" w:hAnsi="宋体" w:cs="宋体" w:eastAsia="宋体" w:hint="default"/>
                <w:w w:val="100"/>
                <w:sz w:val="15"/>
                <w:szCs w:val="15"/>
              </w:rPr>
              <w:t> </w:t>
            </w:r>
            <w:r>
              <w:rPr>
                <w:rFonts w:ascii="宋体" w:hAnsi="宋体" w:cs="宋体" w:eastAsia="宋体" w:hint="default"/>
                <w:sz w:val="15"/>
                <w:szCs w:val="15"/>
              </w:rPr>
              <w:t>其他拟委托投票权，如有）合计低于</w:t>
            </w:r>
            <w:r>
              <w:rPr>
                <w:rFonts w:ascii="宋体" w:hAnsi="宋体" w:cs="宋体" w:eastAsia="宋体" w:hint="default"/>
                <w:spacing w:val="-41"/>
                <w:sz w:val="15"/>
                <w:szCs w:val="15"/>
              </w:rPr>
              <w:t> </w:t>
            </w:r>
            <w:r>
              <w:rPr>
                <w:rFonts w:ascii="宋体" w:hAnsi="宋体" w:cs="宋体" w:eastAsia="宋体" w:hint="default"/>
                <w:sz w:val="15"/>
                <w:szCs w:val="15"/>
              </w:rPr>
              <w:t>30%</w:t>
            </w:r>
            <w:r>
              <w:rPr>
                <w:rFonts w:ascii="宋体" w:hAnsi="宋体" w:cs="宋体" w:eastAsia="宋体" w:hint="default"/>
                <w:sz w:val="15"/>
                <w:szCs w:val="15"/>
              </w:rPr>
              <w:t>时开始实施，期间委托人将就上市公司所有董事会</w:t>
            </w:r>
            <w:r>
              <w:rPr>
                <w:rFonts w:ascii="宋体" w:hAnsi="宋体" w:cs="宋体" w:eastAsia="宋体" w:hint="default"/>
                <w:sz w:val="15"/>
                <w:szCs w:val="15"/>
              </w:rPr>
              <w:t>/</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pacing w:val="-5"/>
                <w:w w:val="100"/>
                <w:sz w:val="15"/>
                <w:szCs w:val="15"/>
              </w:rPr>
              <w:t>东大会审议事项与路楠先生保持相同意见。（</w:t>
            </w:r>
            <w:r>
              <w:rPr>
                <w:rFonts w:ascii="宋体" w:hAnsi="宋体" w:cs="宋体" w:eastAsia="宋体" w:hint="default"/>
                <w:spacing w:val="-5"/>
                <w:w w:val="100"/>
                <w:sz w:val="15"/>
                <w:szCs w:val="15"/>
              </w:rPr>
              <w:t>2</w:t>
            </w:r>
            <w:r>
              <w:rPr>
                <w:rFonts w:ascii="宋体" w:hAnsi="宋体" w:cs="宋体" w:eastAsia="宋体" w:hint="default"/>
                <w:spacing w:val="-5"/>
                <w:w w:val="100"/>
                <w:sz w:val="15"/>
                <w:szCs w:val="15"/>
              </w:rPr>
              <w:t>）公司自然人股东章笠中先生持有法人股东杭州思</w:t>
            </w:r>
            <w:r>
              <w:rPr>
                <w:rFonts w:ascii="宋体" w:hAnsi="宋体" w:cs="宋体" w:eastAsia="宋体" w:hint="default"/>
                <w:spacing w:val="-44"/>
                <w:w w:val="100"/>
                <w:sz w:val="15"/>
                <w:szCs w:val="15"/>
              </w:rPr>
              <w:t> </w:t>
            </w:r>
            <w:r>
              <w:rPr>
                <w:rFonts w:ascii="宋体" w:hAnsi="宋体" w:cs="宋体" w:eastAsia="宋体" w:hint="default"/>
                <w:spacing w:val="-44"/>
                <w:w w:val="100"/>
                <w:sz w:val="15"/>
                <w:szCs w:val="15"/>
              </w:rPr>
            </w:r>
            <w:r>
              <w:rPr>
                <w:rFonts w:ascii="宋体" w:hAnsi="宋体" w:cs="宋体" w:eastAsia="宋体" w:hint="default"/>
                <w:spacing w:val="-2"/>
                <w:w w:val="100"/>
                <w:sz w:val="15"/>
                <w:szCs w:val="15"/>
              </w:rPr>
              <w:t>创医惠集团有限公司</w:t>
            </w:r>
            <w:r>
              <w:rPr>
                <w:rFonts w:ascii="宋体" w:hAnsi="宋体" w:cs="宋体" w:eastAsia="宋体" w:hint="default"/>
                <w:spacing w:val="-33"/>
                <w:w w:val="100"/>
                <w:sz w:val="15"/>
                <w:szCs w:val="15"/>
              </w:rPr>
              <w:t> </w:t>
            </w:r>
            <w:r>
              <w:rPr>
                <w:rFonts w:ascii="宋体" w:hAnsi="宋体" w:cs="宋体" w:eastAsia="宋体" w:hint="default"/>
                <w:spacing w:val="-4"/>
                <w:w w:val="100"/>
                <w:sz w:val="15"/>
                <w:szCs w:val="15"/>
              </w:rPr>
              <w:t>53.63%</w:t>
            </w:r>
            <w:r>
              <w:rPr>
                <w:rFonts w:ascii="宋体" w:hAnsi="宋体" w:cs="宋体" w:eastAsia="宋体" w:hint="default"/>
                <w:spacing w:val="-4"/>
                <w:w w:val="100"/>
                <w:sz w:val="15"/>
                <w:szCs w:val="15"/>
              </w:rPr>
              <w:t>的股权。（</w:t>
            </w:r>
            <w:r>
              <w:rPr>
                <w:rFonts w:ascii="宋体" w:hAnsi="宋体" w:cs="宋体" w:eastAsia="宋体" w:hint="default"/>
                <w:spacing w:val="-4"/>
                <w:w w:val="100"/>
                <w:sz w:val="15"/>
                <w:szCs w:val="15"/>
              </w:rPr>
              <w:t>3</w:t>
            </w:r>
            <w:r>
              <w:rPr>
                <w:rFonts w:ascii="宋体" w:hAnsi="宋体" w:cs="宋体" w:eastAsia="宋体" w:hint="default"/>
                <w:spacing w:val="-4"/>
                <w:w w:val="100"/>
                <w:sz w:val="15"/>
                <w:szCs w:val="15"/>
              </w:rPr>
              <w:t>）除此之外，公司未知其他股东之间是否存在关联关系</w:t>
            </w:r>
            <w:r>
              <w:rPr>
                <w:rFonts w:ascii="宋体" w:hAnsi="宋体" w:cs="宋体" w:eastAsia="宋体" w:hint="default"/>
                <w:spacing w:val="-56"/>
                <w:w w:val="100"/>
                <w:sz w:val="15"/>
                <w:szCs w:val="15"/>
              </w:rPr>
              <w:t> </w:t>
            </w:r>
            <w:r>
              <w:rPr>
                <w:rFonts w:ascii="宋体" w:hAnsi="宋体" w:cs="宋体" w:eastAsia="宋体" w:hint="default"/>
                <w:spacing w:val="-56"/>
                <w:w w:val="100"/>
                <w:sz w:val="15"/>
                <w:szCs w:val="15"/>
              </w:rPr>
            </w:r>
            <w:r>
              <w:rPr>
                <w:rFonts w:ascii="宋体" w:hAnsi="宋体" w:cs="宋体" w:eastAsia="宋体" w:hint="default"/>
                <w:sz w:val="15"/>
                <w:szCs w:val="15"/>
              </w:rPr>
              <w:t>或一致行动人关系。</w:t>
            </w:r>
          </w:p>
        </w:tc>
      </w:tr>
      <w:tr>
        <w:trPr>
          <w:trHeight w:val="715"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4" w:right="18"/>
              <w:jc w:val="left"/>
              <w:rPr>
                <w:rFonts w:ascii="宋体" w:hAnsi="宋体" w:cs="宋体" w:eastAsia="宋体" w:hint="default"/>
                <w:sz w:val="15"/>
                <w:szCs w:val="15"/>
              </w:rPr>
            </w:pPr>
            <w:r>
              <w:rPr>
                <w:rFonts w:ascii="宋体" w:hAnsi="宋体" w:cs="宋体" w:eastAsia="宋体" w:hint="default"/>
                <w:spacing w:val="-6"/>
                <w:w w:val="100"/>
                <w:sz w:val="15"/>
                <w:szCs w:val="15"/>
              </w:rPr>
              <w:t>参与融资融券业务股东情况说明（如有）（参见注</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5</w:t>
            </w:r>
            <w:r>
              <w:rPr>
                <w:rFonts w:ascii="宋体" w:hAnsi="宋体" w:cs="宋体" w:eastAsia="宋体" w:hint="default"/>
                <w:sz w:val="15"/>
                <w:szCs w:val="15"/>
              </w:rPr>
              <w:t>）</w:t>
            </w:r>
          </w:p>
        </w:tc>
        <w:tc>
          <w:tcPr>
            <w:tcW w:w="6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思创医惠科技股份有限公司控股股东、实际控制人</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t>公司报告期控股股东未发生变更。</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思创医惠科技股份有限公司控股股东、实际控制人</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6"/>
          <w:szCs w:val="16"/>
        </w:rPr>
      </w:pPr>
    </w:p>
    <w:p>
      <w:pPr>
        <w:spacing w:line="4305" w:lineRule="exact"/>
        <w:ind w:left="135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0391" cy="27336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0391"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7"/>
        <w:rPr>
          <w:rFonts w:ascii="宋体" w:hAnsi="宋体" w:cs="宋体" w:eastAsia="宋体" w:hint="default"/>
          <w:sz w:val="18"/>
          <w:szCs w:val="18"/>
        </w:rPr>
      </w:pPr>
    </w:p>
    <w:p>
      <w:pPr>
        <w:pStyle w:val="BodyText"/>
        <w:spacing w:line="240" w:lineRule="auto"/>
        <w:ind w:right="1133"/>
        <w:jc w:val="left"/>
      </w:pPr>
      <w:r>
        <w:rPr/>
        <w:t>实际控制人通过信托或其他资产管理方式控制公司</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1"/>
        <w:gridCol w:w="1178"/>
        <w:gridCol w:w="1522"/>
        <w:gridCol w:w="1090"/>
        <w:gridCol w:w="4479"/>
      </w:tblGrid>
      <w:tr>
        <w:trPr>
          <w:trHeight w:val="715" w:hRule="exact"/>
        </w:trPr>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4" w:right="10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5"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03"/>
              <w:jc w:val="left"/>
              <w:rPr>
                <w:rFonts w:ascii="宋体" w:hAnsi="宋体" w:cs="宋体" w:eastAsia="宋体" w:hint="default"/>
                <w:sz w:val="18"/>
                <w:szCs w:val="18"/>
              </w:rPr>
            </w:pPr>
            <w:r>
              <w:rPr>
                <w:rFonts w:ascii="宋体" w:hAnsi="宋体" w:cs="宋体" w:eastAsia="宋体" w:hint="default"/>
                <w:sz w:val="18"/>
                <w:szCs w:val="18"/>
              </w:rPr>
              <w:t>杭州思创医惠 集团有限公司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72"/>
              <w:jc w:val="left"/>
              <w:rPr>
                <w:rFonts w:ascii="宋体" w:hAnsi="宋体" w:cs="宋体" w:eastAsia="宋体"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除证券、期货</w:t>
            </w:r>
            <w:r>
              <w:rPr>
                <w:rFonts w:ascii="Times New Roman" w:hAnsi="Times New Roman" w:cs="Times New Roman" w:eastAsia="Times New Roman" w:hint="default"/>
                <w:sz w:val="18"/>
                <w:szCs w:val="18"/>
              </w:rPr>
              <w:t>)(</w:t>
            </w:r>
            <w:r>
              <w:rPr>
                <w:rFonts w:ascii="宋体" w:hAnsi="宋体" w:cs="宋体" w:eastAsia="宋体" w:hint="default"/>
                <w:sz w:val="18"/>
                <w:szCs w:val="18"/>
              </w:rPr>
              <w:t>未经金融等监 管部门批准</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不得从事向公众融资存款、融资担保、代客</w:t>
            </w:r>
          </w:p>
        </w:tc>
      </w:tr>
    </w:tbl>
    <w:p>
      <w:pPr>
        <w:spacing w:after="0" w:line="30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44"/>
        <w:ind w:left="0" w:right="1138"/>
        <w:jc w:val="right"/>
      </w:pPr>
      <w:r>
        <w:rPr/>
        <w:pict>
          <v:shape style="position:absolute;margin-left:56.400002pt;margin-top:-29.908293pt;width:479.3pt;height:65.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1178"/>
                    <w:gridCol w:w="1522"/>
                    <w:gridCol w:w="1090"/>
                    <w:gridCol w:w="4479"/>
                  </w:tblGrid>
                  <w:tr>
                    <w:trPr>
                      <w:trHeight w:val="1299"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2"/>
                          <w:jc w:val="left"/>
                          <w:rPr>
                            <w:rFonts w:ascii="宋体" w:hAnsi="宋体" w:cs="宋体" w:eastAsia="宋体" w:hint="default"/>
                            <w:sz w:val="18"/>
                            <w:szCs w:val="18"/>
                          </w:rPr>
                        </w:pPr>
                        <w:r>
                          <w:rPr>
                            <w:rFonts w:ascii="宋体" w:hAnsi="宋体" w:cs="宋体" w:eastAsia="宋体" w:hint="default"/>
                            <w:sz w:val="18"/>
                            <w:szCs w:val="18"/>
                          </w:rPr>
                          <w:t>理财等金融服务</w:t>
                        </w:r>
                        <w:r>
                          <w:rPr>
                            <w:rFonts w:ascii="Times New Roman" w:hAnsi="Times New Roman" w:cs="Times New Roman" w:eastAsia="Times New Roman" w:hint="default"/>
                            <w:sz w:val="18"/>
                            <w:szCs w:val="18"/>
                          </w:rPr>
                          <w:t>),</w:t>
                        </w:r>
                        <w:r>
                          <w:rPr>
                            <w:rFonts w:ascii="宋体" w:hAnsi="宋体" w:cs="宋体" w:eastAsia="宋体" w:hint="default"/>
                            <w:sz w:val="18"/>
                            <w:szCs w:val="18"/>
                          </w:rPr>
                          <w:t>文化艺术交流活动策划</w:t>
                        </w:r>
                        <w:r>
                          <w:rPr>
                            <w:rFonts w:ascii="Times New Roman" w:hAnsi="Times New Roman" w:cs="Times New Roman" w:eastAsia="Times New Roman" w:hint="default"/>
                            <w:sz w:val="18"/>
                            <w:szCs w:val="18"/>
                          </w:rPr>
                          <w:t>(</w:t>
                        </w:r>
                        <w:r>
                          <w:rPr>
                            <w:rFonts w:ascii="宋体" w:hAnsi="宋体" w:cs="宋体" w:eastAsia="宋体" w:hint="default"/>
                            <w:sz w:val="18"/>
                            <w:szCs w:val="18"/>
                          </w:rPr>
                          <w:t>除演出及演出 中介</w:t>
                        </w:r>
                        <w:r>
                          <w:rPr>
                            <w:rFonts w:ascii="Times New Roman" w:hAnsi="Times New Roman" w:cs="Times New Roman" w:eastAsia="Times New Roman" w:hint="default"/>
                            <w:sz w:val="18"/>
                            <w:szCs w:val="18"/>
                          </w:rPr>
                          <w:t>)</w:t>
                        </w:r>
                        <w:r>
                          <w:rPr>
                            <w:rFonts w:ascii="宋体" w:hAnsi="宋体" w:cs="宋体" w:eastAsia="宋体" w:hint="default"/>
                            <w:sz w:val="18"/>
                            <w:szCs w:val="18"/>
                          </w:rPr>
                          <w:t>、商务信息咨询、市场调查</w:t>
                        </w:r>
                        <w:r>
                          <w:rPr>
                            <w:rFonts w:ascii="Times New Roman" w:hAnsi="Times New Roman" w:cs="Times New Roman" w:eastAsia="Times New Roman" w:hint="default"/>
                            <w:sz w:val="18"/>
                            <w:szCs w:val="18"/>
                          </w:rPr>
                          <w:t>;</w:t>
                        </w:r>
                        <w:r>
                          <w:rPr>
                            <w:rFonts w:ascii="宋体" w:hAnsi="宋体" w:cs="宋体" w:eastAsia="宋体" w:hint="default"/>
                            <w:sz w:val="18"/>
                            <w:szCs w:val="18"/>
                          </w:rPr>
                          <w:t>技术开发、技术服务、 </w:t>
                        </w:r>
                        <w:r>
                          <w:rPr>
                            <w:rFonts w:ascii="宋体" w:hAnsi="宋体" w:cs="宋体" w:eastAsia="宋体" w:hint="default"/>
                            <w:spacing w:val="-6"/>
                            <w:sz w:val="18"/>
                            <w:szCs w:val="18"/>
                          </w:rPr>
                          <w:t>技术咨询、成果转让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农业技术</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销售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日用百货、五金交电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家用电器、金属材料。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4"/>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6" w:id="7"/>
      <w:bookmarkEnd w:id="7"/>
      <w:r>
        <w:rPr>
          <w:b w:val="0"/>
          <w:bCs w:val="0"/>
        </w:rPr>
      </w:r>
      <w:r>
        <w:rPr/>
        <w:t>第八节</w:t>
      </w:r>
      <w:r>
        <w:rPr>
          <w:spacing w:val="-7"/>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09"/>
        <w:gridCol w:w="509"/>
        <w:gridCol w:w="509"/>
        <w:gridCol w:w="934"/>
        <w:gridCol w:w="857"/>
        <w:gridCol w:w="1010"/>
        <w:gridCol w:w="881"/>
        <w:gridCol w:w="881"/>
        <w:gridCol w:w="883"/>
        <w:gridCol w:w="1003"/>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7"/>
              <w:jc w:val="right"/>
              <w:rPr>
                <w:rFonts w:ascii="宋体" w:hAnsi="宋体" w:cs="宋体" w:eastAsia="宋体" w:hint="default"/>
                <w:sz w:val="18"/>
                <w:szCs w:val="18"/>
              </w:rPr>
            </w:pPr>
            <w:r>
              <w:rPr>
                <w:rFonts w:ascii="宋体" w:hAnsi="宋体" w:cs="宋体" w:eastAsia="宋体" w:hint="default"/>
                <w:sz w:val="18"/>
                <w:szCs w:val="18"/>
              </w:rPr>
              <w:t>年龄</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2" w:right="6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4" w:firstLine="52"/>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7"/>
                <w:sz w:val="18"/>
                <w:szCs w:val="18"/>
              </w:rPr>
              <w:t> </w:t>
            </w: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24,601,203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24,601,203</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长、副总 经理、董 事会秘书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魏利伟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131,905,000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131,905,000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原董事、 副总经理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7,848,900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4,168,900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3,680,000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09"/>
        <w:gridCol w:w="509"/>
        <w:gridCol w:w="509"/>
        <w:gridCol w:w="934"/>
        <w:gridCol w:w="857"/>
        <w:gridCol w:w="1010"/>
        <w:gridCol w:w="881"/>
        <w:gridCol w:w="881"/>
        <w:gridCol w:w="883"/>
        <w:gridCol w:w="1003"/>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原董事、 副总经理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9,167,600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9,167,600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原监事会 主席</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173,522,703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4,168,900</w:t>
            </w:r>
          </w:p>
        </w:tc>
        <w:tc>
          <w:tcPr>
            <w:tcW w:w="88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169,353,803</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90"/>
        <w:gridCol w:w="388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魏利伟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463" w:lineRule="auto"/>
        <w:ind w:left="513" w:right="3734" w:hanging="361"/>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rPr>
      </w:r>
    </w:p>
    <w:p>
      <w:pPr>
        <w:pStyle w:val="BodyText"/>
        <w:spacing w:line="408" w:lineRule="auto"/>
        <w:ind w:right="0" w:firstLine="360"/>
        <w:jc w:val="left"/>
      </w:pPr>
      <w:r>
        <w:rPr>
          <w:spacing w:val="-2"/>
        </w:rPr>
        <w:t>章笠中先生，</w:t>
      </w:r>
      <w:r>
        <w:rPr>
          <w:rFonts w:ascii="宋体" w:hAnsi="宋体" w:cs="宋体" w:eastAsia="宋体" w:hint="default"/>
          <w:spacing w:val="-2"/>
        </w:rPr>
        <w:t>1963</w:t>
      </w:r>
      <w:r>
        <w:rPr>
          <w:spacing w:val="-2"/>
        </w:rPr>
        <w:t>年出生，中国国籍，无境外永久居留权，研究生学历，高级工程师，系国家高层次人才特殊支持计划</w:t>
      </w:r>
      <w:r>
        <w:rPr/>
        <w:t> </w:t>
      </w:r>
      <w:r>
        <w:rPr>
          <w:spacing w:val="-5"/>
        </w:rPr>
        <w:t>科技创新创业人才。曾获浙江省科技进步一等奖一次、二等奖两次，杭州市科技进步一、二等奖三次，第四届“科技新浙商”</w:t>
      </w:r>
      <w:r>
        <w:rPr>
          <w:spacing w:val="-79"/>
        </w:rPr>
        <w:t> </w:t>
      </w:r>
      <w:r>
        <w:rPr>
          <w:spacing w:val="-79"/>
        </w:rPr>
      </w:r>
      <w:r>
        <w:rPr>
          <w:spacing w:val="-2"/>
        </w:rPr>
        <w:t>等荣誉称号。现为中国卫生信息学会卫生信息标准委员会常委，医疗物联网与移动医疗学组副组长；中国医院协会信息管理</w:t>
      </w:r>
      <w:r>
        <w:rPr>
          <w:spacing w:val="-63"/>
        </w:rPr>
        <w:t> </w:t>
      </w:r>
      <w:r>
        <w:rPr>
          <w:spacing w:val="-63"/>
        </w:rPr>
      </w:r>
      <w:r>
        <w:rPr>
          <w:spacing w:val="-2"/>
        </w:rPr>
        <w:t>专业委员会（</w:t>
      </w:r>
      <w:r>
        <w:rPr>
          <w:rFonts w:ascii="宋体" w:hAnsi="宋体" w:cs="宋体" w:eastAsia="宋体" w:hint="default"/>
          <w:spacing w:val="-2"/>
        </w:rPr>
        <w:t>CHIMA</w:t>
      </w:r>
      <w:r>
        <w:rPr>
          <w:spacing w:val="-2"/>
        </w:rPr>
        <w:t>）委员；《中国卫生信息管理杂志》编委兼常务理事。历任杭州师范大学教师，银江股份有限公司董事、</w:t>
      </w:r>
      <w:r>
        <w:rPr>
          <w:spacing w:val="-67"/>
        </w:rPr>
        <w:t> </w:t>
      </w:r>
      <w:r>
        <w:rPr>
          <w:spacing w:val="-67"/>
        </w:rPr>
      </w:r>
      <w:r>
        <w:rPr>
          <w:spacing w:val="-2"/>
        </w:rPr>
        <w:t>副总经理。</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月任医惠科技有限公司董事长、总经理；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月任公司副董事长、董事、总</w:t>
      </w:r>
      <w:r>
        <w:rPr>
          <w:spacing w:val="-51"/>
        </w:rPr>
        <w:t> </w:t>
      </w:r>
      <w:r>
        <w:rPr>
          <w:spacing w:val="-51"/>
        </w:rPr>
      </w:r>
      <w:r>
        <w:rPr/>
        <w:t>经理；</w:t>
      </w:r>
      <w:r>
        <w:rPr>
          <w:rFonts w:ascii="宋体" w:hAnsi="宋体" w:cs="宋体" w:eastAsia="宋体" w:hint="default"/>
        </w:rPr>
        <w:t>2017</w:t>
      </w:r>
      <w:r>
        <w:rPr/>
        <w:t>年</w:t>
      </w:r>
      <w:r>
        <w:rPr>
          <w:rFonts w:ascii="宋体" w:hAnsi="宋体" w:cs="宋体" w:eastAsia="宋体" w:hint="default"/>
        </w:rPr>
        <w:t>1</w:t>
      </w:r>
      <w:r>
        <w:rPr/>
        <w:t>月至今任公司董事长、总经理。</w:t>
      </w:r>
    </w:p>
    <w:p>
      <w:pPr>
        <w:spacing w:after="0" w:line="408"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408" w:lineRule="auto" w:before="44"/>
        <w:ind w:right="1128" w:firstLine="360"/>
        <w:jc w:val="both"/>
      </w:pPr>
      <w:r>
        <w:rPr>
          <w:spacing w:val="-2"/>
        </w:rPr>
        <w:t>孙新军先生，</w:t>
      </w:r>
      <w:r>
        <w:rPr>
          <w:rFonts w:ascii="宋体" w:hAnsi="宋体" w:cs="宋体" w:eastAsia="宋体" w:hint="default"/>
          <w:spacing w:val="-2"/>
        </w:rPr>
        <w:t>1970</w:t>
      </w:r>
      <w:r>
        <w:rPr>
          <w:spacing w:val="-2"/>
        </w:rPr>
        <w:t>年出生，中国国籍，无境外永久居留权，研究生学历。</w:t>
      </w:r>
      <w:r>
        <w:rPr>
          <w:rFonts w:ascii="宋体" w:hAnsi="宋体" w:cs="宋体" w:eastAsia="宋体" w:hint="default"/>
          <w:spacing w:val="-2"/>
        </w:rPr>
        <w:t>1996</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月在浙江省国际信托投资</w:t>
      </w:r>
      <w:r>
        <w:rPr/>
        <w:t> </w:t>
      </w:r>
      <w:r>
        <w:rPr>
          <w:spacing w:val="-2"/>
        </w:rPr>
        <w:t>公司、浙江国信控股集团有限公司、浙江国信租赁有限公司历任集团子公司综合管理部经理、总经理助理、副总经理，</w:t>
      </w:r>
      <w:r>
        <w:rPr>
          <w:rFonts w:ascii="宋体" w:hAnsi="宋体" w:cs="宋体" w:eastAsia="宋体" w:hint="default"/>
          <w:spacing w:val="-2"/>
        </w:rPr>
        <w:t>2011</w:t>
      </w:r>
      <w:r>
        <w:rPr>
          <w:rFonts w:ascii="宋体" w:hAnsi="宋体" w:cs="宋体" w:eastAsia="宋体" w:hint="default"/>
          <w:spacing w:val="-58"/>
        </w:rPr>
        <w:t> </w:t>
      </w:r>
      <w:r>
        <w:rPr/>
        <w:t>年</w:t>
      </w:r>
      <w:r>
        <w:rPr>
          <w:rFonts w:ascii="宋体" w:hAnsi="宋体" w:cs="宋体" w:eastAsia="宋体" w:hint="default"/>
        </w:rPr>
        <w:t>9</w:t>
      </w:r>
      <w:r>
        <w:rPr/>
        <w:t>月至今任医惠科技有限公司副总裁；</w:t>
      </w:r>
      <w:r>
        <w:rPr>
          <w:rFonts w:ascii="宋体" w:hAnsi="宋体" w:cs="宋体" w:eastAsia="宋体" w:hint="default"/>
        </w:rPr>
        <w:t>2015</w:t>
      </w:r>
      <w:r>
        <w:rPr/>
        <w:t>年</w:t>
      </w:r>
      <w:r>
        <w:rPr>
          <w:rFonts w:ascii="宋体" w:hAnsi="宋体" w:cs="宋体" w:eastAsia="宋体" w:hint="default"/>
        </w:rPr>
        <w:t>8</w:t>
      </w:r>
      <w:r>
        <w:rPr/>
        <w:t>月至今任公司董事；</w:t>
      </w:r>
      <w:r>
        <w:rPr>
          <w:rFonts w:ascii="宋体" w:hAnsi="宋体" w:cs="宋体" w:eastAsia="宋体" w:hint="default"/>
        </w:rPr>
        <w:t>2017</w:t>
      </w:r>
      <w:r>
        <w:rPr/>
        <w:t>年</w:t>
      </w:r>
      <w:r>
        <w:rPr>
          <w:rFonts w:ascii="宋体" w:hAnsi="宋体" w:cs="宋体" w:eastAsia="宋体" w:hint="default"/>
        </w:rPr>
        <w:t>5</w:t>
      </w:r>
      <w:r>
        <w:rPr/>
        <w:t>月至今任公司董事、副总经理、董事会秘书； </w:t>
      </w:r>
      <w:r>
        <w:rPr>
          <w:rFonts w:ascii="宋体" w:hAnsi="宋体" w:cs="宋体" w:eastAsia="宋体" w:hint="default"/>
        </w:rPr>
        <w:t>2018</w:t>
      </w:r>
      <w:r>
        <w:rPr/>
        <w:t>年</w:t>
      </w:r>
      <w:r>
        <w:rPr>
          <w:rFonts w:ascii="宋体" w:hAnsi="宋体" w:cs="宋体" w:eastAsia="宋体" w:hint="default"/>
        </w:rPr>
        <w:t>5</w:t>
      </w:r>
      <w:r>
        <w:rPr/>
        <w:t>月至今任公司副董事长、副总经理、董事会秘书。</w:t>
      </w:r>
    </w:p>
    <w:p>
      <w:pPr>
        <w:pStyle w:val="BodyText"/>
        <w:spacing w:line="408" w:lineRule="auto" w:before="39"/>
        <w:ind w:right="1128" w:firstLine="360"/>
        <w:jc w:val="both"/>
      </w:pPr>
      <w:r>
        <w:rPr>
          <w:spacing w:val="-2"/>
        </w:rPr>
        <w:t>周燕儿女士，</w:t>
      </w:r>
      <w:r>
        <w:rPr>
          <w:rFonts w:ascii="宋体" w:hAnsi="宋体" w:cs="宋体" w:eastAsia="宋体" w:hint="default"/>
          <w:spacing w:val="-2"/>
        </w:rPr>
        <w:t>1969</w:t>
      </w:r>
      <w:r>
        <w:rPr>
          <w:spacing w:val="-2"/>
        </w:rPr>
        <w:t>年出生，中国国籍，无境外永久居留权，硕士研究生学位，高级工程师。</w:t>
      </w:r>
      <w:r>
        <w:rPr>
          <w:rFonts w:ascii="宋体" w:hAnsi="宋体" w:cs="宋体" w:eastAsia="宋体" w:hint="default"/>
          <w:spacing w:val="-2"/>
        </w:rPr>
        <w:t>1992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月供职</w:t>
      </w:r>
      <w:r>
        <w:rPr/>
        <w:t> </w:t>
      </w:r>
      <w:r>
        <w:rPr>
          <w:spacing w:val="-2"/>
        </w:rPr>
        <w:t>于浙江省能源监察总队；</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月供职于浙江省发展和改革委员会能源局；</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月任医惠科技</w:t>
      </w:r>
      <w:r>
        <w:rPr>
          <w:spacing w:val="-52"/>
        </w:rPr>
        <w:t> </w:t>
      </w:r>
      <w:r>
        <w:rPr>
          <w:spacing w:val="-52"/>
        </w:rPr>
      </w:r>
      <w:r>
        <w:rPr>
          <w:spacing w:val="-2"/>
        </w:rPr>
        <w:t>有限公司副总裁；</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月至今，任公司党委书记、副总经理、董事；</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月至今，兼任杭州思创汇联科技有限公司董</w:t>
      </w:r>
      <w:r>
        <w:rPr>
          <w:spacing w:val="-60"/>
        </w:rPr>
        <w:t> </w:t>
      </w:r>
      <w:r>
        <w:rPr>
          <w:spacing w:val="-60"/>
        </w:rPr>
      </w:r>
      <w:r>
        <w:rPr/>
        <w:t>事长、杭州中瑞思创物联科技有限公司董事长、杭州思越科技有限公司执行董事。</w:t>
      </w:r>
    </w:p>
    <w:p>
      <w:pPr>
        <w:pStyle w:val="BodyText"/>
        <w:spacing w:line="408" w:lineRule="auto" w:before="37"/>
        <w:ind w:right="1131" w:firstLine="360"/>
        <w:jc w:val="both"/>
      </w:pPr>
      <w:r>
        <w:rPr/>
        <w:t>梁健先生，</w:t>
      </w:r>
      <w:r>
        <w:rPr>
          <w:rFonts w:ascii="宋体" w:hAnsi="宋体" w:cs="宋体" w:eastAsia="宋体" w:hint="default"/>
        </w:rPr>
        <w:t>1977</w:t>
      </w:r>
      <w:r>
        <w:rPr/>
        <w:t>年出生，中国国籍，无境外永久居留权，中国党员。</w:t>
      </w:r>
      <w:r>
        <w:rPr>
          <w:rFonts w:ascii="宋体" w:hAnsi="宋体" w:cs="宋体" w:eastAsia="宋体" w:hint="default"/>
        </w:rPr>
        <w:t>2006</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12</w:t>
      </w:r>
      <w:r>
        <w:rPr/>
        <w:t>月任思创医惠科技股份有限 公司装配部部长；</w:t>
      </w:r>
      <w:r>
        <w:rPr>
          <w:rFonts w:ascii="宋体" w:hAnsi="宋体" w:cs="宋体" w:eastAsia="宋体" w:hint="default"/>
        </w:rPr>
        <w:t>2010</w:t>
      </w:r>
      <w:r>
        <w:rPr/>
        <w:t>年</w:t>
      </w:r>
      <w:r>
        <w:rPr>
          <w:rFonts w:ascii="宋体" w:hAnsi="宋体" w:cs="宋体" w:eastAsia="宋体" w:hint="default"/>
        </w:rPr>
        <w:t>12</w:t>
      </w:r>
      <w:r>
        <w:rPr/>
        <w:t>月至</w:t>
      </w:r>
      <w:r>
        <w:rPr>
          <w:rFonts w:ascii="宋体" w:hAnsi="宋体" w:cs="宋体" w:eastAsia="宋体" w:hint="default"/>
        </w:rPr>
        <w:t>2016</w:t>
      </w:r>
      <w:r>
        <w:rPr/>
        <w:t>年</w:t>
      </w:r>
      <w:r>
        <w:rPr>
          <w:rFonts w:ascii="宋体" w:hAnsi="宋体" w:cs="宋体" w:eastAsia="宋体" w:hint="default"/>
        </w:rPr>
        <w:t>12</w:t>
      </w:r>
      <w:r>
        <w:rPr/>
        <w:t>月任思创医惠科技股份有限公司生产</w:t>
      </w:r>
      <w:r>
        <w:rPr>
          <w:rFonts w:ascii="宋体" w:hAnsi="宋体" w:cs="宋体" w:eastAsia="宋体" w:hint="default"/>
        </w:rPr>
        <w:t>SBU</w:t>
      </w:r>
      <w:r>
        <w:rPr/>
        <w:t>负责人；</w:t>
      </w:r>
      <w:r>
        <w:rPr>
          <w:rFonts w:ascii="宋体" w:hAnsi="宋体" w:cs="宋体" w:eastAsia="宋体" w:hint="default"/>
        </w:rPr>
        <w:t>2016</w:t>
      </w:r>
      <w:r>
        <w:rPr/>
        <w:t>年</w:t>
      </w:r>
      <w:r>
        <w:rPr>
          <w:rFonts w:ascii="宋体" w:hAnsi="宋体" w:cs="宋体" w:eastAsia="宋体" w:hint="default"/>
        </w:rPr>
        <w:t>12</w:t>
      </w:r>
      <w:r>
        <w:rPr/>
        <w:t>月至</w:t>
      </w:r>
      <w:r>
        <w:rPr>
          <w:rFonts w:ascii="宋体" w:hAnsi="宋体" w:cs="宋体" w:eastAsia="宋体" w:hint="default"/>
        </w:rPr>
        <w:t>2017</w:t>
      </w:r>
      <w:r>
        <w:rPr/>
        <w:t>年</w:t>
      </w:r>
      <w:r>
        <w:rPr>
          <w:rFonts w:ascii="宋体" w:hAnsi="宋体" w:cs="宋体" w:eastAsia="宋体" w:hint="default"/>
        </w:rPr>
        <w:t>12</w:t>
      </w:r>
      <w:r>
        <w:rPr/>
        <w:t>月任思创 </w:t>
      </w:r>
      <w:r>
        <w:rPr>
          <w:spacing w:val="-2"/>
        </w:rPr>
        <w:t>医惠科技股份有限公司商业智能事业部副总经理；</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月至今任杭州思越科技有限公司总经理；</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月至今，任公司</w:t>
      </w:r>
      <w:r>
        <w:rPr>
          <w:spacing w:val="-59"/>
        </w:rPr>
        <w:t> </w:t>
      </w:r>
      <w:r>
        <w:rPr>
          <w:spacing w:val="-59"/>
        </w:rPr>
      </w:r>
      <w:r>
        <w:rPr/>
        <w:t>董事。</w:t>
      </w:r>
    </w:p>
    <w:p>
      <w:pPr>
        <w:pStyle w:val="BodyText"/>
        <w:spacing w:line="408" w:lineRule="auto" w:before="39"/>
        <w:ind w:right="1034" w:firstLine="360"/>
        <w:jc w:val="left"/>
      </w:pPr>
      <w:r>
        <w:rPr>
          <w:spacing w:val="-2"/>
        </w:rPr>
        <w:t>张立民先生，</w:t>
      </w:r>
      <w:r>
        <w:rPr>
          <w:rFonts w:ascii="宋体" w:hAnsi="宋体" w:cs="宋体" w:eastAsia="宋体" w:hint="default"/>
          <w:spacing w:val="-2"/>
        </w:rPr>
        <w:t>1962</w:t>
      </w:r>
      <w:r>
        <w:rPr>
          <w:spacing w:val="-2"/>
        </w:rPr>
        <w:t>年出生，中国国籍，无境外永久居留权，本科学历，高级律师。</w:t>
      </w:r>
      <w:r>
        <w:rPr>
          <w:rFonts w:ascii="宋体" w:hAnsi="宋体" w:cs="宋体" w:eastAsia="宋体" w:hint="default"/>
          <w:spacing w:val="-2"/>
        </w:rPr>
        <w:t>1984</w:t>
      </w:r>
      <w:r>
        <w:rPr>
          <w:spacing w:val="-2"/>
        </w:rPr>
        <w:t>年至</w:t>
      </w:r>
      <w:r>
        <w:rPr>
          <w:rFonts w:ascii="宋体" w:hAnsi="宋体" w:cs="宋体" w:eastAsia="宋体" w:hint="default"/>
          <w:spacing w:val="-2"/>
        </w:rPr>
        <w:t>1991</w:t>
      </w:r>
      <w:r>
        <w:rPr>
          <w:spacing w:val="-2"/>
        </w:rPr>
        <w:t>年任杭州市法律学校教</w:t>
      </w:r>
      <w:r>
        <w:rPr/>
        <w:t> 师，并兼任杭州西湖律师事务所、杭州对外经济律师事务所任兼职律师；</w:t>
      </w:r>
      <w:r>
        <w:rPr>
          <w:rFonts w:ascii="宋体" w:hAnsi="宋体" w:cs="宋体" w:eastAsia="宋体" w:hint="default"/>
        </w:rPr>
        <w:t>1992</w:t>
      </w:r>
      <w:r>
        <w:rPr/>
        <w:t>年至</w:t>
      </w:r>
      <w:r>
        <w:rPr>
          <w:rFonts w:ascii="宋体" w:hAnsi="宋体" w:cs="宋体" w:eastAsia="宋体" w:hint="default"/>
        </w:rPr>
        <w:t>1996</w:t>
      </w:r>
      <w:r>
        <w:rPr/>
        <w:t>年任浙江志和律师事务所专职律师； </w:t>
      </w:r>
      <w:r>
        <w:rPr>
          <w:rFonts w:ascii="宋体" w:hAnsi="宋体" w:cs="宋体" w:eastAsia="宋体" w:hint="default"/>
        </w:rPr>
        <w:t>1997</w:t>
      </w:r>
      <w:r>
        <w:rPr/>
        <w:t>年至</w:t>
      </w:r>
      <w:r>
        <w:rPr>
          <w:rFonts w:ascii="宋体" w:hAnsi="宋体" w:cs="宋体" w:eastAsia="宋体" w:hint="default"/>
        </w:rPr>
        <w:t>2000</w:t>
      </w:r>
      <w:r>
        <w:rPr/>
        <w:t>年任浙江星韵律师事务所专职律师；</w:t>
      </w:r>
      <w:r>
        <w:rPr>
          <w:rFonts w:ascii="宋体" w:hAnsi="宋体" w:cs="宋体" w:eastAsia="宋体" w:hint="default"/>
        </w:rPr>
        <w:t>2001</w:t>
      </w:r>
      <w:r>
        <w:rPr/>
        <w:t>年至今任国浩律师（杭州）事务所专职律师；</w:t>
      </w:r>
      <w:r>
        <w:rPr>
          <w:spacing w:val="-49"/>
        </w:rPr>
        <w:t> </w:t>
      </w:r>
      <w:r>
        <w:rPr>
          <w:rFonts w:ascii="宋体" w:hAnsi="宋体" w:cs="宋体" w:eastAsia="宋体" w:hint="default"/>
        </w:rPr>
        <w:t>2015</w:t>
      </w:r>
      <w:r>
        <w:rPr/>
        <w:t>年</w:t>
      </w:r>
      <w:r>
        <w:rPr>
          <w:rFonts w:ascii="宋体" w:hAnsi="宋体" w:cs="宋体" w:eastAsia="宋体" w:hint="default"/>
        </w:rPr>
        <w:t>6</w:t>
      </w:r>
      <w:r>
        <w:rPr/>
        <w:t>月至今兼任东 方通信股份有限公司（</w:t>
      </w:r>
      <w:r>
        <w:rPr>
          <w:rFonts w:ascii="宋体" w:hAnsi="宋体" w:cs="宋体" w:eastAsia="宋体" w:hint="default"/>
        </w:rPr>
        <w:t>600776</w:t>
      </w:r>
      <w:r>
        <w:rPr/>
        <w:t>）独立董事。</w:t>
      </w:r>
      <w:r>
        <w:rPr>
          <w:rFonts w:ascii="宋体" w:hAnsi="宋体" w:cs="宋体" w:eastAsia="宋体" w:hint="default"/>
        </w:rPr>
        <w:t>2015</w:t>
      </w:r>
      <w:r>
        <w:rPr/>
        <w:t>年</w:t>
      </w:r>
      <w:r>
        <w:rPr>
          <w:rFonts w:ascii="宋体" w:hAnsi="宋体" w:cs="宋体" w:eastAsia="宋体" w:hint="default"/>
        </w:rPr>
        <w:t>4</w:t>
      </w:r>
      <w:r>
        <w:rPr/>
        <w:t>月至今任公司独立董事。</w:t>
      </w:r>
    </w:p>
    <w:p>
      <w:pPr>
        <w:pStyle w:val="BodyText"/>
        <w:spacing w:line="408" w:lineRule="auto" w:before="39"/>
        <w:ind w:right="0" w:firstLine="360"/>
        <w:jc w:val="left"/>
      </w:pPr>
      <w:r>
        <w:rPr>
          <w:spacing w:val="-4"/>
        </w:rPr>
        <w:t>蔡在法先生，</w:t>
      </w:r>
      <w:r>
        <w:rPr>
          <w:rFonts w:ascii="宋体" w:hAnsi="宋体" w:cs="宋体" w:eastAsia="宋体" w:hint="default"/>
          <w:spacing w:val="-4"/>
        </w:rPr>
        <w:t>1971</w:t>
      </w:r>
      <w:r>
        <w:rPr>
          <w:spacing w:val="-4"/>
        </w:rPr>
        <w:t>年出生，中国国籍，无境外永久居留权，本科学历，高级会计师，经济师，注册会计师，注册税务师，</w:t>
      </w:r>
      <w:r>
        <w:rPr/>
        <w:t> 注册资产评估师。</w:t>
      </w:r>
      <w:r>
        <w:rPr>
          <w:rFonts w:ascii="宋体" w:hAnsi="宋体" w:cs="宋体" w:eastAsia="宋体" w:hint="default"/>
        </w:rPr>
        <w:t>1993</w:t>
      </w:r>
      <w:r>
        <w:rPr/>
        <w:t>年</w:t>
      </w:r>
      <w:r>
        <w:rPr>
          <w:rFonts w:ascii="宋体" w:hAnsi="宋体" w:cs="宋体" w:eastAsia="宋体" w:hint="default"/>
        </w:rPr>
        <w:t>8</w:t>
      </w:r>
      <w:r>
        <w:rPr/>
        <w:t>月至</w:t>
      </w:r>
      <w:r>
        <w:rPr>
          <w:rFonts w:ascii="宋体" w:hAnsi="宋体" w:cs="宋体" w:eastAsia="宋体" w:hint="default"/>
        </w:rPr>
        <w:t>1997</w:t>
      </w:r>
      <w:r>
        <w:rPr/>
        <w:t>年</w:t>
      </w:r>
      <w:r>
        <w:rPr>
          <w:rFonts w:ascii="宋体" w:hAnsi="宋体" w:cs="宋体" w:eastAsia="宋体" w:hint="default"/>
        </w:rPr>
        <w:t>12</w:t>
      </w:r>
      <w:r>
        <w:rPr/>
        <w:t>月，历任浙江水利厅综合经营公司会计、经理助理、主办会计，</w:t>
      </w:r>
      <w:r>
        <w:rPr>
          <w:rFonts w:ascii="宋体" w:hAnsi="宋体" w:cs="宋体" w:eastAsia="宋体" w:hint="default"/>
        </w:rPr>
        <w:t>1998</w:t>
      </w:r>
      <w:r>
        <w:rPr/>
        <w:t>年</w:t>
      </w:r>
      <w:r>
        <w:rPr>
          <w:rFonts w:ascii="宋体" w:hAnsi="宋体" w:cs="宋体" w:eastAsia="宋体" w:hint="default"/>
        </w:rPr>
        <w:t>1</w:t>
      </w:r>
      <w:r>
        <w:rPr/>
        <w:t>月至</w:t>
      </w:r>
      <w:r>
        <w:rPr>
          <w:rFonts w:ascii="宋体" w:hAnsi="宋体" w:cs="宋体" w:eastAsia="宋体" w:hint="default"/>
        </w:rPr>
        <w:t>2005 </w:t>
      </w:r>
      <w:r>
        <w:rPr>
          <w:spacing w:val="-2"/>
        </w:rPr>
        <w:t>年</w:t>
      </w:r>
      <w:r>
        <w:rPr>
          <w:rFonts w:ascii="宋体" w:hAnsi="宋体" w:cs="宋体" w:eastAsia="宋体" w:hint="default"/>
          <w:spacing w:val="-2"/>
        </w:rPr>
        <w:t>8</w:t>
      </w:r>
      <w:r>
        <w:rPr>
          <w:spacing w:val="-2"/>
        </w:rPr>
        <w:t>月，历任浙江瑞信会计师事务所项目经理、部门经理，</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月至今，任浙江瑞信会计师事务所执行董事兼所长。</w:t>
      </w:r>
      <w:r>
        <w:rPr>
          <w:rFonts w:ascii="宋体" w:hAnsi="宋体" w:cs="宋体" w:eastAsia="宋体" w:hint="default"/>
          <w:spacing w:val="-2"/>
        </w:rPr>
        <w:t>2016</w:t>
      </w:r>
      <w:r>
        <w:rPr>
          <w:rFonts w:ascii="宋体" w:hAnsi="宋体" w:cs="宋体" w:eastAsia="宋体" w:hint="default"/>
          <w:spacing w:val="-57"/>
        </w:rPr>
        <w:t> </w:t>
      </w:r>
      <w:r>
        <w:rPr>
          <w:rFonts w:ascii="宋体" w:hAnsi="宋体" w:cs="宋体" w:eastAsia="宋体" w:hint="default"/>
          <w:spacing w:val="-57"/>
        </w:rPr>
      </w:r>
      <w:r>
        <w:rPr/>
        <w:t>年</w:t>
      </w:r>
      <w:r>
        <w:rPr>
          <w:rFonts w:ascii="宋体" w:hAnsi="宋体" w:cs="宋体" w:eastAsia="宋体" w:hint="default"/>
        </w:rPr>
        <w:t>12</w:t>
      </w:r>
      <w:r>
        <w:rPr/>
        <w:t>月至今兼任恒勃控股股份有限公司</w:t>
      </w:r>
      <w:r>
        <w:rPr>
          <w:rFonts w:ascii="宋体" w:hAnsi="宋体" w:cs="宋体" w:eastAsia="宋体" w:hint="default"/>
        </w:rPr>
        <w:t>(834165)</w:t>
      </w:r>
      <w:r>
        <w:rPr/>
        <w:t>独立董事。</w:t>
      </w:r>
      <w:r>
        <w:rPr>
          <w:rFonts w:ascii="宋体" w:hAnsi="宋体" w:cs="宋体" w:eastAsia="宋体" w:hint="default"/>
        </w:rPr>
        <w:t>2015</w:t>
      </w:r>
      <w:r>
        <w:rPr/>
        <w:t>年</w:t>
      </w:r>
      <w:r>
        <w:rPr>
          <w:rFonts w:ascii="宋体" w:hAnsi="宋体" w:cs="宋体" w:eastAsia="宋体" w:hint="default"/>
        </w:rPr>
        <w:t>4</w:t>
      </w:r>
      <w:r>
        <w:rPr/>
        <w:t>月至今任公司独立董事。</w:t>
      </w:r>
    </w:p>
    <w:p>
      <w:pPr>
        <w:pStyle w:val="BodyText"/>
        <w:spacing w:line="408" w:lineRule="auto" w:before="37"/>
        <w:ind w:right="1130" w:firstLine="360"/>
        <w:jc w:val="both"/>
      </w:pPr>
      <w:r>
        <w:rPr/>
        <w:t>严义先生，</w:t>
      </w:r>
      <w:r>
        <w:rPr>
          <w:rFonts w:ascii="宋体" w:hAnsi="宋体" w:cs="宋体" w:eastAsia="宋体" w:hint="default"/>
        </w:rPr>
        <w:t>1961</w:t>
      </w:r>
      <w:r>
        <w:rPr>
          <w:rFonts w:ascii="宋体" w:hAnsi="宋体" w:cs="宋体" w:eastAsia="宋体" w:hint="default"/>
          <w:spacing w:val="-35"/>
        </w:rPr>
        <w:t> </w:t>
      </w:r>
      <w:r>
        <w:rPr/>
        <w:t>年出生，中国国籍</w:t>
      </w:r>
      <w:r>
        <w:rPr>
          <w:rFonts w:ascii="宋体" w:hAnsi="宋体" w:cs="宋体" w:eastAsia="宋体" w:hint="default"/>
        </w:rPr>
        <w:t>,</w:t>
      </w:r>
      <w:r>
        <w:rPr/>
        <w:t>无境外永久居留权</w:t>
      </w:r>
      <w:r>
        <w:rPr>
          <w:rFonts w:ascii="宋体" w:hAnsi="宋体" w:cs="宋体" w:eastAsia="宋体" w:hint="default"/>
        </w:rPr>
        <w:t>,</w:t>
      </w:r>
      <w:r>
        <w:rPr/>
        <w:t>研究生学历。</w:t>
      </w:r>
      <w:r>
        <w:rPr>
          <w:spacing w:val="-46"/>
        </w:rPr>
        <w:t> </w:t>
      </w:r>
      <w:r>
        <w:rPr/>
        <w:t>杭州电子科技大学二级教授，博士生导师，享受</w:t>
      </w:r>
      <w:r>
        <w:rPr/>
        <w:t> 国家特殊津贴专家，浙江省有突出贡献中青年专家，浙江省“</w:t>
      </w:r>
      <w:r>
        <w:rPr>
          <w:rFonts w:ascii="宋体" w:hAnsi="宋体" w:cs="宋体" w:eastAsia="宋体" w:hint="default"/>
        </w:rPr>
        <w:t>151</w:t>
      </w:r>
      <w:r>
        <w:rPr/>
        <w:t>人才工程”一层次人员（重点资助），全国信息产业科技 </w:t>
      </w:r>
      <w:r>
        <w:rPr>
          <w:spacing w:val="-2"/>
        </w:rPr>
        <w:t>创新先进个人。自</w:t>
      </w:r>
      <w:r>
        <w:rPr>
          <w:rFonts w:ascii="宋体" w:hAnsi="宋体" w:cs="宋体" w:eastAsia="宋体" w:hint="default"/>
          <w:spacing w:val="-2"/>
        </w:rPr>
        <w:t>1991</w:t>
      </w:r>
      <w:r>
        <w:rPr>
          <w:spacing w:val="-2"/>
        </w:rPr>
        <w:t>年至今，就职于杭州电子科技大学，现任杭州电子科技大学智能与软件技术研究所所长，杭州电子科</w:t>
      </w:r>
      <w:r>
        <w:rPr>
          <w:spacing w:val="-61"/>
        </w:rPr>
        <w:t> </w:t>
      </w:r>
      <w:r>
        <w:rPr>
          <w:spacing w:val="-61"/>
        </w:rPr>
      </w:r>
      <w:r>
        <w:rPr>
          <w:spacing w:val="-2"/>
        </w:rPr>
        <w:t>技大学国家级计算机基础实验教学示范中心主任，浙江省嵌入式重点实验室（杭电）主任，浙江省重点科技创新团队（面向</w:t>
      </w:r>
      <w:r>
        <w:rPr>
          <w:spacing w:val="-67"/>
        </w:rPr>
        <w:t> </w:t>
      </w:r>
      <w:r>
        <w:rPr>
          <w:spacing w:val="-67"/>
        </w:rPr>
      </w:r>
      <w:r>
        <w:rPr/>
        <w:t>行业的嵌入式关键技术）负责人。兼任</w:t>
      </w:r>
      <w:r>
        <w:rPr>
          <w:rFonts w:ascii="宋体" w:hAnsi="宋体" w:cs="宋体" w:eastAsia="宋体" w:hint="default"/>
        </w:rPr>
        <w:t>PLCopen</w:t>
      </w:r>
      <w:r>
        <w:rPr/>
        <w:t>国际组织中国主席，中国计算机学会嵌入式系统专委会常委，中国机电一体 化协会常委理事，浙江省科技厅重大科技专项网络信息专家组组长。</w:t>
      </w:r>
      <w:r>
        <w:rPr>
          <w:rFonts w:ascii="宋体" w:hAnsi="宋体" w:cs="宋体" w:eastAsia="宋体" w:hint="default"/>
        </w:rPr>
        <w:t>2012</w:t>
      </w:r>
      <w:r>
        <w:rPr/>
        <w:t>年</w:t>
      </w:r>
      <w:r>
        <w:rPr>
          <w:rFonts w:ascii="宋体" w:hAnsi="宋体" w:cs="宋体" w:eastAsia="宋体" w:hint="default"/>
        </w:rPr>
        <w:t>8</w:t>
      </w:r>
      <w:r>
        <w:rPr/>
        <w:t>月至今兼任泰瑞机器股份有限公司（</w:t>
      </w:r>
      <w:r>
        <w:rPr>
          <w:rFonts w:ascii="宋体" w:hAnsi="宋体" w:cs="宋体" w:eastAsia="宋体" w:hint="default"/>
        </w:rPr>
        <w:t>603289</w:t>
      </w:r>
      <w:r>
        <w:rPr/>
        <w:t>） 独立董事。</w:t>
      </w:r>
      <w:r>
        <w:rPr>
          <w:rFonts w:ascii="宋体" w:hAnsi="宋体" w:cs="宋体" w:eastAsia="宋体" w:hint="default"/>
        </w:rPr>
        <w:t>2015</w:t>
      </w:r>
      <w:r>
        <w:rPr/>
        <w:t>年</w:t>
      </w:r>
      <w:r>
        <w:rPr>
          <w:rFonts w:ascii="宋体" w:hAnsi="宋体" w:cs="宋体" w:eastAsia="宋体" w:hint="default"/>
        </w:rPr>
        <w:t>8</w:t>
      </w:r>
      <w:r>
        <w:rPr/>
        <w:t>月至今任公司独立董事。</w:t>
      </w:r>
    </w:p>
    <w:p>
      <w:pPr>
        <w:pStyle w:val="BodyText"/>
        <w:spacing w:line="408" w:lineRule="auto" w:before="39"/>
        <w:ind w:left="513" w:right="1125"/>
        <w:jc w:val="left"/>
      </w:pPr>
      <w:r>
        <w:rPr>
          <w:rFonts w:ascii="宋体" w:hAnsi="宋体" w:cs="宋体" w:eastAsia="宋体" w:hint="default"/>
          <w:b/>
          <w:bCs/>
        </w:rPr>
        <w:t>2</w:t>
      </w:r>
      <w:r>
        <w:rPr>
          <w:rFonts w:ascii="宋体" w:hAnsi="宋体" w:cs="宋体" w:eastAsia="宋体" w:hint="default"/>
          <w:b/>
          <w:bCs/>
        </w:rPr>
        <w:t>、监事</w:t>
      </w:r>
      <w:r>
        <w:rPr>
          <w:rFonts w:ascii="宋体" w:hAnsi="宋体" w:cs="宋体" w:eastAsia="宋体" w:hint="default"/>
          <w:b/>
          <w:bCs/>
          <w:w w:val="99"/>
        </w:rPr>
        <w:t> </w:t>
      </w:r>
      <w:r>
        <w:rPr>
          <w:spacing w:val="-2"/>
        </w:rPr>
        <w:t>曾正女士，</w:t>
      </w:r>
      <w:r>
        <w:rPr>
          <w:rFonts w:ascii="宋体" w:hAnsi="宋体" w:cs="宋体" w:eastAsia="宋体" w:hint="default"/>
          <w:spacing w:val="-2"/>
        </w:rPr>
        <w:t>1984</w:t>
      </w:r>
      <w:r>
        <w:rPr>
          <w:spacing w:val="-2"/>
        </w:rPr>
        <w:t>年出生，中国国籍，无境外永久居留权，本科学历。</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月，历任汉鼎宇佑互联网股份</w:t>
      </w:r>
    </w:p>
    <w:p>
      <w:pPr>
        <w:pStyle w:val="BodyText"/>
        <w:spacing w:line="408" w:lineRule="auto" w:before="37"/>
        <w:ind w:left="513" w:right="1125" w:hanging="361"/>
        <w:jc w:val="left"/>
      </w:pPr>
      <w:r>
        <w:rPr/>
        <w:t>有限公司行政事务部经理、证券事务代表。</w:t>
      </w:r>
      <w:r>
        <w:rPr>
          <w:rFonts w:ascii="宋体" w:hAnsi="宋体" w:cs="宋体" w:eastAsia="宋体" w:hint="default"/>
        </w:rPr>
        <w:t>2017</w:t>
      </w:r>
      <w:r>
        <w:rPr/>
        <w:t>年</w:t>
      </w:r>
      <w:r>
        <w:rPr>
          <w:rFonts w:ascii="宋体" w:hAnsi="宋体" w:cs="宋体" w:eastAsia="宋体" w:hint="default"/>
        </w:rPr>
        <w:t>10</w:t>
      </w:r>
      <w:r>
        <w:rPr/>
        <w:t>月至今，任公司证券事务代表；</w:t>
      </w:r>
      <w:r>
        <w:rPr>
          <w:rFonts w:ascii="宋体" w:hAnsi="宋体" w:cs="宋体" w:eastAsia="宋体" w:hint="default"/>
        </w:rPr>
        <w:t>2018</w:t>
      </w:r>
      <w:r>
        <w:rPr/>
        <w:t>年</w:t>
      </w:r>
      <w:r>
        <w:rPr>
          <w:rFonts w:ascii="宋体" w:hAnsi="宋体" w:cs="宋体" w:eastAsia="宋体" w:hint="default"/>
        </w:rPr>
        <w:t>4</w:t>
      </w:r>
      <w:r>
        <w:rPr/>
        <w:t>月至今任公司监事会主席。 </w:t>
      </w:r>
      <w:r>
        <w:rPr>
          <w:spacing w:val="-2"/>
        </w:rPr>
        <w:t>楼翔先生，</w:t>
      </w:r>
      <w:r>
        <w:rPr>
          <w:rFonts w:ascii="宋体" w:hAnsi="宋体" w:cs="宋体" w:eastAsia="宋体" w:hint="default"/>
          <w:spacing w:val="-2"/>
        </w:rPr>
        <w:t>1978</w:t>
      </w:r>
      <w:r>
        <w:rPr>
          <w:spacing w:val="-2"/>
        </w:rPr>
        <w:t>年出生，中国国籍，无境外永久居留权，本科学历。</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月，历任三维通信股份有限公</w:t>
      </w:r>
    </w:p>
    <w:p>
      <w:pPr>
        <w:pStyle w:val="BodyText"/>
        <w:spacing w:line="405" w:lineRule="auto" w:before="39"/>
        <w:ind w:right="1124"/>
        <w:jc w:val="left"/>
      </w:pPr>
      <w:r>
        <w:rPr/>
        <w:t>司销服中心财经经理、内审部负责人。</w:t>
      </w:r>
      <w:r>
        <w:rPr>
          <w:rFonts w:ascii="宋体" w:hAnsi="宋体" w:cs="宋体" w:eastAsia="宋体" w:hint="default"/>
        </w:rPr>
        <w:t>2016</w:t>
      </w:r>
      <w:r>
        <w:rPr/>
        <w:t>年</w:t>
      </w:r>
      <w:r>
        <w:rPr>
          <w:rFonts w:ascii="宋体" w:hAnsi="宋体" w:cs="宋体" w:eastAsia="宋体" w:hint="default"/>
        </w:rPr>
        <w:t>6</w:t>
      </w:r>
      <w:r>
        <w:rPr/>
        <w:t>月至</w:t>
      </w:r>
      <w:r>
        <w:rPr>
          <w:rFonts w:ascii="宋体" w:hAnsi="宋体" w:cs="宋体" w:eastAsia="宋体" w:hint="default"/>
        </w:rPr>
        <w:t>2016</w:t>
      </w:r>
      <w:r>
        <w:rPr/>
        <w:t>年</w:t>
      </w:r>
      <w:r>
        <w:rPr>
          <w:rFonts w:ascii="宋体" w:hAnsi="宋体" w:cs="宋体" w:eastAsia="宋体" w:hint="default"/>
        </w:rPr>
        <w:t>10</w:t>
      </w:r>
      <w:r>
        <w:rPr/>
        <w:t>月，任公司内审部经理；</w:t>
      </w:r>
      <w:r>
        <w:rPr>
          <w:rFonts w:ascii="宋体" w:hAnsi="宋体" w:cs="宋体" w:eastAsia="宋体" w:hint="default"/>
        </w:rPr>
        <w:t>2016</w:t>
      </w:r>
      <w:r>
        <w:rPr/>
        <w:t>年</w:t>
      </w:r>
      <w:r>
        <w:rPr>
          <w:rFonts w:ascii="宋体" w:hAnsi="宋体" w:cs="宋体" w:eastAsia="宋体" w:hint="default"/>
        </w:rPr>
        <w:t>11</w:t>
      </w:r>
      <w:r>
        <w:rPr/>
        <w:t>月至今，任公司内审部负责 人，</w:t>
      </w:r>
      <w:r>
        <w:rPr>
          <w:rFonts w:ascii="宋体" w:hAnsi="宋体" w:cs="宋体" w:eastAsia="宋体" w:hint="default"/>
        </w:rPr>
        <w:t>2017</w:t>
      </w:r>
      <w:r>
        <w:rPr/>
        <w:t>年</w:t>
      </w:r>
      <w:r>
        <w:rPr>
          <w:rFonts w:ascii="宋体" w:hAnsi="宋体" w:cs="宋体" w:eastAsia="宋体" w:hint="default"/>
        </w:rPr>
        <w:t>7</w:t>
      </w:r>
      <w:r>
        <w:rPr/>
        <w:t>月至今，任公司监事会非职工代表监事。</w:t>
      </w:r>
    </w:p>
    <w:p>
      <w:pPr>
        <w:pStyle w:val="BodyText"/>
        <w:spacing w:line="240" w:lineRule="auto" w:before="41"/>
        <w:ind w:left="513" w:right="0"/>
        <w:jc w:val="left"/>
      </w:pPr>
      <w:r>
        <w:rPr/>
        <w:t>汪骏先生，</w:t>
      </w:r>
      <w:r>
        <w:rPr>
          <w:rFonts w:ascii="宋体" w:hAnsi="宋体" w:cs="宋体" w:eastAsia="宋体" w:hint="default"/>
        </w:rPr>
        <w:t>1978</w:t>
      </w:r>
      <w:r>
        <w:rPr/>
        <w:t>年出生，中国国籍，无境外永久居留权，本科学历。</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6</w:t>
      </w:r>
      <w:r>
        <w:rPr/>
        <w:t>月，任浙大网新天松信息有</w:t>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408" w:lineRule="auto" w:before="44"/>
        <w:ind w:right="1133"/>
        <w:jc w:val="both"/>
      </w:pPr>
      <w:r>
        <w:rPr/>
        <w:t>限公司行政部经理；</w:t>
      </w:r>
      <w:r>
        <w:rPr>
          <w:rFonts w:ascii="宋体" w:hAnsi="宋体" w:cs="宋体" w:eastAsia="宋体" w:hint="default"/>
        </w:rPr>
        <w:t>2006</w:t>
      </w:r>
      <w:r>
        <w:rPr/>
        <w:t>年</w:t>
      </w:r>
      <w:r>
        <w:rPr>
          <w:rFonts w:ascii="宋体" w:hAnsi="宋体" w:cs="宋体" w:eastAsia="宋体" w:hint="default"/>
        </w:rPr>
        <w:t>7</w:t>
      </w:r>
      <w:r>
        <w:rPr/>
        <w:t>月至</w:t>
      </w:r>
      <w:r>
        <w:rPr>
          <w:rFonts w:ascii="宋体" w:hAnsi="宋体" w:cs="宋体" w:eastAsia="宋体" w:hint="default"/>
        </w:rPr>
        <w:t>2009</w:t>
      </w:r>
      <w:r>
        <w:rPr/>
        <w:t>年</w:t>
      </w:r>
      <w:r>
        <w:rPr>
          <w:rFonts w:ascii="宋体" w:hAnsi="宋体" w:cs="宋体" w:eastAsia="宋体" w:hint="default"/>
        </w:rPr>
        <w:t>4</w:t>
      </w:r>
      <w:r>
        <w:rPr/>
        <w:t>月，任杭州银江智能设备有限公司总经理助理；</w:t>
      </w:r>
      <w:r>
        <w:rPr>
          <w:rFonts w:ascii="宋体" w:hAnsi="宋体" w:cs="宋体" w:eastAsia="宋体" w:hint="default"/>
        </w:rPr>
        <w:t>2009</w:t>
      </w:r>
      <w:r>
        <w:rPr/>
        <w:t>年</w:t>
      </w:r>
      <w:r>
        <w:rPr>
          <w:rFonts w:ascii="宋体" w:hAnsi="宋体" w:cs="宋体" w:eastAsia="宋体" w:hint="default"/>
        </w:rPr>
        <w:t>5</w:t>
      </w:r>
      <w:r>
        <w:rPr/>
        <w:t>月至今，任医惠科技有限 </w:t>
      </w:r>
      <w:r>
        <w:rPr>
          <w:spacing w:val="-2"/>
        </w:rPr>
        <w:t>公司总裁助理、工会主席；</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月，任公司职工代表监事、工会副主席；</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月至今，任公司职工代表</w:t>
      </w:r>
      <w:r>
        <w:rPr>
          <w:spacing w:val="-59"/>
        </w:rPr>
        <w:t> </w:t>
      </w:r>
      <w:r>
        <w:rPr>
          <w:spacing w:val="-59"/>
        </w:rPr>
      </w:r>
      <w:r>
        <w:rPr/>
        <w:t>监事、工会主席。</w:t>
      </w:r>
    </w:p>
    <w:p>
      <w:pPr>
        <w:spacing w:line="408" w:lineRule="auto" w:before="39"/>
        <w:ind w:left="513" w:right="850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sz w:val="18"/>
          <w:szCs w:val="18"/>
        </w:rPr>
        <w:t>章笠中先生：同</w:t>
      </w:r>
      <w:r>
        <w:rPr>
          <w:rFonts w:ascii="宋体" w:hAnsi="宋体" w:cs="宋体" w:eastAsia="宋体" w:hint="default"/>
          <w:sz w:val="18"/>
          <w:szCs w:val="18"/>
        </w:rPr>
        <w:t>1</w:t>
      </w:r>
      <w:r>
        <w:rPr>
          <w:rFonts w:ascii="宋体" w:hAnsi="宋体" w:cs="宋体" w:eastAsia="宋体" w:hint="default"/>
          <w:sz w:val="18"/>
          <w:szCs w:val="18"/>
        </w:rPr>
        <w:t>、董事 孙新军先生：同</w:t>
      </w:r>
      <w:r>
        <w:rPr>
          <w:rFonts w:ascii="宋体" w:hAnsi="宋体" w:cs="宋体" w:eastAsia="宋体" w:hint="default"/>
          <w:sz w:val="18"/>
          <w:szCs w:val="18"/>
        </w:rPr>
        <w:t>1</w:t>
      </w:r>
      <w:r>
        <w:rPr>
          <w:rFonts w:ascii="宋体" w:hAnsi="宋体" w:cs="宋体" w:eastAsia="宋体" w:hint="default"/>
          <w:sz w:val="18"/>
          <w:szCs w:val="18"/>
        </w:rPr>
        <w:t>、董事 周燕儿女士：同</w:t>
      </w:r>
      <w:r>
        <w:rPr>
          <w:rFonts w:ascii="宋体" w:hAnsi="宋体" w:cs="宋体" w:eastAsia="宋体" w:hint="default"/>
          <w:sz w:val="18"/>
          <w:szCs w:val="18"/>
        </w:rPr>
        <w:t>1</w:t>
      </w:r>
      <w:r>
        <w:rPr>
          <w:rFonts w:ascii="宋体" w:hAnsi="宋体" w:cs="宋体" w:eastAsia="宋体" w:hint="default"/>
          <w:sz w:val="18"/>
          <w:szCs w:val="18"/>
        </w:rPr>
        <w:t>、董事</w:t>
      </w:r>
    </w:p>
    <w:p>
      <w:pPr>
        <w:pStyle w:val="BodyText"/>
        <w:spacing w:line="408" w:lineRule="auto" w:before="39"/>
        <w:ind w:right="1133" w:firstLine="360"/>
        <w:jc w:val="both"/>
      </w:pPr>
      <w:r>
        <w:rPr/>
        <w:t>王凛先生：</w:t>
      </w:r>
      <w:r>
        <w:rPr>
          <w:rFonts w:ascii="宋体" w:hAnsi="宋体" w:cs="宋体" w:eastAsia="宋体" w:hint="default"/>
        </w:rPr>
        <w:t>1979</w:t>
      </w:r>
      <w:r>
        <w:rPr/>
        <w:t>年出生，中国国籍，无境外居留权，本科学历，注册会计师，英国特许公认会计师。</w:t>
      </w:r>
      <w:r>
        <w:rPr>
          <w:rFonts w:ascii="宋体" w:hAnsi="宋体" w:cs="宋体" w:eastAsia="宋体" w:hint="default"/>
        </w:rPr>
        <w:t>2007</w:t>
      </w:r>
      <w:r>
        <w:rPr/>
        <w:t>年</w:t>
      </w:r>
      <w:r>
        <w:rPr>
          <w:rFonts w:ascii="宋体" w:hAnsi="宋体" w:cs="宋体" w:eastAsia="宋体" w:hint="default"/>
        </w:rPr>
        <w:t>7</w:t>
      </w:r>
      <w:r>
        <w:rPr/>
        <w:t>月至</w:t>
      </w:r>
      <w:r>
        <w:rPr>
          <w:rFonts w:ascii="宋体" w:hAnsi="宋体" w:cs="宋体" w:eastAsia="宋体" w:hint="default"/>
        </w:rPr>
        <w:t>2015 </w:t>
      </w:r>
      <w:r>
        <w:rPr/>
        <w:t>年</w:t>
      </w:r>
      <w:r>
        <w:rPr>
          <w:rFonts w:ascii="宋体" w:hAnsi="宋体" w:cs="宋体" w:eastAsia="宋体" w:hint="default"/>
        </w:rPr>
        <w:t>6</w:t>
      </w:r>
      <w:r>
        <w:rPr/>
        <w:t>月历任意嘉机械制造（上海）有限公司财务经理、朗盛中国有限公司高级财务经理；</w:t>
      </w:r>
      <w:r>
        <w:rPr>
          <w:rFonts w:ascii="宋体" w:hAnsi="宋体" w:cs="宋体" w:eastAsia="宋体" w:hint="default"/>
        </w:rPr>
        <w:t>2015</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月，任苏州智 康信息科技股份有限公司财务总监，</w:t>
      </w:r>
      <w:r>
        <w:rPr>
          <w:rFonts w:ascii="宋体" w:hAnsi="宋体" w:cs="宋体" w:eastAsia="宋体" w:hint="default"/>
        </w:rPr>
        <w:t>2017</w:t>
      </w:r>
      <w:r>
        <w:rPr/>
        <w:t>年</w:t>
      </w:r>
      <w:r>
        <w:rPr>
          <w:rFonts w:ascii="宋体" w:hAnsi="宋体" w:cs="宋体" w:eastAsia="宋体" w:hint="default"/>
        </w:rPr>
        <w:t>6</w:t>
      </w:r>
      <w:r>
        <w:rPr/>
        <w:t>月至今，任公司财务负责人。</w:t>
      </w:r>
    </w:p>
    <w:p>
      <w:pPr>
        <w:pStyle w:val="BodyText"/>
        <w:spacing w:line="408" w:lineRule="auto" w:before="39"/>
        <w:ind w:right="1128" w:firstLine="360"/>
        <w:jc w:val="both"/>
      </w:pPr>
      <w:r>
        <w:rPr>
          <w:spacing w:val="-5"/>
        </w:rPr>
        <w:t>魏利伟先生：</w:t>
      </w:r>
      <w:r>
        <w:rPr>
          <w:rFonts w:ascii="宋体" w:hAnsi="宋体" w:cs="宋体" w:eastAsia="宋体" w:hint="default"/>
          <w:spacing w:val="-5"/>
        </w:rPr>
        <w:t>1972</w:t>
      </w:r>
      <w:r>
        <w:rPr>
          <w:spacing w:val="-5"/>
        </w:rPr>
        <w:t>年出生，中国国籍，无境外居留权，研究生学历，会计师、经济师、中国注册会计师和英国</w:t>
      </w:r>
      <w:r>
        <w:rPr>
          <w:rFonts w:ascii="宋体" w:hAnsi="宋体" w:cs="宋体" w:eastAsia="宋体" w:hint="default"/>
          <w:spacing w:val="-5"/>
        </w:rPr>
        <w:t>FCCA</w:t>
      </w:r>
      <w:r>
        <w:rPr>
          <w:spacing w:val="-5"/>
        </w:rPr>
        <w:t>。</w:t>
      </w:r>
      <w:r>
        <w:rPr>
          <w:rFonts w:ascii="宋体" w:hAnsi="宋体" w:cs="宋体" w:eastAsia="宋体" w:hint="default"/>
          <w:spacing w:val="-5"/>
        </w:rPr>
        <w:t>1998</w:t>
      </w:r>
      <w:r>
        <w:rPr>
          <w:rFonts w:ascii="宋体" w:hAnsi="宋体" w:cs="宋体" w:eastAsia="宋体" w:hint="default"/>
        </w:rPr>
        <w:t> </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月，在华为技术有限公司、贺利氏工业技术材料有限公司、保利协鑫能源控股有限公司、欣荣医疗有限公司</w:t>
      </w:r>
      <w:r>
        <w:rPr>
          <w:spacing w:val="-61"/>
        </w:rPr>
        <w:t> </w:t>
      </w:r>
      <w:r>
        <w:rPr>
          <w:spacing w:val="-61"/>
        </w:rPr>
      </w:r>
      <w:r>
        <w:rPr>
          <w:spacing w:val="-2"/>
        </w:rPr>
        <w:t>和百慕迪再生医学健康管理集团公司等历任财务经理、财务副总监、财务总监、集团财务部副总经理、首席财务官等。</w:t>
      </w:r>
      <w:r>
        <w:rPr>
          <w:rFonts w:ascii="宋体" w:hAnsi="宋体" w:cs="宋体" w:eastAsia="宋体" w:hint="default"/>
          <w:spacing w:val="-2"/>
        </w:rPr>
        <w:t>2018</w:t>
      </w:r>
      <w:r>
        <w:rPr>
          <w:rFonts w:ascii="宋体" w:hAnsi="宋体" w:cs="宋体" w:eastAsia="宋体" w:hint="default"/>
          <w:spacing w:val="-58"/>
        </w:rPr>
        <w:t> </w:t>
      </w:r>
      <w:r>
        <w:rPr/>
        <w:t>年</w:t>
      </w:r>
      <w:r>
        <w:rPr>
          <w:rFonts w:ascii="宋体" w:hAnsi="宋体" w:cs="宋体" w:eastAsia="宋体" w:hint="default"/>
        </w:rPr>
        <w:t>5</w:t>
      </w:r>
      <w:r>
        <w:rPr/>
        <w:t>月至今，在公司副总经理。</w:t>
      </w:r>
    </w:p>
    <w:p>
      <w:pPr>
        <w:spacing w:line="240" w:lineRule="auto" w:before="3"/>
        <w:rPr>
          <w:rFonts w:ascii="宋体" w:hAnsi="宋体" w:cs="宋体" w:eastAsia="宋体" w:hint="default"/>
          <w:sz w:val="25"/>
          <w:szCs w:val="25"/>
        </w:rPr>
      </w:pPr>
    </w:p>
    <w:p>
      <w:pPr>
        <w:pStyle w:val="BodyText"/>
        <w:spacing w:line="240" w:lineRule="auto"/>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299"/>
        <w:gridCol w:w="1217"/>
        <w:gridCol w:w="1217"/>
        <w:gridCol w:w="1445"/>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5" w:right="10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7" w:right="84"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云南医惠科技有限公司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福建医惠医疗信息服务有限公司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深圳智慧医学科技有限公司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299"/>
        <w:gridCol w:w="1217"/>
        <w:gridCol w:w="1217"/>
        <w:gridCol w:w="1445"/>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杭州医惠科贝社科技咨询有限公司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pStyle w:val="BodyText"/>
        <w:spacing w:line="300" w:lineRule="auto" w:before="115"/>
        <w:ind w:left="513" w:right="1133"/>
        <w:jc w:val="left"/>
      </w:pPr>
      <w:r>
        <w:rPr>
          <w:rFonts w:ascii="Times New Roman" w:hAnsi="Times New Roman" w:cs="Times New Roman" w:eastAsia="Times New Roman" w:hint="default"/>
        </w:rPr>
        <w:t>1</w:t>
      </w:r>
      <w:r>
        <w:rPr/>
        <w:t>、董事、监事、高级管理人员报酬的决策程序： </w:t>
      </w:r>
      <w:r>
        <w:rPr>
          <w:spacing w:val="-2"/>
        </w:rPr>
        <w:t>公司董事、监事报酬由股东大会决定，高级管理人员报酬由董事会决定；在公司担任职务的董事、监事、高级管理人员</w:t>
      </w:r>
    </w:p>
    <w:p>
      <w:pPr>
        <w:pStyle w:val="BodyText"/>
        <w:spacing w:line="309" w:lineRule="auto" w:before="32"/>
        <w:ind w:left="513" w:right="1034" w:hanging="361"/>
        <w:jc w:val="left"/>
      </w:pPr>
      <w:r>
        <w:rPr/>
        <w:t>的报酬由公司按其担任的职务发放；独立董事津贴依据股东大会决议支付。 </w:t>
      </w:r>
      <w:r>
        <w:rPr>
          <w:rFonts w:ascii="Times New Roman" w:hAnsi="Times New Roman" w:cs="Times New Roman" w:eastAsia="Times New Roman" w:hint="default"/>
        </w:rPr>
        <w:t>2</w:t>
      </w:r>
      <w:r>
        <w:rPr/>
        <w:t>、董事、监事、高级管理人员报酬的确定依据： </w:t>
      </w:r>
      <w:r>
        <w:rPr>
          <w:spacing w:val="-4"/>
        </w:rPr>
        <w:t>董事、监事、高级管理人员的报酬按照公司董事会《薪酬与考核委员会工作细则》等规定，结合其工作能力、岗位职责、</w:t>
      </w:r>
    </w:p>
    <w:p>
      <w:pPr>
        <w:pStyle w:val="BodyText"/>
        <w:spacing w:line="240" w:lineRule="auto" w:before="24"/>
        <w:ind w:right="1133"/>
        <w:jc w:val="left"/>
      </w:pPr>
      <w:r>
        <w:rPr/>
        <w:t>经营绩效等考核确定并发放。</w:t>
      </w:r>
    </w:p>
    <w:p>
      <w:pPr>
        <w:pStyle w:val="BodyText"/>
        <w:spacing w:line="240" w:lineRule="auto" w:before="76"/>
        <w:ind w:left="513" w:right="1133"/>
        <w:jc w:val="left"/>
      </w:pPr>
      <w:r>
        <w:rPr>
          <w:rFonts w:ascii="Times New Roman" w:hAnsi="Times New Roman" w:cs="Times New Roman" w:eastAsia="Times New Roman" w:hint="default"/>
        </w:rPr>
        <w:t>3</w:t>
      </w:r>
      <w:r>
        <w:rPr/>
        <w:t>、董事、监事、高级管理人员报酬的实际支付情况：</w:t>
      </w:r>
    </w:p>
    <w:p>
      <w:pPr>
        <w:pStyle w:val="BodyText"/>
        <w:spacing w:line="340" w:lineRule="auto" w:before="63"/>
        <w:ind w:left="513" w:right="3238"/>
        <w:jc w:val="left"/>
      </w:pPr>
      <w:r>
        <w:rPr>
          <w:rFonts w:ascii="Times New Roman" w:hAnsi="Times New Roman" w:cs="Times New Roman" w:eastAsia="Times New Roman" w:hint="default"/>
        </w:rPr>
        <w:t>2018</w:t>
      </w:r>
      <w:r>
        <w:rPr/>
        <w:t>年度，公司所有在任的董事、监事及高级管理人员共</w:t>
      </w:r>
      <w:r>
        <w:rPr>
          <w:rFonts w:ascii="Times New Roman" w:hAnsi="Times New Roman" w:cs="Times New Roman" w:eastAsia="Times New Roman" w:hint="default"/>
        </w:rPr>
        <w:t>18</w:t>
      </w:r>
      <w:r>
        <w:rPr/>
        <w:t>人，实际支付薪酬</w:t>
      </w:r>
      <w:r>
        <w:rPr>
          <w:rFonts w:ascii="Times New Roman" w:hAnsi="Times New Roman" w:cs="Times New Roman" w:eastAsia="Times New Roman" w:hint="default"/>
        </w:rPr>
        <w:t>376.28</w:t>
      </w:r>
      <w:r>
        <w:rPr/>
        <w:t>万元。 公司报告期内董事、监事和高级管理人员报酬情况</w:t>
      </w:r>
    </w:p>
    <w:p>
      <w:pPr>
        <w:pStyle w:val="BodyText"/>
        <w:spacing w:line="240" w:lineRule="auto" w:before="41"/>
        <w:ind w:left="0" w:right="1222"/>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45"/>
        <w:gridCol w:w="1291"/>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7"/>
                <w:sz w:val="18"/>
                <w:szCs w:val="18"/>
              </w:rPr>
              <w:t>副董事长、副总经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理、董事会秘书</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魏利伟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7"/>
                <w:sz w:val="18"/>
                <w:szCs w:val="18"/>
              </w:rPr>
              <w:t>原董事、副总经理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7"/>
                <w:sz w:val="18"/>
                <w:szCs w:val="18"/>
              </w:rPr>
              <w:t>原董事、副总经理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445"/>
        <w:gridCol w:w="1291"/>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376.28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2"/>
        </w:rPr>
        <w:t>报告期内，公司进一步完善薪酬制度和奖励办法，建立与公司发展相匹配的科学的薪酬考核体系。为充分调动员工的积</w:t>
      </w:r>
      <w:r>
        <w:rPr/>
        <w:t> </w:t>
      </w:r>
      <w:r>
        <w:rPr>
          <w:spacing w:val="-2"/>
        </w:rPr>
        <w:t>极性，建立适应市场经济的激励约束机制，公司根据公司经营的实际情况，依照《公司章程》、《董事会薪酬与考核委员会</w:t>
      </w:r>
      <w:r>
        <w:rPr>
          <w:spacing w:val="-71"/>
        </w:rPr>
        <w:t> </w:t>
      </w:r>
      <w:r>
        <w:rPr>
          <w:spacing w:val="-71"/>
        </w:rPr>
      </w:r>
      <w:r>
        <w:rPr/>
        <w:t>工作细则》，制定公司薪酬管理办法，员工薪酬主要包括基本工资、绩效工资、奖金、社保、住房公积金、津贴、补助等。</w:t>
      </w:r>
      <w:r>
        <w:rPr/>
        <w:t> </w:t>
      </w:r>
      <w:r>
        <w:rPr>
          <w:spacing w:val="-2"/>
        </w:rPr>
        <w:t>公司实行销售人员薪酬与个人销售业绩挂钩，其他人员实行岗位与绩效工资相结合，并与企业效益挂钩，充分调动和激发公</w:t>
      </w:r>
      <w:r>
        <w:rPr>
          <w:spacing w:val="-63"/>
        </w:rPr>
        <w:t> </w:t>
      </w:r>
      <w:r>
        <w:rPr>
          <w:spacing w:val="-63"/>
        </w:rPr>
      </w:r>
      <w:r>
        <w:rPr/>
        <w:t>司员工的积极性、创造力，建立效率优先兼顾公平的价值分配体系，提升团队凝聚力，促进公司经营效益持续稳步增长。</w:t>
      </w:r>
    </w:p>
    <w:p>
      <w:pPr>
        <w:spacing w:after="0" w:line="316"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t>公司始终把人才发展作为重点工作，公司每年根据员工需求及公司发展等制定年度培训计划，同时不断优化培训体系， 紧密结合业务需求，提供可落地的组织和个人能力发展方案。公司培训层级分公司级别培训、培训形式主要有内训和外训， </w:t>
      </w:r>
      <w:r>
        <w:rPr>
          <w:spacing w:val="-2"/>
        </w:rPr>
        <w:t>内训由部门自行制定培训课程或聘请外部专家至公司担任讲师，进行专业方面的培训。外训不定期派相关骨干人员参加有关</w:t>
      </w:r>
      <w:r>
        <w:rPr>
          <w:spacing w:val="-64"/>
        </w:rPr>
        <w:t> </w:t>
      </w:r>
      <w:r>
        <w:rPr>
          <w:spacing w:val="-64"/>
        </w:rPr>
      </w:r>
      <w:r>
        <w:rPr/>
        <w:t>专题研讨会、展览会、进修班等。</w:t>
      </w:r>
    </w:p>
    <w:p>
      <w:pPr>
        <w:pStyle w:val="BodyText"/>
        <w:spacing w:line="316" w:lineRule="auto" w:before="19"/>
        <w:ind w:right="1130" w:firstLine="360"/>
        <w:jc w:val="both"/>
      </w:pPr>
      <w:r>
        <w:rPr>
          <w:spacing w:val="-2"/>
        </w:rPr>
        <w:t>公司非常注重员工的培训工作，积极寻求各种培训资源和渠道，建立了较为完善的培训体系。在引进外部培训机构的同</w:t>
      </w:r>
      <w:r>
        <w:rPr/>
        <w:t> </w:t>
      </w:r>
      <w:r>
        <w:rPr>
          <w:spacing w:val="-2"/>
        </w:rPr>
        <w:t>时，还建立了内部讲师团队。充分利用内部资源和新的网络技术，极大的提高了员工学习和分享的积极性与效率，保证了公</w:t>
      </w:r>
      <w:r>
        <w:rPr>
          <w:spacing w:val="-64"/>
        </w:rPr>
        <w:t> </w:t>
      </w:r>
      <w:r>
        <w:rPr>
          <w:spacing w:val="-64"/>
        </w:rPr>
      </w:r>
      <w:r>
        <w:rPr/>
        <w:t>司管理体系的有效运行。</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968,840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15,570,898.00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right="3399"/>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133"/>
        <w:jc w:val="both"/>
      </w:pPr>
      <w:r>
        <w:rPr>
          <w:spacing w:val="-2"/>
        </w:rPr>
        <w:t>《深圳证券交易所创业板上市公司规范运作指引》等法律、法规和中国证监会有关法律法规等的要求，不断完善公司的法人</w:t>
      </w:r>
      <w:r>
        <w:rPr>
          <w:spacing w:val="-65"/>
        </w:rPr>
        <w:t> </w:t>
      </w:r>
      <w:r>
        <w:rPr>
          <w:spacing w:val="-65"/>
        </w:rPr>
      </w:r>
      <w:r>
        <w:rPr>
          <w:spacing w:val="-2"/>
        </w:rPr>
        <w:t>治理结构，建立健全公司内部管理和控制制度，持续深入开展公司治理活动，促进公司规范运作，提高公司治理水平。截至</w:t>
      </w:r>
      <w:r>
        <w:rPr>
          <w:spacing w:val="-67"/>
        </w:rPr>
        <w:t> </w:t>
      </w:r>
      <w:r>
        <w:rPr>
          <w:spacing w:val="-67"/>
        </w:rPr>
      </w:r>
      <w:r>
        <w:rPr/>
        <w:t>报告期末，公司治理的实际状况符合《上市公司治理准则》和《深圳证券交易所创业板上市公司规范运作指引》等要求。</w:t>
      </w:r>
    </w:p>
    <w:p>
      <w:pPr>
        <w:pStyle w:val="BodyText"/>
        <w:spacing w:line="300" w:lineRule="auto" w:before="19"/>
        <w:ind w:left="513" w:right="1125"/>
        <w:jc w:val="left"/>
      </w:pPr>
      <w:r>
        <w:rPr>
          <w:rFonts w:ascii="Times New Roman" w:hAnsi="Times New Roman" w:cs="Times New Roman" w:eastAsia="Times New Roman" w:hint="default"/>
        </w:rPr>
        <w:t>1</w:t>
      </w:r>
      <w:r>
        <w:rPr/>
        <w:t>、股东和股东大会 </w:t>
      </w:r>
      <w:r>
        <w:rPr>
          <w:spacing w:val="-2"/>
        </w:rPr>
        <w:t>公司严格按照《上市公司股东大会规则》、《公司章程》、《股东大会议事规则》等规定和要求，规范地召集、召开股</w:t>
      </w:r>
    </w:p>
    <w:p>
      <w:pPr>
        <w:pStyle w:val="BodyText"/>
        <w:spacing w:line="316" w:lineRule="auto" w:before="31"/>
        <w:ind w:right="1131"/>
        <w:jc w:val="both"/>
      </w:pPr>
      <w:r>
        <w:rPr>
          <w:spacing w:val="-2"/>
        </w:rPr>
        <w:t>东大会，平等对待所有股东，并尽可能为股东参加股东大会提供便利，使其充分行使股东权利。报告期内，公司召开股东大</w:t>
      </w:r>
      <w:r>
        <w:rPr>
          <w:spacing w:val="-67"/>
        </w:rPr>
        <w:t> </w:t>
      </w:r>
      <w:r>
        <w:rPr>
          <w:spacing w:val="-67"/>
        </w:rPr>
      </w:r>
      <w:r>
        <w:rPr>
          <w:spacing w:val="-2"/>
        </w:rPr>
        <w:t>会四次，其中召开年度股东大会一次，均由公司董事会召集召开，董事长、副董事长或半数以上董事选举的董事主持，邀请</w:t>
      </w:r>
      <w:r>
        <w:rPr>
          <w:spacing w:val="-67"/>
        </w:rPr>
        <w:t> </w:t>
      </w:r>
      <w:r>
        <w:rPr>
          <w:spacing w:val="-67"/>
        </w:rPr>
      </w:r>
      <w:r>
        <w:rPr>
          <w:spacing w:val="-2"/>
        </w:rPr>
        <w:t>见证律师进行现场见证并出具法律意见书。在股东大会上能够保证各位股东有充分的发言权，确保全体股东特别是中小股东</w:t>
      </w:r>
      <w:r>
        <w:rPr>
          <w:spacing w:val="-62"/>
        </w:rPr>
        <w:t> </w:t>
      </w:r>
      <w:r>
        <w:rPr>
          <w:spacing w:val="-62"/>
        </w:rPr>
      </w:r>
      <w:r>
        <w:rPr/>
        <w:t>享有平等地位，充分行使自己的权力。</w:t>
      </w:r>
    </w:p>
    <w:p>
      <w:pPr>
        <w:pStyle w:val="BodyText"/>
        <w:spacing w:line="300" w:lineRule="auto" w:before="19"/>
        <w:ind w:left="513" w:right="1133"/>
        <w:jc w:val="left"/>
      </w:pPr>
      <w:r>
        <w:rPr>
          <w:rFonts w:ascii="Times New Roman" w:hAnsi="Times New Roman" w:cs="Times New Roman" w:eastAsia="Times New Roman" w:hint="default"/>
        </w:rPr>
        <w:t>2</w:t>
      </w:r>
      <w:r>
        <w:rPr/>
        <w:t>、公司与控股股东 </w:t>
      </w:r>
      <w:r>
        <w:rPr>
          <w:spacing w:val="-2"/>
        </w:rPr>
        <w:t>公司控股股东和实际控制人严格按照《上市公司治理准则》、《深圳证券交易所创业板股票上市规则》、《深圳证券交</w:t>
      </w:r>
    </w:p>
    <w:p>
      <w:pPr>
        <w:pStyle w:val="BodyText"/>
        <w:spacing w:line="316" w:lineRule="auto" w:before="31"/>
        <w:ind w:right="1034"/>
        <w:jc w:val="left"/>
      </w:pPr>
      <w:r>
        <w:rPr>
          <w:spacing w:val="-2"/>
        </w:rPr>
        <w:t>易所创业板上市公司规范运作指引》、《公司章程》等规定和要求，规范自己的行为，未发生超越股东大会直接或间接干预</w:t>
      </w:r>
      <w:r>
        <w:rPr>
          <w:spacing w:val="-67"/>
        </w:rPr>
        <w:t> </w:t>
      </w:r>
      <w:r>
        <w:rPr>
          <w:spacing w:val="-67"/>
        </w:rPr>
      </w:r>
      <w:r>
        <w:rPr/>
        <w:t>公司的决策和经营活动损害公司及其他股东利益的情形。公司不存在控股股东占用公司资金、为控股股东提供担保的情形。 </w:t>
      </w:r>
      <w:r>
        <w:rPr>
          <w:spacing w:val="-2"/>
        </w:rPr>
        <w:t>公司拥有独立完整的业务和自主经营能力，在业务、人员、资产、机构、财务上独立于控股股东，公司董事会、监事会和内</w:t>
      </w:r>
      <w:r>
        <w:rPr>
          <w:spacing w:val="-73"/>
        </w:rPr>
        <w:t> </w:t>
      </w:r>
      <w:r>
        <w:rPr>
          <w:spacing w:val="-73"/>
        </w:rPr>
      </w:r>
      <w:r>
        <w:rPr/>
        <w:t>部机构独立运作。</w:t>
      </w:r>
    </w:p>
    <w:p>
      <w:pPr>
        <w:pStyle w:val="BodyText"/>
        <w:spacing w:line="300" w:lineRule="auto" w:before="19"/>
        <w:ind w:left="513" w:right="1123"/>
        <w:jc w:val="left"/>
      </w:pPr>
      <w:r>
        <w:rPr>
          <w:rFonts w:ascii="Times New Roman" w:hAnsi="Times New Roman" w:cs="Times New Roman" w:eastAsia="Times New Roman" w:hint="default"/>
        </w:rPr>
        <w:t>3</w:t>
      </w:r>
      <w:r>
        <w:rPr/>
        <w:t>、董事和董事会 </w:t>
      </w:r>
      <w:r>
        <w:rPr>
          <w:spacing w:val="-5"/>
        </w:rPr>
        <w:t>公司董事会设董事</w:t>
      </w:r>
      <w:r>
        <w:rPr>
          <w:rFonts w:ascii="Times New Roman" w:hAnsi="Times New Roman" w:cs="Times New Roman" w:eastAsia="Times New Roman" w:hint="default"/>
          <w:spacing w:val="-5"/>
        </w:rPr>
        <w:t>7</w:t>
      </w:r>
      <w:r>
        <w:rPr>
          <w:spacing w:val="-5"/>
        </w:rPr>
        <w:t>名，其中独立董事</w:t>
      </w:r>
      <w:r>
        <w:rPr>
          <w:rFonts w:ascii="Times New Roman" w:hAnsi="Times New Roman" w:cs="Times New Roman" w:eastAsia="Times New Roman" w:hint="default"/>
          <w:spacing w:val="-5"/>
        </w:rPr>
        <w:t>3</w:t>
      </w:r>
      <w:r>
        <w:rPr>
          <w:spacing w:val="-5"/>
        </w:rPr>
        <w:t>人，独立董事人数达到董事会人数的三分之一，且人员构成符合法律、法规和《公</w:t>
      </w:r>
    </w:p>
    <w:p>
      <w:pPr>
        <w:pStyle w:val="BodyText"/>
        <w:spacing w:line="316" w:lineRule="auto" w:before="13"/>
        <w:ind w:right="1044"/>
        <w:jc w:val="both"/>
      </w:pPr>
      <w:r>
        <w:rPr>
          <w:spacing w:val="-2"/>
        </w:rPr>
        <w:t>司章程》的要求。公司按照《深圳证券交易所创业板上市公司规范运作指引》的要求，董事会下设审计、战略决策、薪酬与</w:t>
      </w:r>
      <w:r>
        <w:rPr>
          <w:spacing w:val="-73"/>
        </w:rPr>
        <w:t> </w:t>
      </w:r>
      <w:r>
        <w:rPr>
          <w:spacing w:val="-73"/>
        </w:rPr>
      </w:r>
      <w:r>
        <w:rPr>
          <w:spacing w:val="-4"/>
        </w:rPr>
        <w:t>考核、提名四个专门委员会。报告期内，董事会召开会议十一次，董事会的召集和召开程序符合《公司法》、《公司章程》、</w:t>
      </w:r>
    </w:p>
    <w:p>
      <w:pPr>
        <w:pStyle w:val="BodyText"/>
        <w:spacing w:line="316" w:lineRule="auto" w:before="19"/>
        <w:ind w:right="1136"/>
        <w:jc w:val="both"/>
      </w:pPr>
      <w:r>
        <w:rPr>
          <w:spacing w:val="-2"/>
        </w:rPr>
        <w:t>《董事会议事规则》的相关规定，会议记录完整，会议决议及时充分披露。公司董事勤勉尽责，认真履行《公司章程》赋予</w:t>
      </w:r>
      <w:r>
        <w:rPr>
          <w:spacing w:val="-73"/>
        </w:rPr>
        <w:t> </w:t>
      </w:r>
      <w:r>
        <w:rPr>
          <w:spacing w:val="-73"/>
        </w:rPr>
      </w:r>
      <w:r>
        <w:rPr/>
        <w:t>的职权，并积极参加公司历次董事会，保证了公司的持续健康发展，维护了广大股东的合法权益。</w:t>
      </w:r>
    </w:p>
    <w:p>
      <w:pPr>
        <w:pStyle w:val="BodyText"/>
        <w:spacing w:line="300" w:lineRule="auto" w:before="19"/>
        <w:ind w:left="513" w:right="1133"/>
        <w:jc w:val="left"/>
      </w:pPr>
      <w:r>
        <w:rPr>
          <w:rFonts w:ascii="Times New Roman" w:hAnsi="Times New Roman" w:cs="Times New Roman" w:eastAsia="Times New Roman" w:hint="default"/>
        </w:rPr>
        <w:t>4</w:t>
      </w:r>
      <w:r>
        <w:rPr/>
        <w:t>、监事和监事会 </w:t>
      </w:r>
      <w:r>
        <w:rPr>
          <w:spacing w:val="-2"/>
        </w:rPr>
        <w:t>公司监事会设立监事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人，监事会的人数及人员构成符合法律、法规和《公司章程》的要求，认</w:t>
      </w:r>
    </w:p>
    <w:p>
      <w:pPr>
        <w:pStyle w:val="BodyText"/>
        <w:spacing w:line="316" w:lineRule="auto" w:before="13"/>
        <w:ind w:right="1135"/>
        <w:jc w:val="both"/>
      </w:pPr>
      <w:r>
        <w:rPr>
          <w:spacing w:val="-2"/>
        </w:rPr>
        <w:t>真履行自己的职责。报告期内，监事会召开会议九次。各位监事按照《公司章程》、《监事会议事规则》等规定的要求，认</w:t>
      </w:r>
      <w:r>
        <w:rPr>
          <w:spacing w:val="-70"/>
        </w:rPr>
        <w:t> </w:t>
      </w:r>
      <w:r>
        <w:rPr>
          <w:spacing w:val="-70"/>
        </w:rPr>
      </w:r>
      <w:r>
        <w:rPr>
          <w:spacing w:val="-2"/>
        </w:rPr>
        <w:t>真履行自己的职责，对公司重大事项、关联交易、财务状况以及董事和高管人员履行职责的合法、合规性进行监督，维护公</w:t>
      </w:r>
      <w:r>
        <w:rPr>
          <w:spacing w:val="-67"/>
        </w:rPr>
        <w:t> </w:t>
      </w:r>
      <w:r>
        <w:rPr>
          <w:spacing w:val="-67"/>
        </w:rPr>
      </w:r>
      <w:r>
        <w:rPr/>
        <w:t>司及股东的合法权益。</w:t>
      </w:r>
    </w:p>
    <w:p>
      <w:pPr>
        <w:pStyle w:val="BodyText"/>
        <w:spacing w:line="300" w:lineRule="auto" w:before="19"/>
        <w:ind w:left="513" w:right="1125"/>
        <w:jc w:val="left"/>
      </w:pPr>
      <w:r>
        <w:rPr>
          <w:rFonts w:ascii="Times New Roman" w:hAnsi="Times New Roman" w:cs="Times New Roman" w:eastAsia="Times New Roman" w:hint="default"/>
        </w:rPr>
        <w:t>5</w:t>
      </w:r>
      <w:r>
        <w:rPr/>
        <w:t>、绩效评价与激励约束机制 </w:t>
      </w:r>
      <w:r>
        <w:rPr>
          <w:spacing w:val="-2"/>
        </w:rPr>
        <w:t>公司建立并逐步完善公正、有效的高级管理人员的绩效评价标准和激励约束机制，公司高级管理人员实行基本年薪与年</w:t>
      </w:r>
    </w:p>
    <w:p>
      <w:pPr>
        <w:pStyle w:val="BodyText"/>
        <w:spacing w:line="240" w:lineRule="auto" w:before="31"/>
        <w:ind w:right="0"/>
        <w:jc w:val="both"/>
      </w:pPr>
      <w:r>
        <w:rPr/>
        <w:t>终绩效考核相结合的薪酬制度。高级管理人员的聘任公开、透明，符合法律、法规的规定。</w:t>
      </w:r>
    </w:p>
    <w:p>
      <w:pPr>
        <w:pStyle w:val="BodyText"/>
        <w:spacing w:line="300" w:lineRule="auto" w:before="76"/>
        <w:ind w:left="513" w:right="1035"/>
        <w:jc w:val="left"/>
      </w:pPr>
      <w:r>
        <w:rPr>
          <w:rFonts w:ascii="Times New Roman" w:hAnsi="Times New Roman" w:cs="Times New Roman" w:eastAsia="Times New Roman" w:hint="default"/>
        </w:rPr>
        <w:t>6</w:t>
      </w:r>
      <w:r>
        <w:rPr/>
        <w:t>、信息披露 </w:t>
      </w:r>
      <w:r>
        <w:rPr>
          <w:spacing w:val="-3"/>
        </w:rPr>
        <w:t>公司严格按照《深圳证券交易所创业板股票上市规则》，依法履行信息披露义务，严格遵守</w:t>
      </w:r>
      <w:r>
        <w:rPr>
          <w:rFonts w:ascii="Times New Roman" w:hAnsi="Times New Roman" w:cs="Times New Roman" w:eastAsia="Times New Roman" w:hint="default"/>
          <w:spacing w:val="-3"/>
        </w:rPr>
        <w:t>“</w:t>
      </w:r>
      <w:r>
        <w:rPr>
          <w:spacing w:val="-3"/>
        </w:rPr>
        <w:t>公平、公正、公开</w:t>
      </w:r>
      <w:r>
        <w:rPr>
          <w:rFonts w:ascii="Times New Roman" w:hAnsi="Times New Roman" w:cs="Times New Roman" w:eastAsia="Times New Roman" w:hint="default"/>
          <w:spacing w:val="-3"/>
        </w:rPr>
        <w:t>”</w:t>
      </w:r>
      <w:r>
        <w:rPr>
          <w:spacing w:val="-3"/>
        </w:rPr>
        <w:t>的原则，</w:t>
      </w:r>
    </w:p>
    <w:p>
      <w:pPr>
        <w:pStyle w:val="BodyText"/>
        <w:spacing w:line="316" w:lineRule="auto" w:before="13"/>
        <w:ind w:right="1133"/>
        <w:jc w:val="both"/>
      </w:pPr>
      <w:r>
        <w:rPr>
          <w:spacing w:val="-2"/>
        </w:rPr>
        <w:t>真实、准确、及时、完整地披露公司定期报告和临时公告等相关信息；董事会秘书负责公司信息披露工作，公司证券部负责</w:t>
      </w:r>
      <w:r>
        <w:rPr>
          <w:spacing w:val="-65"/>
        </w:rPr>
        <w:t> </w:t>
      </w:r>
      <w:r>
        <w:rPr>
          <w:spacing w:val="-65"/>
        </w:rPr>
      </w:r>
      <w:r>
        <w:rPr/>
        <w:t>接待投资者来访及咨询，加强与投资者的沟通和交流。</w:t>
      </w:r>
    </w:p>
    <w:p>
      <w:pPr>
        <w:pStyle w:val="BodyText"/>
        <w:spacing w:line="300" w:lineRule="auto" w:before="19"/>
        <w:ind w:left="513" w:right="1125"/>
        <w:jc w:val="left"/>
      </w:pPr>
      <w:r>
        <w:rPr>
          <w:rFonts w:ascii="Times New Roman" w:hAnsi="Times New Roman" w:cs="Times New Roman" w:eastAsia="Times New Roman" w:hint="default"/>
        </w:rPr>
        <w:t>7</w:t>
      </w:r>
      <w:r>
        <w:rPr/>
        <w:t>、内幕知情人登记管理 </w:t>
      </w:r>
      <w:r>
        <w:rPr>
          <w:spacing w:val="-2"/>
        </w:rPr>
        <w:t>报告期内，公司严格按照内幕信息知情人报备制度，根据相关重大事项及需保密事项的进展情况，做好内幕信息知情人</w:t>
      </w:r>
    </w:p>
    <w:p>
      <w:pPr>
        <w:pStyle w:val="BodyText"/>
        <w:spacing w:line="316" w:lineRule="auto" w:before="31"/>
        <w:ind w:right="1130"/>
        <w:jc w:val="both"/>
      </w:pPr>
      <w:r>
        <w:rPr>
          <w:spacing w:val="-2"/>
        </w:rPr>
        <w:t>的登记和报备工作，不存在因内幕信息泄露导致公司股价异常波动的情形，维护公司信息披露的公平原则，切实保护了公司</w:t>
      </w:r>
      <w:r>
        <w:rPr>
          <w:spacing w:val="-63"/>
        </w:rPr>
        <w:t> </w:t>
      </w:r>
      <w:r>
        <w:rPr>
          <w:spacing w:val="-63"/>
        </w:rPr>
      </w:r>
      <w:r>
        <w:rPr/>
        <w:t>股东的合法权益。</w:t>
      </w:r>
    </w:p>
    <w:p>
      <w:pPr>
        <w:spacing w:after="0" w:line="316" w:lineRule="auto"/>
        <w:jc w:val="both"/>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0" w:lineRule="auto" w:before="44"/>
        <w:ind w:left="513" w:right="1133"/>
        <w:jc w:val="left"/>
      </w:pPr>
      <w:r>
        <w:rPr>
          <w:rFonts w:ascii="Times New Roman" w:hAnsi="Times New Roman" w:cs="Times New Roman" w:eastAsia="Times New Roman" w:hint="default"/>
        </w:rPr>
        <w:t>8</w:t>
      </w:r>
      <w:r>
        <w:rPr/>
        <w:t>、内部审计制度的建立和执行情况 </w:t>
      </w:r>
      <w:r>
        <w:rPr>
          <w:spacing w:val="-2"/>
        </w:rPr>
        <w:t>为规范经营管理，控制风险，保证经营业务活动的正常开展，公司根据《公司法》、《公司章程》等有关法律、法规和</w:t>
      </w:r>
    </w:p>
    <w:p>
      <w:pPr>
        <w:pStyle w:val="BodyText"/>
        <w:spacing w:line="316" w:lineRule="auto" w:before="31"/>
        <w:ind w:right="1133"/>
        <w:jc w:val="left"/>
      </w:pPr>
      <w:r>
        <w:rPr>
          <w:spacing w:val="-2"/>
        </w:rPr>
        <w:t>规章制度，结合公司的实际情况、自身特点和管理需要，制定了贯穿于公司生产经营各层面、各环节的内部控制体系，并不</w:t>
      </w:r>
      <w:r>
        <w:rPr>
          <w:spacing w:val="-67"/>
        </w:rPr>
        <w:t> </w:t>
      </w:r>
      <w:r>
        <w:rPr>
          <w:spacing w:val="-67"/>
        </w:rPr>
      </w:r>
      <w:r>
        <w:rPr/>
        <w:t>断完善。通过对公司各项治理制度的规范和落实，公司的治理水平不断提高，有效地保证了公司各项经营目标的实现。</w:t>
      </w:r>
    </w:p>
    <w:p>
      <w:pPr>
        <w:pStyle w:val="BodyText"/>
        <w:spacing w:line="316" w:lineRule="auto" w:before="19"/>
        <w:ind w:right="1129" w:firstLine="360"/>
        <w:jc w:val="both"/>
      </w:pPr>
      <w:r>
        <w:rPr>
          <w:spacing w:val="-2"/>
        </w:rPr>
        <w:t>公司董事会下设审计委员会，主要负责公司内部审计与外部审计之间进行沟通，并监督公司内部审计制度的实施，审查</w:t>
      </w:r>
      <w:r>
        <w:rPr/>
        <w:t> </w:t>
      </w:r>
      <w:r>
        <w:rPr>
          <w:spacing w:val="-2"/>
        </w:rPr>
        <w:t>公司内部控制制度的执行情况，审查公司的财务信息及披露等。审计委员会下设独立的内审部，内审部直接对审计委员会负</w:t>
      </w:r>
      <w:r>
        <w:rPr>
          <w:spacing w:val="-63"/>
        </w:rPr>
        <w:t> </w:t>
      </w:r>
      <w:r>
        <w:rPr>
          <w:spacing w:val="-63"/>
        </w:rPr>
      </w:r>
      <w:r>
        <w:rPr/>
        <w:t>责及报告工作。</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2"/>
        </w:rPr>
        <w:t>公司控股股东根据法律法规依法行使自身合法权利并承担相应义务。报告期内，未发生直接或间接干预公司决策和经营</w:t>
      </w:r>
      <w:r>
        <w:rPr/>
        <w:t> 活动及利用其它控制地位侵害其它股东利益的行为。公司拥有独立完整的主营业务和自主经营能力，在业务、人员、资产、 机构以及财务等方面均独立于控股股东和实际控制人。</w:t>
      </w:r>
    </w:p>
    <w:p>
      <w:pPr>
        <w:pStyle w:val="BodyText"/>
        <w:spacing w:line="300" w:lineRule="auto" w:before="19"/>
        <w:ind w:left="513" w:right="1125"/>
        <w:jc w:val="left"/>
      </w:pPr>
      <w:r>
        <w:rPr>
          <w:rFonts w:ascii="Times New Roman" w:hAnsi="Times New Roman" w:cs="Times New Roman" w:eastAsia="Times New Roman" w:hint="default"/>
        </w:rPr>
        <w:t>1</w:t>
      </w:r>
      <w:r>
        <w:rPr/>
        <w:t>、业务独立 </w:t>
      </w:r>
      <w:r>
        <w:rPr>
          <w:spacing w:val="-2"/>
        </w:rPr>
        <w:t>公司拥有独立的生产经营场所，拥有独立的产、供、销体系，独立开展各项业务。不存在对公司控股股东、实际控制人</w:t>
      </w:r>
    </w:p>
    <w:p>
      <w:pPr>
        <w:pStyle w:val="BodyText"/>
        <w:spacing w:line="309" w:lineRule="auto" w:before="31"/>
        <w:ind w:left="513" w:right="1125" w:hanging="361"/>
        <w:jc w:val="left"/>
      </w:pPr>
      <w:r>
        <w:rPr/>
        <w:t>及其控制的其他企业或者第三方重大依赖的情形，与控股股东、实际控制人及其控制的其他企业不存在同业竞争。 </w:t>
      </w:r>
      <w:r>
        <w:rPr>
          <w:rFonts w:ascii="Times New Roman" w:hAnsi="Times New Roman" w:cs="Times New Roman" w:eastAsia="Times New Roman" w:hint="default"/>
        </w:rPr>
        <w:t>2</w:t>
      </w:r>
      <w:r>
        <w:rPr/>
        <w:t>、人员独立 </w:t>
      </w:r>
      <w:r>
        <w:rPr>
          <w:spacing w:val="-2"/>
        </w:rPr>
        <w:t>公司建立了独立的劳动、人事和分配管理制度，公司总经理及其他高级管理人员专职在本公司工作、领取薪酬，不存在</w:t>
      </w:r>
    </w:p>
    <w:p>
      <w:pPr>
        <w:pStyle w:val="BodyText"/>
        <w:spacing w:line="316" w:lineRule="auto" w:before="24"/>
        <w:ind w:right="1125"/>
        <w:jc w:val="left"/>
      </w:pPr>
      <w:r>
        <w:rPr>
          <w:spacing w:val="-2"/>
        </w:rPr>
        <w:t>在控股股东、实际控制人及其控制的其他企业中兼任除董事、监事之外职务及领取薪酬的情形。公司的财务人员均不存在在</w:t>
      </w:r>
      <w:r>
        <w:rPr>
          <w:spacing w:val="-63"/>
        </w:rPr>
        <w:t> </w:t>
      </w:r>
      <w:r>
        <w:rPr>
          <w:spacing w:val="-63"/>
        </w:rPr>
      </w:r>
      <w:r>
        <w:rPr/>
        <w:t>控股股东、实际控制人及其控制的其他企业中兼职的情形。</w:t>
      </w:r>
    </w:p>
    <w:p>
      <w:pPr>
        <w:pStyle w:val="BodyText"/>
        <w:spacing w:line="300" w:lineRule="auto" w:before="19"/>
        <w:ind w:left="513" w:right="1125"/>
        <w:jc w:val="left"/>
      </w:pPr>
      <w:r>
        <w:rPr>
          <w:rFonts w:ascii="Times New Roman" w:hAnsi="Times New Roman" w:cs="Times New Roman" w:eastAsia="Times New Roman" w:hint="default"/>
        </w:rPr>
        <w:t>3</w:t>
      </w:r>
      <w:r>
        <w:rPr/>
        <w:t>、资产独立 </w:t>
      </w:r>
      <w:r>
        <w:rPr>
          <w:spacing w:val="-2"/>
        </w:rPr>
        <w:t>公司对所有生产经营所需的资产有完全的控制支配权，不存在资产、资金被控股股东和实际控制人占用的情形，不存在</w:t>
      </w:r>
    </w:p>
    <w:p>
      <w:pPr>
        <w:pStyle w:val="BodyText"/>
        <w:spacing w:line="316" w:lineRule="auto" w:before="31"/>
        <w:ind w:right="1125"/>
        <w:jc w:val="left"/>
      </w:pPr>
      <w:r>
        <w:rPr>
          <w:spacing w:val="-2"/>
        </w:rPr>
        <w:t>以资产、权益为控股股东和实际控制人担保的情形，本公司现有的资产独立、完整。没有以其资产为股东或个人债务以及其</w:t>
      </w:r>
      <w:r>
        <w:rPr>
          <w:spacing w:val="-64"/>
        </w:rPr>
        <w:t> </w:t>
      </w:r>
      <w:r>
        <w:rPr>
          <w:spacing w:val="-64"/>
        </w:rPr>
      </w:r>
      <w:r>
        <w:rPr/>
        <w:t>他法人或自然人提供任何形式的担保。</w:t>
      </w:r>
    </w:p>
    <w:p>
      <w:pPr>
        <w:pStyle w:val="BodyText"/>
        <w:spacing w:line="300" w:lineRule="auto" w:before="19"/>
        <w:ind w:left="513" w:right="1133"/>
        <w:jc w:val="left"/>
      </w:pPr>
      <w:r>
        <w:rPr>
          <w:rFonts w:ascii="Times New Roman" w:hAnsi="Times New Roman" w:cs="Times New Roman" w:eastAsia="Times New Roman" w:hint="default"/>
        </w:rPr>
        <w:t>4</w:t>
      </w:r>
      <w:r>
        <w:rPr/>
        <w:t>、机构独立 </w:t>
      </w:r>
      <w:r>
        <w:rPr>
          <w:spacing w:val="-2"/>
        </w:rPr>
        <w:t>公司依法设立了股东大会、董事会、监事会等决策、执行、监督机构，并制定相应会议制度及议事规则。公司各机构均</w:t>
      </w:r>
    </w:p>
    <w:p>
      <w:pPr>
        <w:pStyle w:val="BodyText"/>
        <w:spacing w:line="240" w:lineRule="auto" w:before="31"/>
        <w:ind w:right="1133"/>
        <w:jc w:val="left"/>
      </w:pPr>
      <w:r>
        <w:rPr/>
        <w:t>独立于控股股东及其他股东，各项规章制度完善，法人治理结构规范有效。</w:t>
      </w:r>
    </w:p>
    <w:p>
      <w:pPr>
        <w:pStyle w:val="BodyText"/>
        <w:spacing w:line="300" w:lineRule="auto" w:before="76"/>
        <w:ind w:left="513" w:right="1125"/>
        <w:jc w:val="left"/>
      </w:pPr>
      <w:r>
        <w:rPr>
          <w:rFonts w:ascii="Times New Roman" w:hAnsi="Times New Roman" w:cs="Times New Roman" w:eastAsia="Times New Roman" w:hint="default"/>
        </w:rPr>
        <w:t>5</w:t>
      </w:r>
      <w:r>
        <w:rPr/>
        <w:t>、财务独立 </w:t>
      </w:r>
      <w:r>
        <w:rPr>
          <w:spacing w:val="-2"/>
        </w:rPr>
        <w:t>公司设置了独立的财务部门，并根据现行的会计准则及相关法规、条例，结合公司实际情况制定了财务管理制度，建立</w:t>
      </w:r>
    </w:p>
    <w:p>
      <w:pPr>
        <w:pStyle w:val="BodyText"/>
        <w:spacing w:line="316" w:lineRule="auto" w:before="31"/>
        <w:ind w:right="1125"/>
        <w:jc w:val="left"/>
      </w:pPr>
      <w:r>
        <w:rPr>
          <w:spacing w:val="-2"/>
        </w:rPr>
        <w:t>了独立、完整的财务核算体系，能够独立作出财务决策。公司配备了必要财务人员从事公司财务核算工作，并在银行独立开</w:t>
      </w:r>
      <w:r>
        <w:rPr>
          <w:spacing w:val="-64"/>
        </w:rPr>
        <w:t> </w:t>
      </w:r>
      <w:r>
        <w:rPr>
          <w:spacing w:val="-64"/>
        </w:rPr>
      </w:r>
      <w:r>
        <w:rPr/>
        <w:t>设账户，依法独立纳税，不存在股东干预公司财务的情况。</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30"/>
        <w:gridCol w:w="1373"/>
        <w:gridCol w:w="1373"/>
        <w:gridCol w:w="1496"/>
        <w:gridCol w:w="1497"/>
        <w:gridCol w:w="1998"/>
      </w:tblGrid>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1832"/>
        <w:gridCol w:w="1373"/>
        <w:gridCol w:w="1373"/>
        <w:gridCol w:w="1496"/>
        <w:gridCol w:w="1496"/>
        <w:gridCol w:w="1999"/>
      </w:tblGrid>
      <w:tr>
        <w:trPr>
          <w:trHeight w:val="713"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5"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5"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 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right="8054"/>
        <w:jc w:val="left"/>
      </w:pPr>
      <w:r>
        <w:rPr/>
        <w:t>连续两次未亲自出席董事会的说明 不适用</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1131" w:firstLine="360"/>
        <w:jc w:val="both"/>
      </w:pPr>
      <w:r>
        <w:rPr>
          <w:spacing w:val="-2"/>
        </w:rPr>
        <w:t>根据《公司法》、《证券法》、《深圳证券交易所创业板股票上市规则》及《公司章程》、《独立董事工作制度》等有</w:t>
      </w:r>
      <w:r>
        <w:rPr/>
        <w:t> </w:t>
      </w:r>
      <w:r>
        <w:rPr>
          <w:spacing w:val="-2"/>
        </w:rPr>
        <w:t>关规定，公司独立董事关注公司运营，切实履行职责，对公司重大经营决策和资本运作提出了很多宝贵的专业意见，公司结</w:t>
      </w:r>
      <w:r>
        <w:rPr>
          <w:spacing w:val="-64"/>
        </w:rPr>
        <w:t> </w:t>
      </w:r>
      <w:r>
        <w:rPr>
          <w:spacing w:val="-64"/>
        </w:rPr>
      </w:r>
      <w:r>
        <w:rPr/>
        <w:t>合实际情况予以了采纳。</w:t>
      </w:r>
    </w:p>
    <w:p>
      <w:pPr>
        <w:spacing w:after="0" w:line="316" w:lineRule="auto"/>
        <w:jc w:val="both"/>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19" w:lineRule="auto" w:before="44"/>
        <w:ind w:right="1133" w:firstLine="360"/>
        <w:jc w:val="both"/>
      </w:pPr>
      <w:r>
        <w:rPr>
          <w:spacing w:val="-2"/>
        </w:rPr>
        <w:t>报告期内，公司独立董事对控股股东及关联方非经营性资金占用情况、年度利润分配预案、关联交易、聘请年度审计机</w:t>
      </w:r>
      <w:r>
        <w:rPr/>
        <w:t> </w:t>
      </w:r>
      <w:r>
        <w:rPr>
          <w:spacing w:val="-2"/>
        </w:rPr>
        <w:t>构、聘任高级管理人员等事项出具了客观、公正、独立的意见，充分发挥了独立董事的监督和指导作用，为推动公司规范运</w:t>
      </w:r>
      <w:r>
        <w:rPr>
          <w:spacing w:val="-67"/>
        </w:rPr>
        <w:t> </w:t>
      </w:r>
      <w:r>
        <w:rPr>
          <w:spacing w:val="-67"/>
        </w:rPr>
      </w:r>
      <w:r>
        <w:rPr/>
        <w:t>作，保障全体股东尤其是中小股东合法权益发挥了积极作用。</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3" w:right="1033"/>
        <w:jc w:val="left"/>
      </w:pPr>
      <w:r>
        <w:rPr/>
        <w:t>公司董事会下设审计委员会、战略决策委员会、提名委员会及薪酬与考核委员会四个专门委员会。其履职情况如下： </w:t>
      </w:r>
      <w:r>
        <w:rPr>
          <w:rFonts w:ascii="Times New Roman" w:hAnsi="Times New Roman" w:cs="Times New Roman" w:eastAsia="Times New Roman" w:hint="default"/>
        </w:rPr>
        <w:t>1</w:t>
      </w:r>
      <w:r>
        <w:rPr/>
        <w:t>、审计委员会的履职情况 报告期内，根据公司《董事会审计委员会工作细则》，审计委员会充分发挥了其在公司经营发展中的审核与监督作用，</w:t>
      </w:r>
    </w:p>
    <w:p>
      <w:pPr>
        <w:pStyle w:val="BodyText"/>
        <w:spacing w:line="312" w:lineRule="auto" w:before="24"/>
        <w:ind w:right="1034"/>
        <w:jc w:val="left"/>
      </w:pPr>
      <w:r>
        <w:rPr>
          <w:spacing w:val="-2"/>
        </w:rPr>
        <w:t>主要负责监督公司内部控制实施情况、内部审计制度及其实施情况、以及外部审计机构的沟通协调工作。报告期内，审计委</w:t>
      </w:r>
      <w:r>
        <w:rPr>
          <w:spacing w:val="-64"/>
        </w:rPr>
        <w:t> </w:t>
      </w:r>
      <w:r>
        <w:rPr>
          <w:spacing w:val="-64"/>
        </w:rPr>
      </w:r>
      <w:r>
        <w:rPr/>
        <w:t>员会对公司内部审计制度进行了核查，认为公司内部审计制度体系符合相关法律法规规定，能够发现并有效防范相关风险。 </w:t>
      </w:r>
      <w:r>
        <w:rPr>
          <w:rFonts w:ascii="Times New Roman" w:hAnsi="Times New Roman" w:cs="Times New Roman" w:eastAsia="Times New Roman" w:hint="default"/>
          <w:spacing w:val="-2"/>
        </w:rPr>
        <w:t>2018</w:t>
      </w:r>
      <w:r>
        <w:rPr>
          <w:spacing w:val="-2"/>
        </w:rPr>
        <w:t>年度，公司审计委员会重点对内部审计制度及其实施、重大关联交易、定期报告等进行核查和审议，并在年度审计期间</w:t>
      </w:r>
      <w:r>
        <w:rPr>
          <w:spacing w:val="-62"/>
        </w:rPr>
        <w:t> </w:t>
      </w:r>
      <w:r>
        <w:rPr>
          <w:spacing w:val="-62"/>
        </w:rPr>
      </w:r>
      <w:r>
        <w:rPr/>
        <w:t>组织现场座谈会，充分沟通年报审计相关工作。</w:t>
      </w:r>
    </w:p>
    <w:p>
      <w:pPr>
        <w:pStyle w:val="BodyText"/>
        <w:spacing w:line="300" w:lineRule="auto" w:before="22"/>
        <w:ind w:left="513" w:right="1125"/>
        <w:jc w:val="left"/>
      </w:pPr>
      <w:r>
        <w:rPr>
          <w:rFonts w:ascii="Times New Roman" w:hAnsi="Times New Roman" w:cs="Times New Roman" w:eastAsia="Times New Roman" w:hint="default"/>
        </w:rPr>
        <w:t>2</w:t>
      </w:r>
      <w:r>
        <w:rPr/>
        <w:t>、战略决策委员会的履职情况 </w:t>
      </w:r>
      <w:r>
        <w:rPr>
          <w:spacing w:val="-2"/>
        </w:rPr>
        <w:t>报告期内，公司战略决策委员会根据公司《董事会战略决策委员会工作细则》的规定，结合国内外经济形势和公司所处</w:t>
      </w:r>
    </w:p>
    <w:p>
      <w:pPr>
        <w:pStyle w:val="BodyText"/>
        <w:spacing w:line="316" w:lineRule="auto" w:before="31"/>
        <w:ind w:right="1125"/>
        <w:jc w:val="left"/>
      </w:pPr>
      <w:r>
        <w:rPr>
          <w:spacing w:val="-2"/>
        </w:rPr>
        <w:t>行业特点，对公司经营现状、发展前景、公司目前所处的风险和机遇进行了深入分析，重点对公司重大资产重组之后公司基</w:t>
      </w:r>
      <w:r>
        <w:rPr>
          <w:spacing w:val="-64"/>
        </w:rPr>
        <w:t> </w:t>
      </w:r>
      <w:r>
        <w:rPr>
          <w:spacing w:val="-64"/>
        </w:rPr>
      </w:r>
      <w:r>
        <w:rPr/>
        <w:t>于新业务的发展战略规划进行研究，对公司中长期战略制定及发展发挥重要作用。</w:t>
      </w:r>
    </w:p>
    <w:p>
      <w:pPr>
        <w:pStyle w:val="BodyText"/>
        <w:spacing w:line="300" w:lineRule="auto" w:before="19"/>
        <w:ind w:left="513" w:right="1125"/>
        <w:jc w:val="left"/>
      </w:pPr>
      <w:r>
        <w:rPr>
          <w:rFonts w:ascii="Times New Roman" w:hAnsi="Times New Roman" w:cs="Times New Roman" w:eastAsia="Times New Roman" w:hint="default"/>
        </w:rPr>
        <w:t>3</w:t>
      </w:r>
      <w:r>
        <w:rPr/>
        <w:t>、提名委员会的履职情况 </w:t>
      </w:r>
      <w:r>
        <w:rPr>
          <w:spacing w:val="-2"/>
        </w:rPr>
        <w:t>报告期内，公司提名委员会依照《董事会提名委员会工作细则》的要求，对公司董事、高级管理人员的增补更替履行了</w:t>
      </w:r>
    </w:p>
    <w:p>
      <w:pPr>
        <w:pStyle w:val="BodyText"/>
        <w:spacing w:line="240" w:lineRule="auto" w:before="31"/>
        <w:ind w:right="1133"/>
        <w:jc w:val="left"/>
      </w:pPr>
      <w:r>
        <w:rPr/>
        <w:t>审查职责，并对董事会的规模和独立董事的选举提出了宝贵意见。</w:t>
      </w:r>
    </w:p>
    <w:p>
      <w:pPr>
        <w:pStyle w:val="BodyText"/>
        <w:spacing w:line="300" w:lineRule="auto" w:before="76"/>
        <w:ind w:left="513" w:right="1125"/>
        <w:jc w:val="left"/>
      </w:pPr>
      <w:r>
        <w:rPr>
          <w:rFonts w:ascii="Times New Roman" w:hAnsi="Times New Roman" w:cs="Times New Roman" w:eastAsia="Times New Roman" w:hint="default"/>
        </w:rPr>
        <w:t>4</w:t>
      </w:r>
      <w:r>
        <w:rPr/>
        <w:t>、薪酬与考核委员会的履职情况 </w:t>
      </w:r>
      <w:r>
        <w:rPr>
          <w:spacing w:val="-2"/>
        </w:rPr>
        <w:t>报告期内，公司薪酬与考核委员会依照公司《董事会薪酬与考核委员会工作细则》的要求，重点对公司董事及高级管理</w:t>
      </w:r>
    </w:p>
    <w:p>
      <w:pPr>
        <w:pStyle w:val="BodyText"/>
        <w:spacing w:line="240" w:lineRule="auto" w:before="31"/>
        <w:ind w:right="1133"/>
        <w:jc w:val="left"/>
      </w:pPr>
      <w:r>
        <w:rPr/>
        <w:t>人员的薪酬政策及执行情况进行审查，积极履行了薪酬与考核委员会的相应职责。</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公司已经建立完善的高级管理人员的绩效管理体系，明确了高级管理人员考核、晋升、培训和奖惩，有效的绩效评价标</w:t>
      </w:r>
      <w:r>
        <w:rPr/>
        <w:t> 准和激励约束机制，高级管理人员的聘任公开透明，符合相关法律法规的规定。</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34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6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对已经公告的财务报告出现的重大差错进 行错报更正（由于政策变化或其他客观因 素变化导致的对以前年度的追溯调整除 </w:t>
            </w:r>
            <w:r>
              <w:rPr>
                <w:rFonts w:ascii="宋体" w:hAnsi="宋体" w:cs="宋体" w:eastAsia="宋体" w:hint="default"/>
                <w:spacing w:val="-9"/>
                <w:sz w:val="18"/>
                <w:szCs w:val="18"/>
              </w:rPr>
              <w:t>外）；③注册会计师发现的却未被公司内部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控制识别的当期财务报告中的重大错报；</w:t>
            </w:r>
          </w:p>
          <w:p>
            <w:pPr>
              <w:pStyle w:val="TableParagraph"/>
              <w:spacing w:line="316" w:lineRule="auto" w:before="19"/>
              <w:ind w:left="23" w:right="47"/>
              <w:jc w:val="left"/>
              <w:rPr>
                <w:rFonts w:ascii="宋体" w:hAnsi="宋体" w:cs="宋体" w:eastAsia="宋体" w:hint="default"/>
                <w:sz w:val="18"/>
                <w:szCs w:val="18"/>
              </w:rPr>
            </w:pPr>
            <w:r>
              <w:rPr>
                <w:rFonts w:ascii="宋体" w:hAnsi="宋体" w:cs="宋体" w:eastAsia="宋体" w:hint="default"/>
                <w:sz w:val="18"/>
                <w:szCs w:val="18"/>
              </w:rPr>
              <w:t>④审计委员会以及内部审计部门对财务报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65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03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润表相关的，以收入总额衡量。如果该缺 陷单独或连同其他缺陷可能导致的财务报 告错报金额小于收入总额的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为一般缺陷；如果超过收入总额的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，则为重要缺陷；如果超过收入总</w:t>
            </w:r>
            <w:r>
              <w:rPr>
                <w:rFonts w:ascii="宋体" w:hAnsi="宋体" w:cs="宋体" w:eastAsia="宋体" w:hint="default"/>
                <w:sz w:val="18"/>
                <w:szCs w:val="18"/>
              </w:rPr>
              <w:t>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，则认定为重大缺陷。内部控制缺</w:t>
            </w:r>
            <w:r>
              <w:rPr>
                <w:rFonts w:ascii="宋体" w:hAnsi="宋体" w:cs="宋体" w:eastAsia="宋体" w:hint="default"/>
                <w:sz w:val="18"/>
                <w:szCs w:val="18"/>
              </w:rPr>
              <w:t> 陷可能导致或导致的损失与资产管理相关 的，以资产总额指标衡量。如果该缺陷单 独或连同其他缺陷可能导致的财务报告错 报金额小于资产总额的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，则认定为一</w:t>
            </w:r>
            <w:r>
              <w:rPr>
                <w:rFonts w:ascii="宋体" w:hAnsi="宋体" w:cs="宋体" w:eastAsia="宋体" w:hint="default"/>
                <w:sz w:val="18"/>
                <w:szCs w:val="18"/>
              </w:rPr>
              <w:t> </w:t>
            </w:r>
            <w:r>
              <w:rPr>
                <w:rFonts w:ascii="宋体" w:hAnsi="宋体" w:cs="宋体" w:eastAsia="宋体" w:hint="default"/>
                <w:spacing w:val="-3"/>
                <w:sz w:val="18"/>
                <w:szCs w:val="18"/>
              </w:rPr>
              <w:t>般缺陷；如果超过资产总额的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，则为重要缺陷；如果超过资产总额</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6" w:right="135"/>
              <w:jc w:val="both"/>
              <w:rPr>
                <w:rFonts w:ascii="Times New Roman" w:hAnsi="Times New Roman" w:cs="Times New Roman" w:eastAsia="Times New Roman"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r>
              <w:rPr>
                <w:rFonts w:ascii="Times New Roman" w:hAnsi="Times New Roman" w:cs="Times New Roman" w:eastAsia="Times New Roman"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我们认为，思创医惠公司按照深圳证券交易所《创业板上市公司规范运作指引》规定于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面保持了有效的财务报告内部控制。本结论是在受到鉴证报告中指出的固有限制的条件下形成的。</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9" w:id="10"/>
      <w:bookmarkEnd w:id="10"/>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1448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胡彦龙、徐莉丽</w:t>
            </w: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73" w:lineRule="auto" w:before="145"/>
        <w:ind w:left="635" w:right="0" w:hanging="483"/>
        <w:jc w:val="left"/>
        <w:rPr>
          <w:rFonts w:ascii="宋体" w:hAnsi="宋体" w:cs="宋体" w:eastAsia="宋体" w:hint="default"/>
          <w:sz w:val="21"/>
          <w:szCs w:val="21"/>
        </w:rPr>
      </w:pPr>
      <w:r>
        <w:rPr>
          <w:rFonts w:ascii="宋体" w:hAnsi="宋体" w:cs="宋体" w:eastAsia="宋体" w:hint="default"/>
          <w:spacing w:val="-2"/>
          <w:sz w:val="21"/>
          <w:szCs w:val="21"/>
        </w:rPr>
        <w:t>思创医惠科技股份有限公司全体股东：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Heading3"/>
        <w:spacing w:line="240" w:lineRule="auto"/>
        <w:ind w:right="0"/>
        <w:jc w:val="left"/>
      </w:pPr>
      <w:r>
        <w:rPr/>
        <w:br w:type="column"/>
      </w:r>
      <w:r>
        <w:rPr/>
        <w:t>审计报告正文</w:t>
      </w:r>
    </w:p>
    <w:p>
      <w:pPr>
        <w:spacing w:after="0" w:line="240" w:lineRule="auto"/>
        <w:jc w:val="left"/>
        <w:sectPr>
          <w:type w:val="continuous"/>
          <w:pgSz w:w="11910" w:h="16840"/>
          <w:pgMar w:top="1040" w:bottom="1160" w:left="980" w:right="0"/>
          <w:cols w:num="2" w:equalWidth="0">
            <w:col w:w="3727" w:space="373"/>
            <w:col w:w="6830"/>
          </w:cols>
        </w:sectPr>
      </w:pPr>
    </w:p>
    <w:p>
      <w:pPr>
        <w:pStyle w:val="Heading5"/>
        <w:spacing w:line="273" w:lineRule="auto"/>
        <w:ind w:right="1126" w:firstLine="480"/>
        <w:jc w:val="both"/>
      </w:pPr>
      <w:r>
        <w:rPr>
          <w:spacing w:val="-4"/>
        </w:rPr>
        <w:t>我们审计了思创医惠科技股份有限公司（以下简称思创医惠公司）财务报表，包括</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w:t>
      </w:r>
      <w:r>
        <w:rPr>
          <w:spacing w:val="-3"/>
          <w:w w:val="100"/>
        </w:rPr>
        <w:t> </w:t>
      </w:r>
      <w:r>
        <w:rPr>
          <w:spacing w:val="-2"/>
        </w:rPr>
        <w:t>合并及母公司资产负债表，</w:t>
      </w:r>
      <w:r>
        <w:rPr>
          <w:rFonts w:ascii="宋体" w:hAnsi="宋体" w:cs="宋体" w:eastAsia="宋体" w:hint="default"/>
          <w:spacing w:val="-2"/>
        </w:rPr>
        <w:t>2018</w:t>
      </w:r>
      <w:r>
        <w:rPr>
          <w:spacing w:val="-2"/>
        </w:rPr>
        <w:t>年度的合并及母公司利润表、合并及母公司现金流量表、合并及母公司所</w:t>
      </w:r>
      <w:r>
        <w:rPr>
          <w:spacing w:val="-40"/>
        </w:rPr>
        <w:t> </w:t>
      </w:r>
      <w:r>
        <w:rPr>
          <w:spacing w:val="-40"/>
        </w:rPr>
      </w:r>
      <w:r>
        <w:rPr/>
        <w:t>有者权益变动表，以及相关财务报表附注。</w:t>
      </w:r>
    </w:p>
    <w:p>
      <w:pPr>
        <w:pStyle w:val="Heading5"/>
        <w:spacing w:line="273" w:lineRule="auto"/>
        <w:ind w:right="1128" w:firstLine="480"/>
        <w:jc w:val="both"/>
      </w:pPr>
      <w:r>
        <w:rPr>
          <w:spacing w:val="-4"/>
        </w:rPr>
        <w:t>我们认为，后附的财务报表在所有重大方面按照企业会计准则的规定编制，公允反映了思创医惠公司</w:t>
      </w:r>
      <w:r>
        <w:rPr>
          <w:w w:val="100"/>
        </w:rPr>
        <w:t>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273" w:lineRule="auto" w:before="7"/>
        <w:ind w:left="633" w:right="1133"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我们按照中国注册会计师审计准则的规定执行了审计工作。审计报告的“注册会计师对财务报表审计</w:t>
      </w:r>
    </w:p>
    <w:p>
      <w:pPr>
        <w:pStyle w:val="Heading5"/>
        <w:spacing w:line="273" w:lineRule="auto"/>
        <w:ind w:right="1126"/>
        <w:jc w:val="both"/>
      </w:pPr>
      <w:r>
        <w:rPr>
          <w:spacing w:val="-2"/>
        </w:rPr>
        <w:t>的责任”部分进一步阐述了我们在这些准则下的责任。按照中国注册会计师职业道德守则，我们独立于思</w:t>
      </w:r>
      <w:r>
        <w:rPr>
          <w:spacing w:val="-42"/>
        </w:rPr>
        <w:t> </w:t>
      </w:r>
      <w:r>
        <w:rPr>
          <w:spacing w:val="-42"/>
        </w:rPr>
      </w:r>
      <w:r>
        <w:rPr>
          <w:spacing w:val="-2"/>
        </w:rPr>
        <w:t>创医惠公司，并履行了职业道德方面的其他责任。我们相信，我们获取的审计证据是充分、适当的，为发</w:t>
      </w:r>
      <w:r>
        <w:rPr>
          <w:spacing w:val="-43"/>
        </w:rPr>
        <w:t> </w:t>
      </w:r>
      <w:r>
        <w:rPr>
          <w:spacing w:val="-43"/>
        </w:rPr>
      </w:r>
      <w:r>
        <w:rPr/>
        <w:t>表审计意见提供了基础。</w:t>
      </w:r>
    </w:p>
    <w:p>
      <w:pPr>
        <w:pStyle w:val="Heading5"/>
        <w:spacing w:line="273" w:lineRule="auto"/>
        <w:ind w:left="633" w:right="1133"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4"/>
        </w:rPr>
        <w:t>关键审计事项是我们根据职业判断，认为对本期财务报表审计最为重要的事项。这些事项的应对以对</w:t>
      </w:r>
    </w:p>
    <w:p>
      <w:pPr>
        <w:pStyle w:val="Heading5"/>
        <w:spacing w:line="273" w:lineRule="auto"/>
        <w:ind w:left="633" w:right="3238" w:hanging="481"/>
        <w:jc w:val="left"/>
      </w:pPr>
      <w:r>
        <w:rPr>
          <w:spacing w:val="-2"/>
        </w:rPr>
        <w:t>财务报表整体进行审计并形成审计意见为背景，我们不对这些事项单独发表意见。</w:t>
      </w:r>
      <w:r>
        <w:rPr>
          <w:spacing w:val="-35"/>
        </w:rPr>
        <w:t> </w:t>
      </w:r>
      <w:r>
        <w:rPr>
          <w:spacing w:val="-35"/>
        </w:rPr>
      </w:r>
      <w:r>
        <w:rPr>
          <w:rFonts w:ascii="宋体" w:hAnsi="宋体" w:cs="宋体" w:eastAsia="宋体" w:hint="default"/>
        </w:rPr>
        <w:t>(</w:t>
      </w:r>
      <w:r>
        <w:rPr/>
        <w:t>一</w:t>
      </w:r>
      <w:r>
        <w:rPr>
          <w:rFonts w:ascii="宋体" w:hAnsi="宋体" w:cs="宋体" w:eastAsia="宋体" w:hint="default"/>
        </w:rPr>
        <w:t>) </w:t>
      </w:r>
      <w:r>
        <w:rPr/>
        <w:t>收入的确认</w:t>
      </w:r>
    </w:p>
    <w:p>
      <w:pPr>
        <w:pStyle w:val="Heading5"/>
        <w:spacing w:line="273" w:lineRule="auto"/>
        <w:ind w:left="633" w:right="1133"/>
        <w:jc w:val="left"/>
      </w:pPr>
      <w:r>
        <w:rPr>
          <w:rFonts w:ascii="宋体" w:hAnsi="宋体" w:cs="宋体" w:eastAsia="宋体" w:hint="default"/>
        </w:rPr>
        <w:t>1. </w:t>
      </w:r>
      <w:r>
        <w:rPr/>
        <w:t>事项描述</w:t>
      </w:r>
      <w:r>
        <w:rPr>
          <w:w w:val="100"/>
        </w:rPr>
        <w:t> </w:t>
      </w:r>
      <w:r>
        <w:rPr/>
        <w:t>相关信息披露详见财务报表附注重要会计政策及会计估计收入及合并财务报表项目注释合并利润表</w:t>
      </w:r>
    </w:p>
    <w:p>
      <w:pPr>
        <w:pStyle w:val="Heading5"/>
        <w:spacing w:line="273" w:lineRule="auto"/>
        <w:ind w:left="633" w:right="0" w:hanging="481"/>
        <w:jc w:val="left"/>
      </w:pPr>
      <w:r>
        <w:rPr/>
        <w:t>项目注释营业收入</w:t>
      </w:r>
      <w:r>
        <w:rPr>
          <w:rFonts w:ascii="宋体" w:hAnsi="宋体" w:cs="宋体" w:eastAsia="宋体" w:hint="default"/>
        </w:rPr>
        <w:t>/</w:t>
      </w:r>
      <w:r>
        <w:rPr/>
        <w:t>营业成本之说明。</w:t>
      </w:r>
      <w:r>
        <w:rPr>
          <w:w w:val="100"/>
        </w:rPr>
        <w:t> </w:t>
      </w:r>
      <w:r>
        <w:rPr>
          <w:spacing w:val="-2"/>
        </w:rPr>
        <w:t>思创医惠公司的营业收入主要来自于防盗标签产品的销售和智慧医疗管理信息与软件的开发和服务。</w:t>
      </w:r>
    </w:p>
    <w:p>
      <w:pPr>
        <w:pStyle w:val="Heading5"/>
        <w:spacing w:line="271" w:lineRule="auto" w:before="0"/>
        <w:ind w:right="1104"/>
        <w:jc w:val="both"/>
      </w:pPr>
      <w:r>
        <w:rPr>
          <w:rFonts w:ascii="宋体" w:hAnsi="宋体" w:cs="宋体" w:eastAsia="宋体" w:hint="default"/>
          <w:spacing w:val="-2"/>
        </w:rPr>
        <w:t>2018</w:t>
      </w:r>
      <w:r>
        <w:rPr>
          <w:spacing w:val="-2"/>
        </w:rPr>
        <w:t>年度，思创医惠公司财务报表所示营业收入项目金额为人民币</w:t>
      </w:r>
      <w:r>
        <w:rPr>
          <w:rFonts w:ascii="宋体" w:hAnsi="宋体" w:cs="宋体" w:eastAsia="宋体" w:hint="default"/>
          <w:spacing w:val="-2"/>
        </w:rPr>
        <w:t>129,463.36</w:t>
      </w:r>
      <w:r>
        <w:rPr>
          <w:spacing w:val="-2"/>
        </w:rPr>
        <w:t>万元</w:t>
      </w:r>
      <w:r>
        <w:rPr>
          <w:rFonts w:ascii="宋体" w:hAnsi="宋体" w:cs="宋体" w:eastAsia="宋体" w:hint="default"/>
          <w:i/>
          <w:spacing w:val="-2"/>
          <w:sz w:val="22"/>
          <w:szCs w:val="22"/>
        </w:rPr>
        <w:t>。</w:t>
      </w:r>
      <w:r>
        <w:rPr>
          <w:spacing w:val="-2"/>
        </w:rPr>
        <w:t>思创医惠公司防盗标</w:t>
      </w:r>
      <w:r>
        <w:rPr>
          <w:spacing w:val="-42"/>
        </w:rPr>
        <w:t> </w:t>
      </w:r>
      <w:r>
        <w:rPr>
          <w:spacing w:val="-42"/>
        </w:rPr>
      </w:r>
      <w:r>
        <w:rPr>
          <w:spacing w:val="-2"/>
        </w:rPr>
        <w:t>签业务的国外销售一般在货物向海关报关出口并装船后确认收入，国内销售一般在买方验收后确认收入；</w:t>
      </w:r>
      <w:r>
        <w:rPr>
          <w:spacing w:val="-20"/>
        </w:rPr>
        <w:t> </w:t>
      </w:r>
      <w:r>
        <w:rPr>
          <w:spacing w:val="-20"/>
        </w:rPr>
      </w:r>
      <w:r>
        <w:rPr/>
        <w:t>智慧医疗管理信息与软件的开发和服务采用完工百分比法确认收入。</w:t>
      </w:r>
    </w:p>
    <w:p>
      <w:pPr>
        <w:pStyle w:val="Heading5"/>
        <w:spacing w:line="273" w:lineRule="auto" w:before="10"/>
        <w:ind w:right="1044" w:firstLine="480"/>
        <w:jc w:val="both"/>
      </w:pPr>
      <w:r>
        <w:rPr>
          <w:spacing w:val="-2"/>
        </w:rPr>
        <w:t>由于营业收入是思创医惠公司关键业绩指标之一，可能存在思创医惠公司管理层（以下简称管理层）</w:t>
      </w:r>
      <w:r>
        <w:rPr>
          <w:w w:val="100"/>
        </w:rPr>
        <w:t> </w:t>
      </w:r>
      <w:r>
        <w:rPr>
          <w:spacing w:val="-2"/>
        </w:rPr>
        <w:t>通过不恰当的收入确认以达到特定目标或预期的固有风险。因此，我们将收入确认确定为关键审计事项。</w:t>
      </w:r>
    </w:p>
    <w:p>
      <w:pPr>
        <w:pStyle w:val="Heading5"/>
        <w:spacing w:line="273" w:lineRule="auto"/>
        <w:ind w:left="633" w:right="5374"/>
        <w:jc w:val="left"/>
      </w:pPr>
      <w:r>
        <w:rPr>
          <w:rFonts w:ascii="宋体" w:hAnsi="宋体" w:cs="宋体" w:eastAsia="宋体" w:hint="default"/>
        </w:rPr>
        <w:t>2. </w:t>
      </w:r>
      <w:r>
        <w:rPr/>
        <w:t>审计应对</w:t>
      </w:r>
      <w:r>
        <w:rPr>
          <w:w w:val="100"/>
        </w:rPr>
        <w:t> </w:t>
      </w:r>
      <w:r>
        <w:rPr>
          <w:spacing w:val="-2"/>
        </w:rPr>
        <w:t>我们针对收入的确认实施的审计程序包括但不限于：</w:t>
      </w:r>
      <w:r>
        <w:rPr>
          <w:spacing w:val="-62"/>
        </w:rPr>
        <w:t> </w:t>
      </w:r>
      <w:r>
        <w:rPr>
          <w:spacing w:val="-62"/>
        </w:rPr>
      </w:r>
      <w:r>
        <w:rPr>
          <w:rFonts w:ascii="宋体" w:hAnsi="宋体" w:cs="宋体" w:eastAsia="宋体" w:hint="default"/>
        </w:rPr>
        <w:t>(1)</w:t>
      </w:r>
      <w:r>
        <w:rPr>
          <w:rFonts w:ascii="宋体" w:hAnsi="宋体" w:cs="宋体" w:eastAsia="宋体" w:hint="default"/>
          <w:spacing w:val="-3"/>
        </w:rPr>
        <w:t> </w:t>
      </w:r>
      <w:r>
        <w:rPr/>
        <w:t>我们向管理层进行访谈，评价管理层诚信；</w:t>
      </w:r>
    </w:p>
    <w:p>
      <w:pPr>
        <w:pStyle w:val="Heading5"/>
        <w:spacing w:line="240" w:lineRule="auto"/>
        <w:ind w:left="633" w:right="0"/>
        <w:jc w:val="left"/>
      </w:pPr>
      <w:r>
        <w:rPr>
          <w:rFonts w:ascii="宋体" w:hAnsi="宋体" w:cs="宋体" w:eastAsia="宋体" w:hint="default"/>
        </w:rPr>
        <w:t>(2)</w:t>
      </w:r>
      <w:r>
        <w:rPr>
          <w:rFonts w:ascii="宋体" w:hAnsi="宋体" w:cs="宋体" w:eastAsia="宋体" w:hint="default"/>
          <w:spacing w:val="75"/>
        </w:rPr>
        <w:t> </w:t>
      </w:r>
      <w:r>
        <w:rPr>
          <w:spacing w:val="-4"/>
        </w:rPr>
        <w:t>了解与收入确认相关的关键内部控制，评价其设计和确定其是否得到执行，并测试相关内部控制</w:t>
      </w:r>
    </w:p>
    <w:p>
      <w:pPr>
        <w:spacing w:after="0" w:line="240" w:lineRule="auto"/>
        <w:jc w:val="left"/>
        <w:sectPr>
          <w:type w:val="continuous"/>
          <w:pgSz w:w="11910" w:h="16840"/>
          <w:pgMar w:top="1040" w:bottom="1160" w:left="980" w:right="0"/>
        </w:sectPr>
      </w:pPr>
    </w:p>
    <w:p>
      <w:pPr>
        <w:spacing w:line="240" w:lineRule="auto" w:before="7"/>
        <w:rPr>
          <w:rFonts w:ascii="宋体" w:hAnsi="宋体" w:cs="宋体" w:eastAsia="宋体" w:hint="default"/>
          <w:sz w:val="25"/>
          <w:szCs w:val="25"/>
        </w:rPr>
      </w:pPr>
    </w:p>
    <w:p>
      <w:pPr>
        <w:pStyle w:val="Heading5"/>
        <w:spacing w:line="240" w:lineRule="auto" w:before="36"/>
        <w:ind w:right="1133"/>
        <w:jc w:val="left"/>
      </w:pPr>
      <w:r>
        <w:rPr/>
        <w:t>的运行有效性；</w:t>
      </w:r>
    </w:p>
    <w:p>
      <w:pPr>
        <w:pStyle w:val="Heading5"/>
        <w:spacing w:line="273" w:lineRule="auto" w:before="37"/>
        <w:ind w:right="1129" w:firstLine="480"/>
        <w:jc w:val="both"/>
      </w:pPr>
      <w:r>
        <w:rPr>
          <w:rFonts w:ascii="宋体" w:hAnsi="宋体" w:cs="宋体" w:eastAsia="宋体" w:hint="default"/>
        </w:rPr>
        <w:t>(3)</w:t>
      </w:r>
      <w:r>
        <w:rPr>
          <w:rFonts w:ascii="宋体" w:hAnsi="宋体" w:cs="宋体" w:eastAsia="宋体" w:hint="default"/>
          <w:spacing w:val="62"/>
        </w:rPr>
        <w:t> </w:t>
      </w:r>
      <w:r>
        <w:rPr>
          <w:spacing w:val="-4"/>
        </w:rPr>
        <w:t>检查主要客户的销售合同，识别与商品所有权上的主要风险和报酬转移相关的条款，评价收入确</w:t>
      </w:r>
      <w:r>
        <w:rPr>
          <w:w w:val="100"/>
        </w:rPr>
        <w:t> </w:t>
      </w:r>
      <w:r>
        <w:rPr/>
        <w:t>认政策是否符合企业会计准则的规定；</w:t>
      </w:r>
    </w:p>
    <w:p>
      <w:pPr>
        <w:pStyle w:val="Heading5"/>
        <w:spacing w:line="273" w:lineRule="auto"/>
        <w:ind w:right="1129" w:firstLine="480"/>
        <w:jc w:val="both"/>
      </w:pPr>
      <w:r>
        <w:rPr>
          <w:rFonts w:ascii="宋体" w:hAnsi="宋体" w:cs="宋体" w:eastAsia="宋体" w:hint="default"/>
        </w:rPr>
        <w:t>(4)</w:t>
      </w:r>
      <w:r>
        <w:rPr>
          <w:rFonts w:ascii="宋体" w:hAnsi="宋体" w:cs="宋体" w:eastAsia="宋体" w:hint="default"/>
          <w:spacing w:val="62"/>
        </w:rPr>
        <w:t> </w:t>
      </w:r>
      <w:r>
        <w:rPr>
          <w:spacing w:val="-4"/>
        </w:rPr>
        <w:t>对收入和应收账款实施分析程序，包括月度收入波动分析、主要客户收入变动分析及应收账款期</w:t>
      </w:r>
      <w:r>
        <w:rPr>
          <w:w w:val="100"/>
        </w:rPr>
        <w:t> </w:t>
      </w:r>
      <w:r>
        <w:rPr/>
        <w:t>末余额分析等，识别是否存在重大或异常波动，并查明波动原因；</w:t>
      </w:r>
    </w:p>
    <w:p>
      <w:pPr>
        <w:pStyle w:val="Heading5"/>
        <w:spacing w:line="273" w:lineRule="auto"/>
        <w:ind w:right="1127" w:firstLine="480"/>
        <w:jc w:val="both"/>
      </w:pPr>
      <w:r>
        <w:rPr>
          <w:rFonts w:ascii="宋体" w:hAnsi="宋体" w:cs="宋体" w:eastAsia="宋体" w:hint="default"/>
        </w:rPr>
        <w:t>(5)</w:t>
      </w:r>
      <w:r>
        <w:rPr>
          <w:rFonts w:ascii="宋体" w:hAnsi="宋体" w:cs="宋体" w:eastAsia="宋体" w:hint="default"/>
          <w:spacing w:val="61"/>
        </w:rPr>
        <w:t> </w:t>
      </w:r>
      <w:r>
        <w:rPr>
          <w:spacing w:val="-4"/>
        </w:rPr>
        <w:t>对于内销收入，以抽样方式检查与收入确认相关的支持性文件，包括发货单、货物签收单、试点</w:t>
      </w:r>
      <w:r>
        <w:rPr>
          <w:w w:val="100"/>
        </w:rPr>
        <w:t> </w:t>
      </w:r>
      <w:r>
        <w:rPr>
          <w:spacing w:val="-2"/>
        </w:rPr>
        <w:t>报告、上线报告、验收报告等；对于出口收入，获取电子口岸信息并与账面记录核对，并以抽样方式检查</w:t>
      </w:r>
      <w:r>
        <w:rPr>
          <w:spacing w:val="-43"/>
        </w:rPr>
        <w:t> </w:t>
      </w:r>
      <w:r>
        <w:rPr>
          <w:spacing w:val="-43"/>
        </w:rPr>
      </w:r>
      <w:r>
        <w:rPr/>
        <w:t>销售合同、出口报关单、货运提单、销售发票等支持性文件；</w:t>
      </w:r>
    </w:p>
    <w:p>
      <w:pPr>
        <w:pStyle w:val="Heading5"/>
        <w:spacing w:line="240" w:lineRule="auto"/>
        <w:ind w:left="633" w:right="1133"/>
        <w:jc w:val="left"/>
      </w:pPr>
      <w:r>
        <w:rPr>
          <w:rFonts w:ascii="宋体" w:hAnsi="宋体" w:cs="宋体" w:eastAsia="宋体" w:hint="default"/>
        </w:rPr>
        <w:t>(6)</w:t>
      </w:r>
      <w:r>
        <w:rPr>
          <w:rFonts w:ascii="宋体" w:hAnsi="宋体" w:cs="宋体" w:eastAsia="宋体" w:hint="default"/>
          <w:spacing w:val="-5"/>
        </w:rPr>
        <w:t> </w:t>
      </w:r>
      <w:r>
        <w:rPr/>
        <w:t>结合应收账款函证，以抽样方式向主要客户函证本期销售额和大额合同的进度情况；</w:t>
      </w:r>
    </w:p>
    <w:p>
      <w:pPr>
        <w:pStyle w:val="Heading5"/>
        <w:spacing w:line="273" w:lineRule="auto" w:before="37"/>
        <w:ind w:right="1126" w:firstLine="480"/>
        <w:jc w:val="both"/>
      </w:pPr>
      <w:r>
        <w:rPr>
          <w:rFonts w:ascii="宋体" w:hAnsi="宋体" w:cs="宋体" w:eastAsia="宋体" w:hint="default"/>
        </w:rPr>
        <w:t>(7)</w:t>
      </w:r>
      <w:r>
        <w:rPr>
          <w:rFonts w:ascii="宋体" w:hAnsi="宋体" w:cs="宋体" w:eastAsia="宋体" w:hint="default"/>
          <w:spacing w:val="65"/>
        </w:rPr>
        <w:t> </w:t>
      </w:r>
      <w:r>
        <w:rPr>
          <w:spacing w:val="-4"/>
        </w:rPr>
        <w:t>以抽样方式对资产负债表日前后确认的营业收入核对至出库单、发货单、客户签收单、出口报关</w:t>
      </w:r>
      <w:r>
        <w:rPr>
          <w:w w:val="100"/>
        </w:rPr>
        <w:t> </w:t>
      </w:r>
      <w:r>
        <w:rPr/>
        <w:t>单、货运提单等支持性文件，评价营业收入是否在恰当期间确认；</w:t>
      </w:r>
    </w:p>
    <w:p>
      <w:pPr>
        <w:pStyle w:val="Heading5"/>
        <w:spacing w:line="240" w:lineRule="auto"/>
        <w:ind w:left="633" w:right="0"/>
        <w:jc w:val="left"/>
      </w:pPr>
      <w:r>
        <w:rPr>
          <w:rFonts w:ascii="宋体" w:hAnsi="宋体" w:cs="宋体" w:eastAsia="宋体" w:hint="default"/>
        </w:rPr>
        <w:t>(8)</w:t>
      </w:r>
      <w:r>
        <w:rPr>
          <w:rFonts w:ascii="宋体" w:hAnsi="宋体" w:cs="宋体" w:eastAsia="宋体" w:hint="default"/>
          <w:spacing w:val="-11"/>
        </w:rPr>
        <w:t> </w:t>
      </w:r>
      <w:r>
        <w:rPr/>
        <w:t>获取资产负债表日后的销售退回记录，检查是否存在资产负债表日不满足收入确认条件的情况；</w:t>
      </w:r>
    </w:p>
    <w:p>
      <w:pPr>
        <w:pStyle w:val="Heading5"/>
        <w:spacing w:line="240" w:lineRule="auto" w:before="37"/>
        <w:ind w:left="633" w:right="1133"/>
        <w:jc w:val="left"/>
      </w:pPr>
      <w:r>
        <w:rPr>
          <w:rFonts w:ascii="宋体" w:hAnsi="宋体" w:cs="宋体" w:eastAsia="宋体" w:hint="default"/>
        </w:rPr>
        <w:t>(9)</w:t>
      </w:r>
      <w:r>
        <w:rPr>
          <w:rFonts w:ascii="宋体" w:hAnsi="宋体" w:cs="宋体" w:eastAsia="宋体" w:hint="default"/>
          <w:spacing w:val="-3"/>
        </w:rPr>
        <w:t> </w:t>
      </w:r>
      <w:r>
        <w:rPr/>
        <w:t>我们对主要客户实施电话访谈程序，核实本期项目实施情况及货款支付情况；</w:t>
      </w:r>
    </w:p>
    <w:p>
      <w:pPr>
        <w:pStyle w:val="Heading5"/>
        <w:spacing w:line="273" w:lineRule="auto" w:before="37"/>
        <w:ind w:left="633" w:right="3242"/>
        <w:jc w:val="left"/>
      </w:pPr>
      <w:r>
        <w:rPr>
          <w:rFonts w:ascii="宋体" w:hAnsi="宋体" w:cs="宋体" w:eastAsia="宋体" w:hint="default"/>
        </w:rPr>
        <w:t>(10)</w:t>
      </w:r>
      <w:r>
        <w:rPr>
          <w:rFonts w:ascii="宋体" w:hAnsi="宋体" w:cs="宋体" w:eastAsia="宋体" w:hint="default"/>
          <w:spacing w:val="-4"/>
        </w:rPr>
        <w:t> </w:t>
      </w:r>
      <w:r>
        <w:rPr/>
        <w:t>检查与营业收入相关的信息是否已在财务报表中作出恰当列报和披露。</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应收账款减值</w:t>
      </w:r>
    </w:p>
    <w:p>
      <w:pPr>
        <w:pStyle w:val="Heading5"/>
        <w:spacing w:line="273" w:lineRule="auto"/>
        <w:ind w:left="633" w:right="1133"/>
        <w:jc w:val="left"/>
      </w:pPr>
      <w:r>
        <w:rPr>
          <w:rFonts w:ascii="宋体" w:hAnsi="宋体" w:cs="宋体" w:eastAsia="宋体" w:hint="default"/>
        </w:rPr>
        <w:t>1. </w:t>
      </w:r>
      <w:r>
        <w:rPr/>
        <w:t>事项描述</w:t>
      </w:r>
      <w:r>
        <w:rPr>
          <w:w w:val="100"/>
        </w:rPr>
        <w:t> </w:t>
      </w:r>
      <w:r>
        <w:rPr/>
        <w:t>相关信息披露详见财务报表附注重要会计政策及会计估计应收款项及合并财务报表项目注释合并资</w:t>
      </w:r>
    </w:p>
    <w:p>
      <w:pPr>
        <w:pStyle w:val="Heading5"/>
        <w:spacing w:line="273" w:lineRule="auto"/>
        <w:ind w:left="633" w:right="1133" w:hanging="481"/>
        <w:jc w:val="left"/>
      </w:pPr>
      <w:r>
        <w:rPr/>
        <w:t>产负债表项目注释应收票据及应收账款之说明。</w:t>
      </w:r>
      <w:r>
        <w:rPr>
          <w:w w:val="100"/>
        </w:rPr>
        <w:t> </w:t>
      </w: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日，思创医惠公司财务报表所示应收账款项目账面余额为人民币</w:t>
      </w:r>
      <w:r>
        <w:rPr>
          <w:rFonts w:ascii="宋体" w:hAnsi="宋体" w:cs="宋体" w:eastAsia="宋体" w:hint="default"/>
          <w:spacing w:val="-1"/>
        </w:rPr>
        <w:t>90,599.83</w:t>
      </w:r>
      <w:r>
        <w:rPr>
          <w:spacing w:val="-1"/>
        </w:rPr>
        <w:t>万元，</w:t>
      </w:r>
    </w:p>
    <w:p>
      <w:pPr>
        <w:pStyle w:val="Heading5"/>
        <w:spacing w:line="273" w:lineRule="auto"/>
        <w:ind w:left="633" w:right="1133" w:hanging="481"/>
        <w:jc w:val="left"/>
      </w:pPr>
      <w:r>
        <w:rPr/>
        <w:t>坏账准备为人民币</w:t>
      </w:r>
      <w:r>
        <w:rPr>
          <w:rFonts w:ascii="宋体" w:hAnsi="宋体" w:cs="宋体" w:eastAsia="宋体" w:hint="default"/>
        </w:rPr>
        <w:t>13,029.73</w:t>
      </w:r>
      <w:r>
        <w:rPr/>
        <w:t>万元，账面价值为人民币</w:t>
      </w:r>
      <w:r>
        <w:rPr>
          <w:rFonts w:ascii="宋体" w:hAnsi="宋体" w:cs="宋体" w:eastAsia="宋体" w:hint="default"/>
        </w:rPr>
        <w:t>77,570.09</w:t>
      </w:r>
      <w:r>
        <w:rPr/>
        <w:t>万元。</w:t>
      </w:r>
      <w:r>
        <w:rPr>
          <w:w w:val="100"/>
        </w:rPr>
        <w:t> </w:t>
      </w:r>
      <w:r>
        <w:rPr>
          <w:spacing w:val="-4"/>
        </w:rPr>
        <w:t>对于单独进行减值测试的应收账款，当存在客观证据表明其发生减值时，管理层综合考虑债务人的行</w:t>
      </w:r>
    </w:p>
    <w:p>
      <w:pPr>
        <w:pStyle w:val="Heading5"/>
        <w:spacing w:line="273" w:lineRule="auto"/>
        <w:ind w:right="0"/>
        <w:jc w:val="left"/>
      </w:pPr>
      <w:r>
        <w:rPr>
          <w:spacing w:val="-2"/>
        </w:rPr>
        <w:t>业状况、经营情况、财务状况等因素，估计未来现金流量现值，并确定应计提的坏账准备；对于采用组合</w:t>
      </w:r>
      <w:r>
        <w:rPr>
          <w:spacing w:val="-43"/>
        </w:rPr>
        <w:t> </w:t>
      </w:r>
      <w:r>
        <w:rPr>
          <w:spacing w:val="-43"/>
        </w:rPr>
      </w:r>
      <w:r>
        <w:rPr>
          <w:spacing w:val="-5"/>
        </w:rPr>
        <w:t>方式进行减值测试的应收账款，管理层根据账龄划分组合，以历史损失率为基础，结合现实情况进行调整，</w:t>
      </w:r>
      <w:r>
        <w:rPr>
          <w:spacing w:val="-4"/>
        </w:rPr>
        <w:t> </w:t>
      </w:r>
      <w:r>
        <w:rPr>
          <w:spacing w:val="-4"/>
        </w:rPr>
      </w:r>
      <w:r>
        <w:rPr/>
        <w:t>估计未来现金流量现值，并确定应计提的坏账准备。</w:t>
      </w:r>
    </w:p>
    <w:p>
      <w:pPr>
        <w:pStyle w:val="Heading5"/>
        <w:spacing w:line="273" w:lineRule="auto"/>
        <w:ind w:right="1129" w:firstLine="480"/>
        <w:jc w:val="both"/>
      </w:pPr>
      <w:r>
        <w:rPr>
          <w:spacing w:val="-4"/>
        </w:rPr>
        <w:t>由于应收账款金额重大，且应收账款减值测试涉及重大管理层判断，我们将应收账款减值确定为关键</w:t>
      </w:r>
      <w:r>
        <w:rPr>
          <w:w w:val="100"/>
        </w:rPr>
        <w:t> </w:t>
      </w:r>
      <w:r>
        <w:rPr/>
        <w:t>审计事项。</w:t>
      </w:r>
    </w:p>
    <w:p>
      <w:pPr>
        <w:pStyle w:val="Heading5"/>
        <w:spacing w:line="273" w:lineRule="auto"/>
        <w:ind w:left="633" w:right="3734"/>
        <w:jc w:val="left"/>
      </w:pPr>
      <w:r>
        <w:rPr>
          <w:rFonts w:ascii="宋体" w:hAnsi="宋体" w:cs="宋体" w:eastAsia="宋体" w:hint="default"/>
        </w:rPr>
        <w:t>2. </w:t>
      </w:r>
      <w:r>
        <w:rPr/>
        <w:t>审计应对</w:t>
      </w:r>
      <w:r>
        <w:rPr>
          <w:w w:val="100"/>
        </w:rPr>
        <w:t> </w:t>
      </w:r>
      <w:r>
        <w:rPr>
          <w:spacing w:val="-2"/>
        </w:rPr>
        <w:t>我们针对应收账款的坏账准备计提实施的审计程序包括但不限于：</w:t>
      </w:r>
    </w:p>
    <w:p>
      <w:pPr>
        <w:pStyle w:val="Heading5"/>
        <w:spacing w:line="273" w:lineRule="auto"/>
        <w:ind w:right="1129" w:firstLine="480"/>
        <w:jc w:val="both"/>
      </w:pPr>
      <w:r>
        <w:rPr>
          <w:rFonts w:ascii="宋体" w:hAnsi="宋体" w:cs="宋体" w:eastAsia="宋体" w:hint="default"/>
        </w:rPr>
        <w:t>(1)</w:t>
      </w:r>
      <w:r>
        <w:rPr>
          <w:rFonts w:ascii="宋体" w:hAnsi="宋体" w:cs="宋体" w:eastAsia="宋体" w:hint="default"/>
          <w:spacing w:val="62"/>
        </w:rPr>
        <w:t> </w:t>
      </w:r>
      <w:r>
        <w:rPr>
          <w:spacing w:val="-4"/>
        </w:rPr>
        <w:t>了解与应收账款减值相关的关键内部控制，评价其设计和确定其是否得到执行，并测试相关内部</w:t>
      </w:r>
      <w:r>
        <w:rPr>
          <w:w w:val="100"/>
        </w:rPr>
        <w:t> </w:t>
      </w:r>
      <w:r>
        <w:rPr/>
        <w:t>控制的运行有效性；</w:t>
      </w:r>
    </w:p>
    <w:p>
      <w:pPr>
        <w:pStyle w:val="Heading5"/>
        <w:spacing w:line="273" w:lineRule="auto"/>
        <w:ind w:right="1126" w:firstLine="480"/>
        <w:jc w:val="both"/>
      </w:pPr>
      <w:r>
        <w:rPr>
          <w:rFonts w:ascii="宋体" w:hAnsi="宋体" w:cs="宋体" w:eastAsia="宋体" w:hint="default"/>
        </w:rPr>
        <w:t>(2)</w:t>
      </w:r>
      <w:r>
        <w:rPr>
          <w:rFonts w:ascii="宋体" w:hAnsi="宋体" w:cs="宋体" w:eastAsia="宋体" w:hint="default"/>
          <w:spacing w:val="65"/>
        </w:rPr>
        <w:t> </w:t>
      </w:r>
      <w:r>
        <w:rPr>
          <w:spacing w:val="-4"/>
        </w:rPr>
        <w:t>复核以前年度已计提坏账准备的应收账款的后续实际核销或转回情况，评价管理层过往预测的准</w:t>
      </w:r>
      <w:r>
        <w:rPr>
          <w:w w:val="100"/>
        </w:rPr>
        <w:t> </w:t>
      </w:r>
      <w:r>
        <w:rPr/>
        <w:t>确性；</w:t>
      </w:r>
    </w:p>
    <w:p>
      <w:pPr>
        <w:pStyle w:val="Heading5"/>
        <w:spacing w:line="273" w:lineRule="auto"/>
        <w:ind w:right="1126" w:firstLine="480"/>
        <w:jc w:val="both"/>
      </w:pPr>
      <w:r>
        <w:rPr>
          <w:rFonts w:ascii="宋体" w:hAnsi="宋体" w:cs="宋体" w:eastAsia="宋体" w:hint="default"/>
        </w:rPr>
        <w:t>(3)</w:t>
      </w:r>
      <w:r>
        <w:rPr>
          <w:rFonts w:ascii="宋体" w:hAnsi="宋体" w:cs="宋体" w:eastAsia="宋体" w:hint="default"/>
          <w:spacing w:val="65"/>
        </w:rPr>
        <w:t> </w:t>
      </w:r>
      <w:r>
        <w:rPr>
          <w:spacing w:val="-4"/>
        </w:rPr>
        <w:t>复核管理层对应收账款进行减值测试的相关考虑和客观证据，评价管理层是否充分识别已发生减</w:t>
      </w:r>
      <w:r>
        <w:rPr>
          <w:w w:val="100"/>
        </w:rPr>
        <w:t> </w:t>
      </w:r>
      <w:r>
        <w:rPr/>
        <w:t>值的应收账款；</w:t>
      </w:r>
    </w:p>
    <w:p>
      <w:pPr>
        <w:pStyle w:val="Heading5"/>
        <w:spacing w:line="273" w:lineRule="auto" w:before="8"/>
        <w:ind w:right="1128" w:firstLine="480"/>
        <w:jc w:val="both"/>
      </w:pPr>
      <w:r>
        <w:rPr>
          <w:rFonts w:ascii="宋体" w:hAnsi="宋体" w:cs="宋体" w:eastAsia="宋体" w:hint="default"/>
        </w:rPr>
        <w:t>(4)</w:t>
      </w:r>
      <w:r>
        <w:rPr>
          <w:rFonts w:ascii="宋体" w:hAnsi="宋体" w:cs="宋体" w:eastAsia="宋体" w:hint="default"/>
          <w:spacing w:val="62"/>
        </w:rPr>
        <w:t> </w:t>
      </w:r>
      <w:r>
        <w:rPr>
          <w:spacing w:val="-4"/>
        </w:rPr>
        <w:t>对于单独进行减值测试的应收账款，获取并检查管理层对未来现金流量现值的预测，评价在预测</w:t>
      </w:r>
      <w:r>
        <w:rPr>
          <w:w w:val="100"/>
        </w:rPr>
        <w:t> </w:t>
      </w:r>
      <w:r>
        <w:rPr/>
        <w:t>中使用的关键假设的合理性和数据的准确性，并与获取的外部证据进行核对；</w:t>
      </w:r>
    </w:p>
    <w:p>
      <w:pPr>
        <w:pStyle w:val="Heading5"/>
        <w:spacing w:line="273" w:lineRule="auto"/>
        <w:ind w:right="1126" w:firstLine="480"/>
        <w:jc w:val="both"/>
      </w:pPr>
      <w:r>
        <w:rPr>
          <w:rFonts w:ascii="宋体" w:hAnsi="宋体" w:cs="宋体" w:eastAsia="宋体" w:hint="default"/>
        </w:rPr>
        <w:t>(5)</w:t>
      </w:r>
      <w:r>
        <w:rPr>
          <w:rFonts w:ascii="宋体" w:hAnsi="宋体" w:cs="宋体" w:eastAsia="宋体" w:hint="default"/>
          <w:spacing w:val="61"/>
        </w:rPr>
        <w:t> </w:t>
      </w:r>
      <w:r>
        <w:rPr>
          <w:spacing w:val="-4"/>
        </w:rPr>
        <w:t>对于采用组合方式进行减值测试的应收账款，评价管理层按信用风险特征划分组合的合理性；根</w:t>
      </w:r>
      <w:r>
        <w:rPr>
          <w:w w:val="100"/>
        </w:rPr>
        <w:t> </w:t>
      </w:r>
      <w:r>
        <w:rPr>
          <w:spacing w:val="-2"/>
        </w:rPr>
        <w:t>据具有类似信用风险特征组合的历史损失率及反映当前情况的相关可观察数据等，评价管理层减值测试方</w:t>
      </w:r>
      <w:r>
        <w:rPr>
          <w:spacing w:val="-43"/>
        </w:rPr>
        <w:t> </w:t>
      </w:r>
      <w:r>
        <w:rPr>
          <w:spacing w:val="-43"/>
        </w:rPr>
      </w:r>
      <w:r>
        <w:rPr>
          <w:spacing w:val="-2"/>
        </w:rPr>
        <w:t>法的合理性（包括各组合坏账准备的计提比例）；测试管理层使用数据的准确性和完整性以及对应计提坏</w:t>
      </w:r>
      <w:r>
        <w:rPr>
          <w:spacing w:val="-42"/>
        </w:rPr>
        <w:t> </w:t>
      </w:r>
      <w:r>
        <w:rPr>
          <w:spacing w:val="-42"/>
        </w:rPr>
      </w:r>
      <w:r>
        <w:rPr/>
        <w:t>账准备的计算是否准确；</w:t>
      </w:r>
    </w:p>
    <w:p>
      <w:pPr>
        <w:pStyle w:val="Heading5"/>
        <w:spacing w:line="273" w:lineRule="auto"/>
        <w:ind w:right="1126" w:firstLine="480"/>
        <w:jc w:val="both"/>
      </w:pPr>
      <w:r>
        <w:rPr>
          <w:rFonts w:ascii="宋体" w:hAnsi="宋体" w:cs="宋体" w:eastAsia="宋体" w:hint="default"/>
        </w:rPr>
        <w:t>(6)</w:t>
      </w:r>
      <w:r>
        <w:rPr>
          <w:rFonts w:ascii="宋体" w:hAnsi="宋体" w:cs="宋体" w:eastAsia="宋体" w:hint="default"/>
          <w:spacing w:val="61"/>
        </w:rPr>
        <w:t> </w:t>
      </w:r>
      <w:r>
        <w:rPr>
          <w:spacing w:val="-4"/>
        </w:rPr>
        <w:t>我们对主要客户的销售回款进行检查，检查是否存在未按约定回款的客户，对该部分客户进行单</w:t>
      </w:r>
      <w:r>
        <w:rPr>
          <w:w w:val="100"/>
        </w:rPr>
        <w:t> </w:t>
      </w:r>
      <w:r>
        <w:rPr>
          <w:spacing w:val="-2"/>
        </w:rPr>
        <w:t>独分析，包括向管理层了解应收超过合同约定期限的原因、客户的经营情况，并通过公开渠道查询与客户</w:t>
      </w:r>
      <w:r>
        <w:rPr>
          <w:spacing w:val="-43"/>
        </w:rPr>
        <w:t> </w:t>
      </w:r>
      <w:r>
        <w:rPr>
          <w:spacing w:val="-43"/>
        </w:rPr>
      </w:r>
      <w:r>
        <w:rPr>
          <w:spacing w:val="-2"/>
        </w:rPr>
        <w:t>及其行业发展状况有关的信息，结合以往应收款项的收回及坏账发生情况，评价应收账款坏账准备计提的</w:t>
      </w:r>
      <w:r>
        <w:rPr>
          <w:spacing w:val="-42"/>
        </w:rPr>
        <w:t> </w:t>
      </w:r>
      <w:r>
        <w:rPr>
          <w:spacing w:val="-42"/>
        </w:rPr>
      </w:r>
      <w:r>
        <w:rPr/>
        <w:t>充分性；</w:t>
      </w:r>
    </w:p>
    <w:p>
      <w:pPr>
        <w:spacing w:after="0" w:line="273" w:lineRule="auto"/>
        <w:jc w:val="both"/>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5"/>
        <w:spacing w:line="240" w:lineRule="auto" w:before="36"/>
        <w:ind w:left="633" w:right="1133"/>
        <w:jc w:val="left"/>
      </w:pPr>
      <w:r>
        <w:rPr>
          <w:rFonts w:ascii="宋体" w:hAnsi="宋体" w:cs="宋体" w:eastAsia="宋体" w:hint="default"/>
        </w:rPr>
        <w:t>(7)</w:t>
      </w:r>
      <w:r>
        <w:rPr>
          <w:rFonts w:ascii="宋体" w:hAnsi="宋体" w:cs="宋体" w:eastAsia="宋体" w:hint="default"/>
          <w:spacing w:val="-3"/>
        </w:rPr>
        <w:t> </w:t>
      </w:r>
      <w:r>
        <w:rPr/>
        <w:t>检查应收账款的期后回款情况，评价管理层计提应收账款坏账准备的合理性；</w:t>
      </w:r>
    </w:p>
    <w:p>
      <w:pPr>
        <w:pStyle w:val="Heading5"/>
        <w:spacing w:line="240" w:lineRule="auto" w:before="37"/>
        <w:ind w:left="633" w:right="1133"/>
        <w:jc w:val="left"/>
      </w:pPr>
      <w:r>
        <w:rPr>
          <w:rFonts w:ascii="宋体" w:hAnsi="宋体" w:cs="宋体" w:eastAsia="宋体" w:hint="default"/>
        </w:rPr>
        <w:t>(8)</w:t>
      </w:r>
      <w:r>
        <w:rPr>
          <w:rFonts w:ascii="宋体" w:hAnsi="宋体" w:cs="宋体" w:eastAsia="宋体" w:hint="default"/>
          <w:spacing w:val="-4"/>
        </w:rPr>
        <w:t> </w:t>
      </w:r>
      <w:r>
        <w:rPr/>
        <w:t>检查与应收账款减值相关的信息是否已在财务报表中作出恰当列报和披露；</w:t>
      </w:r>
    </w:p>
    <w:p>
      <w:pPr>
        <w:pStyle w:val="Heading5"/>
        <w:spacing w:line="273" w:lineRule="auto" w:before="37"/>
        <w:ind w:left="616" w:right="5869" w:firstLine="16"/>
        <w:jc w:val="left"/>
      </w:pPr>
      <w:r>
        <w:rPr>
          <w:rFonts w:ascii="宋体" w:hAnsi="宋体" w:cs="宋体" w:eastAsia="宋体" w:hint="default"/>
        </w:rPr>
        <w:t>(9)</w:t>
      </w:r>
      <w:r>
        <w:rPr>
          <w:rFonts w:ascii="宋体" w:hAnsi="宋体" w:cs="宋体" w:eastAsia="宋体" w:hint="default"/>
          <w:spacing w:val="-5"/>
        </w:rPr>
        <w:t> </w:t>
      </w:r>
      <w:r>
        <w:rPr/>
        <w:t>以抽样方式对期末大额应收账款进行函证。</w:t>
      </w:r>
      <w:r>
        <w:rPr>
          <w:spacing w:val="-3"/>
          <w:w w:val="100"/>
        </w:rPr>
        <w:t> </w:t>
      </w:r>
      <w:r>
        <w:rPr>
          <w:rFonts w:ascii="宋体" w:hAnsi="宋体" w:cs="宋体" w:eastAsia="宋体" w:hint="default"/>
        </w:rPr>
        <w:t>(</w:t>
      </w:r>
      <w:r>
        <w:rPr/>
        <w:t>三</w:t>
      </w:r>
      <w:r>
        <w:rPr>
          <w:rFonts w:ascii="宋体" w:hAnsi="宋体" w:cs="宋体" w:eastAsia="宋体" w:hint="default"/>
        </w:rPr>
        <w:t>) </w:t>
      </w:r>
      <w:r>
        <w:rPr/>
        <w:t>商誉减值</w:t>
      </w:r>
      <w:r>
        <w:rPr>
          <w:rFonts w:ascii="宋体" w:hAnsi="宋体" w:cs="宋体" w:eastAsia="宋体" w:hint="default"/>
        </w:rPr>
        <w:t>1.</w:t>
      </w:r>
      <w:r>
        <w:rPr>
          <w:rFonts w:ascii="宋体" w:hAnsi="宋体" w:cs="宋体" w:eastAsia="宋体" w:hint="default"/>
          <w:spacing w:val="-2"/>
        </w:rPr>
        <w:t> </w:t>
      </w:r>
      <w:r>
        <w:rPr/>
        <w:t>事项描述</w:t>
      </w:r>
    </w:p>
    <w:p>
      <w:pPr>
        <w:pStyle w:val="Heading5"/>
        <w:spacing w:line="273" w:lineRule="auto"/>
        <w:ind w:right="1133" w:firstLine="480"/>
        <w:jc w:val="left"/>
      </w:pPr>
      <w:r>
        <w:rPr/>
        <w:t>相关信息披露详见财务报表附注重要会计政策及会计估计部分长期资产减值及合并财务报表项目注</w:t>
      </w:r>
      <w:r>
        <w:rPr>
          <w:w w:val="100"/>
        </w:rPr>
        <w:t> </w:t>
      </w:r>
      <w:r>
        <w:rPr/>
        <w:t>释合并资产负债表项目注释商誉之说明。</w:t>
      </w:r>
    </w:p>
    <w:p>
      <w:pPr>
        <w:pStyle w:val="Heading5"/>
        <w:spacing w:line="273" w:lineRule="auto"/>
        <w:ind w:right="1133" w:firstLine="480"/>
        <w:jc w:val="left"/>
      </w:pP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日，思创医惠公司财务报表所示商誉项目账面原值为人民币</w:t>
      </w:r>
      <w:r>
        <w:rPr>
          <w:rFonts w:ascii="宋体" w:hAnsi="宋体" w:cs="宋体" w:eastAsia="宋体" w:hint="default"/>
          <w:spacing w:val="-1"/>
        </w:rPr>
        <w:t>76,133.24</w:t>
      </w:r>
      <w:r>
        <w:rPr>
          <w:spacing w:val="-1"/>
        </w:rPr>
        <w:t>万元，减值</w:t>
      </w:r>
      <w:r>
        <w:rPr>
          <w:w w:val="100"/>
        </w:rPr>
        <w:t> </w:t>
      </w:r>
      <w:r>
        <w:rPr/>
        <w:t>准备为人民币</w:t>
      </w:r>
      <w:r>
        <w:rPr>
          <w:rFonts w:ascii="宋体" w:hAnsi="宋体" w:cs="宋体" w:eastAsia="宋体" w:hint="default"/>
        </w:rPr>
        <w:t>6,525.64</w:t>
      </w:r>
      <w:r>
        <w:rPr/>
        <w:t>万元，账面价值为人民币</w:t>
      </w:r>
      <w:r>
        <w:rPr>
          <w:rFonts w:ascii="宋体" w:hAnsi="宋体" w:cs="宋体" w:eastAsia="宋体" w:hint="default"/>
        </w:rPr>
        <w:t>69,607.60</w:t>
      </w:r>
      <w:r>
        <w:rPr/>
        <w:t>万元。</w:t>
      </w:r>
    </w:p>
    <w:p>
      <w:pPr>
        <w:pStyle w:val="Heading5"/>
        <w:spacing w:line="273" w:lineRule="auto"/>
        <w:ind w:right="0" w:firstLine="480"/>
        <w:jc w:val="left"/>
      </w:pPr>
      <w:r>
        <w:rPr>
          <w:spacing w:val="-4"/>
          <w:w w:val="100"/>
        </w:rPr>
        <w:t>管理层于每年年度终了对企业合并所形成的商誉进行减值测试。管理层将商誉结合与其相关的资产组</w:t>
      </w:r>
      <w:r>
        <w:rPr>
          <w:w w:val="100"/>
        </w:rPr>
        <w:t> </w:t>
      </w:r>
      <w:r>
        <w:rPr>
          <w:spacing w:val="-5"/>
        </w:rPr>
        <w:t>或者资产组组合进行减值测试，减值测试中采用的关键假设包括：详细预测期增长率、永续预测期增长率、</w:t>
      </w:r>
      <w:r>
        <w:rPr>
          <w:spacing w:val="-3"/>
        </w:rPr>
        <w:t> </w:t>
      </w:r>
      <w:r>
        <w:rPr>
          <w:spacing w:val="-3"/>
        </w:rPr>
      </w:r>
      <w:r>
        <w:rPr/>
        <w:t>毛利率、折现率等。</w:t>
      </w:r>
    </w:p>
    <w:p>
      <w:pPr>
        <w:pStyle w:val="Heading5"/>
        <w:spacing w:line="273" w:lineRule="auto"/>
        <w:ind w:left="633" w:right="1214"/>
        <w:jc w:val="left"/>
      </w:pPr>
      <w:r>
        <w:rPr>
          <w:spacing w:val="-2"/>
        </w:rPr>
        <w:t>由于商誉金额重大，且商誉减值测试涉及重大管理层判断，我们将商誉减值确定为关键审计事项。</w:t>
      </w:r>
      <w:r>
        <w:rPr>
          <w:spacing w:val="-25"/>
        </w:rPr>
        <w:t> </w:t>
      </w:r>
      <w:r>
        <w:rPr>
          <w:spacing w:val="-25"/>
        </w:rPr>
      </w:r>
      <w:r>
        <w:rPr>
          <w:rFonts w:ascii="宋体" w:hAnsi="宋体" w:cs="宋体" w:eastAsia="宋体" w:hint="default"/>
        </w:rPr>
        <w:t>2. </w:t>
      </w:r>
      <w:r>
        <w:rPr/>
        <w:t>审计应对</w:t>
      </w:r>
    </w:p>
    <w:p>
      <w:pPr>
        <w:pStyle w:val="Heading5"/>
        <w:spacing w:line="240" w:lineRule="auto"/>
        <w:ind w:left="633" w:right="1133"/>
        <w:jc w:val="left"/>
      </w:pPr>
      <w:r>
        <w:rPr/>
        <w:t>我们针对商誉减值实施的主要审计程序包括但不限于：</w:t>
      </w:r>
    </w:p>
    <w:p>
      <w:pPr>
        <w:pStyle w:val="Heading5"/>
        <w:spacing w:line="273" w:lineRule="auto" w:before="37"/>
        <w:ind w:right="1125" w:firstLine="480"/>
        <w:jc w:val="left"/>
      </w:pPr>
      <w:r>
        <w:rPr>
          <w:rFonts w:ascii="宋体" w:hAnsi="宋体" w:cs="宋体" w:eastAsia="宋体" w:hint="default"/>
        </w:rPr>
        <w:t>(1)</w:t>
      </w:r>
      <w:r>
        <w:rPr>
          <w:rFonts w:ascii="宋体" w:hAnsi="宋体" w:cs="宋体" w:eastAsia="宋体" w:hint="default"/>
          <w:spacing w:val="62"/>
        </w:rPr>
        <w:t> </w:t>
      </w:r>
      <w:r>
        <w:rPr>
          <w:spacing w:val="-4"/>
        </w:rPr>
        <w:t>了解与商誉减值相关的关键内部控制，评价其设计和确定其是否得到执行，并测试相关内部控制</w:t>
      </w:r>
      <w:r>
        <w:rPr>
          <w:w w:val="100"/>
        </w:rPr>
        <w:t> </w:t>
      </w:r>
      <w:r>
        <w:rPr/>
        <w:t>的运行有效性；</w:t>
      </w:r>
    </w:p>
    <w:p>
      <w:pPr>
        <w:pStyle w:val="Heading5"/>
        <w:spacing w:line="240" w:lineRule="auto"/>
        <w:ind w:left="633" w:right="0"/>
        <w:jc w:val="left"/>
      </w:pPr>
      <w:r>
        <w:rPr>
          <w:rFonts w:ascii="宋体" w:hAnsi="宋体" w:cs="宋体" w:eastAsia="宋体" w:hint="default"/>
        </w:rPr>
        <w:t>(2) </w:t>
      </w:r>
      <w:r>
        <w:rPr>
          <w:rFonts w:ascii="宋体" w:hAnsi="宋体" w:cs="宋体" w:eastAsia="宋体" w:hint="default"/>
          <w:spacing w:val="13"/>
        </w:rPr>
        <w:t> </w:t>
      </w:r>
      <w:r>
        <w:rPr/>
        <w:t>复核管理层以前年度对未来现金流量现值的预测和实际经营结果，评价管理层过往预测的准确</w:t>
      </w:r>
    </w:p>
    <w:p>
      <w:pPr>
        <w:pStyle w:val="Heading5"/>
        <w:spacing w:line="240" w:lineRule="auto" w:before="37"/>
        <w:ind w:right="1133"/>
        <w:jc w:val="left"/>
      </w:pPr>
      <w:r>
        <w:rPr/>
        <w:t>性；</w:t>
      </w:r>
    </w:p>
    <w:p>
      <w:pPr>
        <w:pStyle w:val="Heading5"/>
        <w:spacing w:line="240" w:lineRule="auto" w:before="37"/>
        <w:ind w:left="633" w:right="1133"/>
        <w:jc w:val="left"/>
      </w:pPr>
      <w:r>
        <w:rPr>
          <w:rFonts w:ascii="宋体" w:hAnsi="宋体" w:cs="宋体" w:eastAsia="宋体" w:hint="default"/>
        </w:rPr>
        <w:t>(3)</w:t>
      </w:r>
      <w:r>
        <w:rPr>
          <w:rFonts w:ascii="宋体" w:hAnsi="宋体" w:cs="宋体" w:eastAsia="宋体" w:hint="default"/>
          <w:spacing w:val="-3"/>
        </w:rPr>
        <w:t> </w:t>
      </w:r>
      <w:r>
        <w:rPr/>
        <w:t>评价管理层在减值测试中使用方法的合理性和一致性；</w:t>
      </w:r>
    </w:p>
    <w:p>
      <w:pPr>
        <w:pStyle w:val="Heading5"/>
        <w:spacing w:line="240" w:lineRule="auto" w:before="37"/>
        <w:ind w:left="633" w:right="0"/>
        <w:jc w:val="left"/>
      </w:pPr>
      <w:r>
        <w:rPr>
          <w:rFonts w:ascii="宋体" w:hAnsi="宋体" w:cs="宋体" w:eastAsia="宋体" w:hint="default"/>
        </w:rPr>
        <w:t>(4)</w:t>
      </w:r>
      <w:r>
        <w:rPr>
          <w:rFonts w:ascii="宋体" w:hAnsi="宋体" w:cs="宋体" w:eastAsia="宋体" w:hint="default"/>
          <w:spacing w:val="75"/>
        </w:rPr>
        <w:t> </w:t>
      </w:r>
      <w:r>
        <w:rPr>
          <w:spacing w:val="-4"/>
        </w:rPr>
        <w:t>评价管理层在减值测试中采用的关键假设的合理性，复核相关假设是否与总体经济环境、行业状</w:t>
      </w:r>
    </w:p>
    <w:p>
      <w:pPr>
        <w:pStyle w:val="Heading5"/>
        <w:spacing w:line="240" w:lineRule="auto" w:before="37"/>
        <w:ind w:right="1133"/>
        <w:jc w:val="left"/>
      </w:pPr>
      <w:r>
        <w:rPr/>
        <w:t>况、经营情况、历史经验以及收购资产组时评估报告使用的技术参数等相符；</w:t>
      </w:r>
    </w:p>
    <w:p>
      <w:pPr>
        <w:pStyle w:val="Heading5"/>
        <w:spacing w:line="273" w:lineRule="auto" w:before="37"/>
        <w:ind w:right="1125" w:firstLine="480"/>
        <w:jc w:val="left"/>
      </w:pPr>
      <w:r>
        <w:rPr>
          <w:rFonts w:ascii="宋体" w:hAnsi="宋体" w:cs="宋体" w:eastAsia="宋体" w:hint="default"/>
        </w:rPr>
        <w:t>(5)</w:t>
      </w:r>
      <w:r>
        <w:rPr>
          <w:rFonts w:ascii="宋体" w:hAnsi="宋体" w:cs="宋体" w:eastAsia="宋体" w:hint="default"/>
          <w:spacing w:val="62"/>
        </w:rPr>
        <w:t> </w:t>
      </w:r>
      <w:r>
        <w:rPr>
          <w:spacing w:val="-4"/>
        </w:rPr>
        <w:t>测试管理层在减值测试中使用数据的准确性、完整性和相关性，并复核减值测试中有关信息的内</w:t>
      </w:r>
      <w:r>
        <w:rPr>
          <w:w w:val="100"/>
        </w:rPr>
        <w:t> </w:t>
      </w:r>
      <w:r>
        <w:rPr/>
        <w:t>在一致性；</w:t>
      </w:r>
    </w:p>
    <w:p>
      <w:pPr>
        <w:pStyle w:val="Heading5"/>
        <w:spacing w:line="240" w:lineRule="auto" w:before="8"/>
        <w:ind w:left="633" w:right="1133"/>
        <w:jc w:val="left"/>
      </w:pPr>
      <w:r>
        <w:rPr>
          <w:rFonts w:ascii="宋体" w:hAnsi="宋体" w:cs="宋体" w:eastAsia="宋体" w:hint="default"/>
        </w:rPr>
        <w:t>(6)</w:t>
      </w:r>
      <w:r>
        <w:rPr>
          <w:rFonts w:ascii="宋体" w:hAnsi="宋体" w:cs="宋体" w:eastAsia="宋体" w:hint="default"/>
          <w:spacing w:val="-3"/>
        </w:rPr>
        <w:t> </w:t>
      </w:r>
      <w:r>
        <w:rPr/>
        <w:t>测试管理层对预计未来现金流量现值的计算是否准确；</w:t>
      </w:r>
    </w:p>
    <w:p>
      <w:pPr>
        <w:pStyle w:val="Heading5"/>
        <w:spacing w:line="273" w:lineRule="auto" w:before="37"/>
        <w:ind w:left="635" w:right="3347" w:hanging="3"/>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3"/>
        </w:rPr>
        <w:t> </w:t>
      </w:r>
      <w:r>
        <w:rPr/>
        <w:t>检查与商誉减值相关的信息是否已在财务报表中作出恰当列报和披露。</w:t>
      </w:r>
      <w:r>
        <w:rPr>
          <w:w w:val="100"/>
        </w:rPr>
        <w:t> </w:t>
      </w:r>
      <w:r>
        <w:rPr>
          <w:rFonts w:ascii="宋体" w:hAnsi="宋体" w:cs="宋体" w:eastAsia="宋体" w:hint="default"/>
          <w:b/>
          <w:bCs/>
        </w:rPr>
        <w:t>四、其他信息</w:t>
      </w:r>
      <w:r>
        <w:rPr>
          <w:rFonts w:ascii="宋体" w:hAnsi="宋体" w:cs="宋体" w:eastAsia="宋体" w:hint="default"/>
        </w:rPr>
      </w:r>
    </w:p>
    <w:p>
      <w:pPr>
        <w:pStyle w:val="Heading5"/>
        <w:spacing w:line="273" w:lineRule="auto"/>
        <w:ind w:left="633" w:right="0"/>
        <w:jc w:val="left"/>
      </w:pPr>
      <w:r>
        <w:rPr>
          <w:spacing w:val="-6"/>
          <w:w w:val="100"/>
        </w:rPr>
        <w:t>管理层对其他信息负责。其他信息包括年度报告中涵盖的信息，但不包括财务报表和我们的审计报告。</w:t>
      </w:r>
      <w:r>
        <w:rPr>
          <w:spacing w:val="-87"/>
          <w:w w:val="100"/>
        </w:rPr>
        <w:t> </w:t>
      </w:r>
      <w:r>
        <w:rPr>
          <w:spacing w:val="-87"/>
          <w:w w:val="100"/>
        </w:rPr>
      </w:r>
      <w:r>
        <w:rPr/>
        <w:t>我们对财务报表发表的审计意见不涵盖其他信息，我们也不对其他信息发表任何形式的鉴证结论。</w:t>
      </w:r>
      <w:r>
        <w:rPr>
          <w:w w:val="100"/>
        </w:rPr>
        <w:t> </w:t>
      </w:r>
      <w:r>
        <w:rPr>
          <w:spacing w:val="-4"/>
        </w:rPr>
        <w:t>结合我们对财务报表的审计，我们的责任是阅读其他信息，在此过程中，考虑其他信息是否与财务报</w:t>
      </w:r>
    </w:p>
    <w:p>
      <w:pPr>
        <w:pStyle w:val="Heading5"/>
        <w:spacing w:line="273" w:lineRule="auto"/>
        <w:ind w:left="633" w:right="1133" w:hanging="481"/>
        <w:jc w:val="left"/>
      </w:pPr>
      <w:r>
        <w:rPr/>
        <w:t>表或我们在审计过程中了解到的情况存在重大不一致或者似乎存在重大错报。</w:t>
      </w:r>
      <w:r>
        <w:rPr>
          <w:w w:val="100"/>
        </w:rPr>
        <w:t> </w:t>
      </w:r>
      <w:r>
        <w:rPr>
          <w:spacing w:val="-4"/>
        </w:rPr>
        <w:t>基于我们已执行的工作，如果我们确定其他信息存在重大错报，我们应当报告该事实。在这方面，我</w:t>
      </w:r>
    </w:p>
    <w:p>
      <w:pPr>
        <w:spacing w:line="273" w:lineRule="auto" w:before="7"/>
        <w:ind w:left="635" w:right="6474" w:hanging="48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Heading5"/>
        <w:spacing w:line="273" w:lineRule="auto"/>
        <w:ind w:right="1133" w:firstLine="480"/>
        <w:jc w:val="left"/>
      </w:pPr>
      <w:r>
        <w:rPr>
          <w:spacing w:val="-4"/>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Heading5"/>
        <w:spacing w:line="273" w:lineRule="auto"/>
        <w:ind w:right="1133" w:firstLine="480"/>
        <w:jc w:val="left"/>
      </w:pPr>
      <w:r>
        <w:rPr>
          <w:spacing w:val="-4"/>
        </w:rPr>
        <w:t>在编制财务报表时，管理层负责评估思创医惠公司的持续经营能力，披露与持续经营相关的事项（如</w:t>
      </w:r>
      <w:r>
        <w:rPr>
          <w:w w:val="100"/>
        </w:rPr>
        <w:t> </w:t>
      </w:r>
      <w:r>
        <w:rPr/>
        <w:t>适用），并运用持续经营假设，除非计划进行清算、终止运营或别无其他现实的选择。</w:t>
      </w:r>
    </w:p>
    <w:p>
      <w:pPr>
        <w:pStyle w:val="Heading5"/>
        <w:spacing w:line="273" w:lineRule="auto"/>
        <w:ind w:left="633" w:right="1133"/>
        <w:jc w:val="left"/>
      </w:pPr>
      <w:r>
        <w:rPr/>
        <w:t>思创医惠公司治理层（以下简称治理层）负责监督思创医惠公司的财务报告过程。</w:t>
      </w:r>
      <w:r>
        <w:rPr>
          <w:w w:val="100"/>
        </w:rPr>
        <w:t> </w:t>
      </w:r>
      <w:r>
        <w:rPr>
          <w:rFonts w:ascii="宋体" w:hAnsi="宋体" w:cs="宋体" w:eastAsia="宋体" w:hint="default"/>
          <w:b/>
          <w:bCs/>
        </w:rPr>
        <w:t>六、注册会计师对财务报表审计的责任</w:t>
      </w:r>
      <w:r>
        <w:rPr>
          <w:rFonts w:ascii="宋体" w:hAnsi="宋体" w:cs="宋体" w:eastAsia="宋体" w:hint="default"/>
          <w:b/>
          <w:bCs/>
          <w:w w:val="100"/>
        </w:rPr>
        <w:t> </w:t>
      </w:r>
      <w:r>
        <w:rPr>
          <w:spacing w:val="-4"/>
          <w:w w:val="100"/>
        </w:rPr>
        <w:t>我们的目标是对财务报表整体是否不存在由于舞弊或错误导致的重大错报获取合理保证，并出具包含</w:t>
      </w:r>
    </w:p>
    <w:p>
      <w:pPr>
        <w:pStyle w:val="Heading5"/>
        <w:spacing w:line="273" w:lineRule="auto"/>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5"/>
        <w:spacing w:line="240" w:lineRule="auto"/>
        <w:ind w:left="633" w:right="1133"/>
        <w:jc w:val="left"/>
      </w:pPr>
      <w:r>
        <w:rPr>
          <w:spacing w:val="-4"/>
        </w:rPr>
        <w:t>在按照审计准则执行审计工作的过程中，我们运用职业判断，并保持职业怀疑。同时，我们也执行以</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5"/>
        <w:spacing w:line="240" w:lineRule="auto" w:before="36"/>
        <w:ind w:right="1133"/>
        <w:jc w:val="left"/>
      </w:pPr>
      <w:r>
        <w:rPr/>
        <w:t>下工作：</w:t>
      </w:r>
    </w:p>
    <w:p>
      <w:pPr>
        <w:pStyle w:val="Heading5"/>
        <w:spacing w:line="273" w:lineRule="auto" w:before="37"/>
        <w:ind w:right="0" w:firstLine="48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5"/>
        <w:spacing w:line="284" w:lineRule="exact" w:before="0"/>
        <w:ind w:left="633"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9"/>
        </w:rPr>
        <w:t> </w:t>
      </w:r>
      <w:r>
        <w:rPr/>
        <w:t>了解与审计相关的内部控制，以设计恰当的审计程序</w:t>
      </w:r>
      <w:r>
        <w:rPr>
          <w:rFonts w:ascii="宋体" w:hAnsi="宋体" w:cs="宋体" w:eastAsia="宋体" w:hint="default"/>
          <w:i/>
          <w:sz w:val="22"/>
          <w:szCs w:val="22"/>
        </w:rPr>
        <w:t>，</w:t>
      </w:r>
      <w:r>
        <w:rPr/>
        <w:t>但目的并非对内部控制的有效性发表意</w:t>
      </w:r>
    </w:p>
    <w:p>
      <w:pPr>
        <w:pStyle w:val="Heading5"/>
        <w:spacing w:line="240" w:lineRule="auto" w:before="35"/>
        <w:ind w:right="1133"/>
        <w:jc w:val="left"/>
      </w:pPr>
      <w:r>
        <w:rPr/>
        <w:t>见。</w:t>
      </w:r>
    </w:p>
    <w:p>
      <w:pPr>
        <w:pStyle w:val="Heading5"/>
        <w:spacing w:line="240" w:lineRule="auto" w:before="37"/>
        <w:ind w:left="633" w:right="113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p>
    <w:p>
      <w:pPr>
        <w:pStyle w:val="Heading5"/>
        <w:spacing w:line="240" w:lineRule="auto" w:before="37"/>
        <w:ind w:left="633" w:right="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8"/>
        </w:rPr>
        <w:t> </w:t>
      </w:r>
      <w:r>
        <w:rPr/>
        <w:t>对管理层使用持续经营假设的恰当性得出结论。同时，根据获取的审计证据，就可能导致对思</w:t>
      </w:r>
    </w:p>
    <w:p>
      <w:pPr>
        <w:pStyle w:val="Heading5"/>
        <w:spacing w:line="273" w:lineRule="auto" w:before="37"/>
        <w:ind w:right="1126"/>
        <w:jc w:val="both"/>
      </w:pPr>
      <w:r>
        <w:rPr>
          <w:spacing w:val="-2"/>
        </w:rPr>
        <w:t>创医惠公司持续经营能力产生重大疑虑的事项或情况是否存在重大不确定性得出结论。如果我们得出结论</w:t>
      </w:r>
      <w:r>
        <w:rPr>
          <w:spacing w:val="-43"/>
        </w:rPr>
        <w:t> </w:t>
      </w:r>
      <w:r>
        <w:rPr>
          <w:spacing w:val="-43"/>
        </w:rPr>
      </w:r>
      <w:r>
        <w:rPr>
          <w:spacing w:val="-2"/>
        </w:rPr>
        <w:t>认为存在重大不确定性，审计准则要求我们在审计报告中提请报表使用者注意财务报表中的相关披露；如</w:t>
      </w:r>
      <w:r>
        <w:rPr>
          <w:spacing w:val="-43"/>
        </w:rPr>
        <w:t> </w:t>
      </w:r>
      <w:r>
        <w:rPr>
          <w:spacing w:val="-43"/>
        </w:rPr>
      </w:r>
      <w:r>
        <w:rPr>
          <w:spacing w:val="-2"/>
        </w:rPr>
        <w:t>果披露不充分，我们应当发表非无保留意见。我们的结论基于截至审计报告日可获得的信息。然而，未来</w:t>
      </w:r>
      <w:r>
        <w:rPr>
          <w:spacing w:val="-47"/>
        </w:rPr>
        <w:t> </w:t>
      </w:r>
      <w:r>
        <w:rPr>
          <w:spacing w:val="-47"/>
        </w:rPr>
      </w:r>
      <w:r>
        <w:rPr/>
        <w:t>的事项或情况可能导致思创医惠公司不能持续经营。</w:t>
      </w:r>
    </w:p>
    <w:p>
      <w:pPr>
        <w:pStyle w:val="Heading5"/>
        <w:spacing w:line="273" w:lineRule="auto"/>
        <w:ind w:right="1129"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6"/>
        </w:rPr>
        <w:t> </w:t>
      </w:r>
      <w:r>
        <w:rPr/>
        <w:t>评价财务报表的总体列报、结构和内容（包括披露），并评价财务报表是否公允反映相关交易</w:t>
      </w:r>
      <w:r>
        <w:rPr>
          <w:w w:val="100"/>
        </w:rPr>
        <w:t> </w:t>
      </w:r>
      <w:r>
        <w:rPr/>
        <w:t>和事项。</w:t>
      </w:r>
    </w:p>
    <w:p>
      <w:pPr>
        <w:pStyle w:val="Heading5"/>
        <w:spacing w:line="273" w:lineRule="auto"/>
        <w:ind w:right="1129" w:firstLine="480"/>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6"/>
        </w:rPr>
        <w:t> </w:t>
      </w:r>
      <w:r>
        <w:rPr/>
        <w:t>就思创医惠公司中实体或业务活动的财务信息获取充分、适当的审计证据，以对财务报表发表</w:t>
      </w:r>
      <w:r>
        <w:rPr>
          <w:w w:val="100"/>
        </w:rPr>
        <w:t> </w:t>
      </w:r>
      <w:r>
        <w:rPr/>
        <w:t>审计意见。我们负责指导、监督和执行集团审计，并对审计意见承担全部责任。</w:t>
      </w:r>
    </w:p>
    <w:p>
      <w:pPr>
        <w:pStyle w:val="Heading5"/>
        <w:spacing w:line="273" w:lineRule="auto"/>
        <w:ind w:right="1128" w:firstLine="480"/>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Heading5"/>
        <w:spacing w:line="273" w:lineRule="auto"/>
        <w:ind w:right="1126" w:firstLine="480"/>
        <w:jc w:val="both"/>
      </w:pPr>
      <w:r>
        <w:rPr>
          <w:spacing w:val="-4"/>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Heading5"/>
        <w:spacing w:line="273" w:lineRule="auto"/>
        <w:ind w:right="1126" w:firstLine="480"/>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6"/>
        <w:rPr>
          <w:rFonts w:ascii="宋体" w:hAnsi="宋体" w:cs="宋体" w:eastAsia="宋体" w:hint="default"/>
          <w:sz w:val="24"/>
          <w:szCs w:val="24"/>
        </w:rPr>
      </w:pPr>
    </w:p>
    <w:p>
      <w:pPr>
        <w:pStyle w:val="Heading5"/>
        <w:spacing w:line="240" w:lineRule="auto" w:before="0"/>
        <w:ind w:right="0"/>
        <w:jc w:val="both"/>
      </w:pPr>
      <w:r>
        <w:rPr/>
        <w:t>天健会计师事务所（特殊普通合伙）  </w:t>
      </w:r>
      <w:r>
        <w:rPr>
          <w:spacing w:val="102"/>
        </w:rPr>
        <w:t> </w:t>
      </w:r>
      <w:r>
        <w:rPr/>
        <w:t>中国注册会计师：胡彦龙</w:t>
      </w:r>
    </w:p>
    <w:p>
      <w:pPr>
        <w:pStyle w:val="Heading5"/>
        <w:spacing w:line="240" w:lineRule="auto" w:before="37"/>
        <w:ind w:left="573" w:right="1133"/>
        <w:jc w:val="left"/>
      </w:pPr>
      <w:r>
        <w:rPr/>
        <w:t>（项目合伙人）</w:t>
      </w:r>
    </w:p>
    <w:p>
      <w:pPr>
        <w:spacing w:line="240" w:lineRule="auto" w:before="9"/>
        <w:rPr>
          <w:rFonts w:ascii="宋体" w:hAnsi="宋体" w:cs="宋体" w:eastAsia="宋体" w:hint="default"/>
          <w:sz w:val="26"/>
          <w:szCs w:val="26"/>
        </w:rPr>
      </w:pPr>
    </w:p>
    <w:p>
      <w:pPr>
        <w:pStyle w:val="Heading5"/>
        <w:tabs>
          <w:tab w:pos="3936" w:val="left" w:leader="none"/>
        </w:tabs>
        <w:spacing w:line="544" w:lineRule="auto" w:before="0"/>
        <w:ind w:left="3933" w:right="4676" w:hanging="3361"/>
        <w:jc w:val="left"/>
      </w:pPr>
      <w:r>
        <w:rPr>
          <w:spacing w:val="-1"/>
        </w:rPr>
        <w:t>中国·杭州</w:t>
        <w:tab/>
        <w:tab/>
      </w:r>
      <w:r>
        <w:rPr>
          <w:spacing w:val="-2"/>
        </w:rPr>
        <w:t>中国注册会计师：徐莉丽</w:t>
      </w:r>
      <w:r>
        <w:rPr>
          <w:spacing w:val="-85"/>
        </w:rPr>
        <w:t> </w:t>
      </w:r>
      <w:r>
        <w:rPr>
          <w:spacing w:val="-85"/>
        </w:rPr>
      </w:r>
      <w:r>
        <w:rPr>
          <w:spacing w:val="-2"/>
        </w:rPr>
        <w:t>二〇一九年三月二十八日</w:t>
      </w:r>
    </w:p>
    <w:p>
      <w:pPr>
        <w:spacing w:after="0" w:line="544" w:lineRule="auto"/>
        <w:jc w:val="left"/>
        <w:sectPr>
          <w:pgSz w:w="11910" w:h="16840"/>
          <w:pgMar w:header="745" w:footer="979" w:top="104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编制单位：思创医惠科技股份有限公司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482,794,143.90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429,625,738.95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778,910,478.69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600,217,305.63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3,209,541.77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85,014.16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775,700,936.92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600,132,291.47</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74,086,541.01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32,566,952.85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82,292,806.84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45,855,054.73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246,776,678.36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276,587,305.45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8,871,365.10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15,160,396.71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1,673,732,013.90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1,400,012,754.32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144,293,265.00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111,512,200.00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53,659,554.80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324,840,817.49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169,244,019.48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64,326,422.31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25,719,710.03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300,292,739.88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349,058,241.06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20,133,141.32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5,821,946.87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82,307,697.36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98,363,602.73</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13,577,114.53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9,340,635.67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696,076,002.48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696,076,002.48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24,433,403.27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14,664,680.46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17,867,331.01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13,153,729.76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8,556,200.33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8,737,464.12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1,750,363,689.78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1,501,692,232.66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3,424,095,703.68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2,901,704,986.98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567,025,913.80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322,800,000.00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4,293,047.58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4,293,047.58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153,957,511.37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132,577,766.41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15,305,449.37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21,913,811.87</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49,781,747.29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39,417,081.82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70,945,146.01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73,083,204.25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25,736,158.45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22,971,280.51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3,407,792.13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636,667.82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95,935,080.00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982,980,053.87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657,056,192.44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192,948,000.00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343,662.00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1,126,984.12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2,222,222.22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194,394,484.12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132,565,884.22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1,177,374,537.99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789,622,076.66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807,885,334.00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807,885,334.00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800,302,155.78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800,169,321.78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-1,983,142.91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-2,743,229.73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72,600,033.72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72,020,866.99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513,136,506.47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384,785,003.30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2,191,940,887.06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2,062,117,296.34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54,780,278.63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49,965,613.98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2,246,721,165.69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2,112,082,910.32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3,424,095,703.68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2,901,704,986.98</w:t>
            </w:r>
          </w:p>
        </w:tc>
      </w:tr>
    </w:tbl>
    <w:p>
      <w:pPr>
        <w:spacing w:line="240" w:lineRule="auto" w:before="11"/>
        <w:rPr>
          <w:rFonts w:ascii="Times New Roman" w:hAnsi="Times New Roman" w:cs="Times New Roman" w:eastAsia="Times New Roman" w:hint="default"/>
          <w:sz w:val="22"/>
          <w:szCs w:val="22"/>
        </w:rPr>
      </w:pPr>
    </w:p>
    <w:p>
      <w:pPr>
        <w:pStyle w:val="BodyText"/>
        <w:tabs>
          <w:tab w:pos="3605" w:val="left" w:leader="none"/>
          <w:tab w:pos="7749" w:val="left" w:leader="none"/>
        </w:tabs>
        <w:spacing w:line="240" w:lineRule="auto" w:before="44"/>
        <w:ind w:left="0" w:right="1222"/>
        <w:jc w:val="right"/>
      </w:pPr>
      <w:r>
        <w:rPr/>
        <w:t>法定代表人：章笠中</w:t>
        <w:tab/>
      </w:r>
      <w:r>
        <w:rPr>
          <w:spacing w:val="-1"/>
        </w:rPr>
        <w:t>主管会计工作负责人：王凛</w:t>
        <w:tab/>
      </w:r>
      <w:r>
        <w:rPr/>
        <w:t>会计机构负责人：王凛</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219,178,400.63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41,579,758.21</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124,226,562.39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149,823,659.86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1,032,817.27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5,885.00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123,193,745.12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149,817,774.86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14,545,234.46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9,031,553.40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75,640,386.82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54,114,709.29</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31,890,464.72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32,906,966.40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1,681,556.79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6,082,569.31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467,162,605.81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293,539,216.47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91,211,900.00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68,312,000.00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160,888,222.35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151,718,992.35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1,862,788,880.88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1,714,127,341.70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45,060,161.60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5,635,146.31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35,847,719.37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70,287,712.13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344,582.42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13,098,668.85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2,779,929.25</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4,888,753.06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480,501.21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2,808,179.53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2,412,100.50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2,206,618,328.46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2,026,072,463.05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2,673,780,934.27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2,319,611,679.52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290,705,913.80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105,457,712.61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47,140,329.11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9,848,279.64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11,598,699.71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8,203,222.31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7,277,023.12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749,409.64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1,601,063.26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119,390,009.47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60,191,449.85</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3,157,594.07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478,343.41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95,935,080.00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630,289,627.47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337,808,565.05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192,948,000.00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192,948,000.00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823,237,627.47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467,808,565.05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807,885,334.00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807,885,334.00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807,814,903.09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800,301,463.25</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-96,534.78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-73,556.00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72,600,033.72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72,020,866.99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162,339,570.77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171,669,006.23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1,850,543,306.80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1,851,803,114.47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2,673,780,934.27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2,319,611,679.52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1,294,633,555.55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1,112,251,720.34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1,294,633,555.55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1,112,251,720.34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1,170,858,562.94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1,017,652,928.83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741,695,848.46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636,230,941.58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11,680,417.19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11,307,754.27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86,377,596.51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74,583,969.71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144,970,049.16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116,477,211.73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106,214,943.06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96,174,682.53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39,000,372.10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16,215,416.20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24,016,378.44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15,743,930.26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2,171,568.06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4,765,801.80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40,919,336.46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66,662,952.81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40,792,055.81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50,829,827.34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-1,618,189.74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16,269,597.88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-2,173,297.05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5,061,676.02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-8,301,882.37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285,194.95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162,928,493.92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153,681,529.31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761,124.84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3,223,682.40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1,511,797.82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1,147,770.46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162,177,820.94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155,757,441.25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21,213,151.51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24,582,632.77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140,964,669.43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131,174,808.48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140,964,669.43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131,174,808.48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143,472,605.91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130,262,340.03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-2,507,936.48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912,468.45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1,968,959.31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760,086.82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1,903,009.87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760,086.82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1,903,009.87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-456,427.72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783,065.60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2,359,437.59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-606,040.50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65,949.44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141,118,715.75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133,143,767.79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144,232,692.73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132,165,349.90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-3,113,976.98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978,417.89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bl>
    <w:p>
      <w:pPr>
        <w:pStyle w:val="BodyText"/>
        <w:tabs>
          <w:tab w:pos="3758" w:val="left" w:leader="none"/>
          <w:tab w:pos="7901" w:val="left" w:leader="none"/>
        </w:tabs>
        <w:spacing w:line="621" w:lineRule="auto" w:before="49"/>
        <w:ind w:right="1222"/>
        <w:jc w:val="left"/>
      </w:pPr>
      <w:r>
        <w:rPr/>
        <w:t>本期发生同一控制下企业合并的，被合并方在合并前实现的净利润为：元，上期被合并方实现的净利润为：元。 法定代表人：章笠中</w:t>
        <w:tab/>
      </w:r>
      <w:r>
        <w:rPr>
          <w:spacing w:val="-1"/>
        </w:rPr>
        <w:t>主管会计工作负责人：王凛</w:t>
        <w:tab/>
      </w:r>
      <w:r>
        <w:rPr/>
        <w:t>会计机构负责人：王凛</w:t>
      </w:r>
    </w:p>
    <w:p>
      <w:pPr>
        <w:pStyle w:val="Heading4"/>
        <w:spacing w:line="240" w:lineRule="auto" w:before="70"/>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356,548,202.90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408,983,708.32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281,858,794.21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295,449,842.73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2,229,352.92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4,288,514.46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32,476,647.55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30,684,974.74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22,551,758.45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27,908,969.26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20,766,812.84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21,557,405.64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21,103,283.87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23,603,025.46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19,726,849.15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13,191,896.44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3,325,043.17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5,243,852.35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9,689,168.68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9,631,321.78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5,847,982.00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4,797,400.00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34,440,274.82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42,530,105.34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-828,921.88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4,820,510.50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7,187.33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286,347.46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6,167,828.53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43,473,507.05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589,220.85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1,327,851.39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87,222.55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4,993,116.37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43,975,505.35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-798,550.91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-439,015.41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5,791,667.28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44,414,520.76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5,791,667.28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44,414,520.76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-456,427.72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-456,427.72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-456,427.72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5,768,688.50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43,958,093.04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1,158,444,430.57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1,145,142,321.20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68,129,828.79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81,677,278.36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44,809,480.16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40,938,176.85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1,271,383,739.52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1,267,757,776.41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677,000,217.22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603,485,771.01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281,514,786.58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244,050,743.97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106,867,140.36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99,413,114.46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208,252,071.87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137,119,428.68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1,273,634,216.03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1,084,069,058.12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-2,250,476.51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183,688,718.29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6,184,347.55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555,107.31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1,480,155.63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207,777.87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2,824,395.65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558,980.22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94,364,780.26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111,515,762.61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101,312,012.99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116,379,294.11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76,496,344.93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73,916,145.88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185,078,625.00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81,504,200.00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11,543,770.96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23,192,260.15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106,169,955.94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363,118,740.89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284,782,561.97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-261,806,727.90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-168,403,267.86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713,069,639.40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377,393,500.00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717,044,639.40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379,293,500.00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528,119,584.75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38,520,354.35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128,960,975.62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1,426,964.21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8,072,201.17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409,392,555.52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658,080,560.37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307,652,083.88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-278,787,060.37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-1,193,656.32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-1,529,129.31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42,401,223.15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-265,030,739.25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425,757,370.45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690,788,109.70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468,158,593.60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425,757,370.45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397,073,431.87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445,782,659.02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35,937,957.99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42,798,283.51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71,317,203.57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46,615,670.70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504,328,593.43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535,196,613.23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263,072,495.62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439,907,577.70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39,330,443.52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48,634,715.41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8,523,002.32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15,263,133.72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66,076,157.14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85,722,895.93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377,002,098.60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589,528,322.76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127,326,494.83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-54,331,709.53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6,184,347.55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4,666,112.14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35,269,196.70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50,725,247.29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1,260,791.19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87,781,870.85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111,642,168.29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129,256,665.51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168,294,318.91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11,263,748.32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17,462,882.89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164,899,900.00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69,312,000.00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283,663,648.32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298,574,882.89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-154,406,982.81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-130,280,563.98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436,749,639.40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451,749,639.40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31,589,534.50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125,598,870.38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18,165,745.61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259,755,280.11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443,598,870.38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191,994,359.29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-273,598,870.38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28,221.11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-273,620.07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164,942,092.42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-458,484,763.96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41,579,758.21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500,064,522.17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206,521,850.63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41,579,758.21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23"/>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25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92"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800,169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,321.78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-2,743,2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29.73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866.99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384,785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,003.30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613.98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2,112,0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800,169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,321.78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-2,743,2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29.73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866.99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384,785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,003.30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613.98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132,834</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760,086</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128,351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,503.17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4,814,6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64.65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134,638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,255.37</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760,086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143,472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-3,113,9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76.98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141,118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,715.75</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-7,791,3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45.16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11,166,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345.16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-7,791,3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45.16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7,791,3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45.16</w:t>
            </w: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-15,121,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102.74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-1,426,9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64.21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-15,968,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900.22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6.73</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936.01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-1,426,9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64.21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-15,968,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900.22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7,924,1</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79.16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-1,810,7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39.32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6,113,4</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39.84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800,302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-1,983,1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42.91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513,136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54,780,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278.63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2"/>
        <w:gridCol w:w="665"/>
        <w:gridCol w:w="679"/>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448,82</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5,186.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-4,646,2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39.60</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67,579,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414.91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371,170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,411.85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21,631,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742.05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33,355.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448,82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5,186.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-4,646,2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414.91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371,170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,411.85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21,631,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742.05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33,355.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3,518.1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1,903,0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13,614,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591.45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871.93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52,049,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555.22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1,903,0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130,262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,340.03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978,417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133,143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,767.79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-916,01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1,816,0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11.58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-916,01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-83,988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6,296.5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6,296.5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6,296.5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4,672,6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25,539,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442.46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30,212,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083.93</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800,169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-2,743,2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384,785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,003.30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613.98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82,910.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807,885,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334.00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800,301,4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63.25</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-73,556.0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72,020,86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6.99</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171,669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,006.23</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1,851,803</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,114.47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807,885,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334.00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800,301,4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63.25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-73,556.0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72,020,86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6.99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171,669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,006.23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1,851,803</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,114.47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-9,329,4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-1,259,80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7.67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-22,978.7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67.28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5,768,688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-15,121,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102.74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-14,541,9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36.01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6.73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936.01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-14,541,9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36.01</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807,885,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807,814,9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-96,534.7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72,600,03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162,339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1,850,543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,306.80</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31"/>
        <w:gridCol w:w="689"/>
        <w:gridCol w:w="665"/>
        <w:gridCol w:w="667"/>
        <w:gridCol w:w="665"/>
        <w:gridCol w:w="797"/>
        <w:gridCol w:w="797"/>
        <w:gridCol w:w="797"/>
        <w:gridCol w:w="800"/>
        <w:gridCol w:w="797"/>
        <w:gridCol w:w="677"/>
        <w:gridCol w:w="780"/>
      </w:tblGrid>
      <w:tr>
        <w:trPr>
          <w:trHeight w:val="206" w:hRule="exact"/>
        </w:trPr>
        <w:tc>
          <w:tcPr>
            <w:tcW w:w="1431" w:type="dxa"/>
            <w:vMerge w:val="restart"/>
            <w:tcBorders>
              <w:top w:val="single" w:sz="4" w:space="0" w:color="000000"/>
              <w:left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31" w:type="dxa"/>
            <w:vMerge/>
            <w:tcBorders>
              <w:left w:val="single" w:sz="4" w:space="0" w:color="000000"/>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31" w:type="dxa"/>
            <w:vMerge/>
            <w:tcBorders>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448,825,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186.00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1,158,738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,969.78</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382,871.7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67,579,41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243,902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,234.05</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1,919,428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,676.46</w:t>
            </w: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448,825,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186.00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1,158,738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,969.78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67,579,41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243,902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,234.05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1,919,428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,676.46</w:t>
            </w:r>
          </w:p>
        </w:tc>
      </w:tr>
      <w:tr>
        <w:trPr>
          <w:trHeight w:val="392"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359,060,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-358,437,</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506.53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-456,427.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-72,233,</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227.82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-67,625,5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61.99</w:t>
            </w: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43,958,09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3.04</w:t>
            </w: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-112,206,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296.50</w:t>
            </w: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4,441,452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4"/>
              <w:ind w:left="19" w:right="0"/>
              <w:jc w:val="center"/>
              <w:rPr>
                <w:rFonts w:ascii="Times New Roman" w:hAnsi="Times New Roman" w:cs="Times New Roman" w:eastAsia="Times New Roman" w:hint="default"/>
                <w:sz w:val="18"/>
                <w:szCs w:val="18"/>
              </w:rPr>
            </w:pPr>
            <w:r>
              <w:rPr>
                <w:rFonts w:ascii="Times New Roman"/>
                <w:sz w:val="18"/>
              </w:rPr>
              <w:t>-4,441,4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52.08</w:t>
            </w:r>
          </w:p>
        </w:tc>
        <w:tc>
          <w:tcPr>
            <w:tcW w:w="780" w:type="dxa"/>
            <w:vMerge w:val="restart"/>
            <w:tcBorders>
              <w:top w:val="single" w:sz="4" w:space="0" w:color="000000"/>
              <w:left w:val="single" w:sz="4" w:space="0" w:color="000000"/>
              <w:right w:val="single" w:sz="4" w:space="0" w:color="000000"/>
            </w:tcBorders>
          </w:tcPr>
          <w:p>
            <w:pPr/>
          </w:p>
        </w:tc>
      </w:tr>
      <w:tr>
        <w:trPr>
          <w:trHeight w:val="392"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6,296.5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-112,206,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296.50</w:t>
            </w:r>
          </w:p>
        </w:tc>
      </w:tr>
      <w:tr>
        <w:trPr>
          <w:trHeight w:val="703"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359,060,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-359,060,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148.00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1" w:right="0"/>
              <w:jc w:val="left"/>
              <w:rPr>
                <w:rFonts w:ascii="Times New Roman" w:hAnsi="Times New Roman" w:cs="Times New Roman" w:eastAsia="Times New Roman" w:hint="default"/>
                <w:sz w:val="18"/>
                <w:szCs w:val="18"/>
              </w:rPr>
            </w:pPr>
            <w:r>
              <w:rPr>
                <w:rFonts w:ascii="Times New Roman"/>
                <w:sz w:val="18"/>
              </w:rPr>
              <w:t>359,060,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-359,060,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1" w:right="0"/>
              <w:jc w:val="left"/>
              <w:rPr>
                <w:rFonts w:ascii="Times New Roman" w:hAnsi="Times New Roman" w:cs="Times New Roman" w:eastAsia="Times New Roman" w:hint="default"/>
                <w:sz w:val="18"/>
                <w:szCs w:val="18"/>
              </w:rPr>
            </w:pPr>
            <w:r>
              <w:rPr>
                <w:rFonts w:ascii="Times New Roman"/>
                <w:sz w:val="18"/>
              </w:rPr>
              <w:t>148.00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807,885,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800,301,4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72,020,86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171,669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,006.23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1,851,803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,114.47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0" w:firstLine="360"/>
        <w:jc w:val="left"/>
      </w:pPr>
      <w:r>
        <w:rPr>
          <w:spacing w:val="-4"/>
        </w:rPr>
        <w:t>思创医惠科技股份有限公司（以下简称公司或本公司）前身系原杭州中瑞思创科技有限公司（以下简称中瑞有限公司），</w:t>
      </w:r>
      <w:r>
        <w:rPr/>
        <w:t> </w:t>
      </w:r>
      <w:r>
        <w:rPr>
          <w:spacing w:val="-2"/>
        </w:rPr>
        <w:t>中瑞有限公司系由路楠、俞国骅共同投资设立，于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日在杭州市工商行政管理局登记注册，总部位于浙江省杭州</w:t>
      </w:r>
      <w:r>
        <w:rPr>
          <w:spacing w:val="-58"/>
        </w:rPr>
        <w:t> </w:t>
      </w:r>
      <w:r>
        <w:rPr>
          <w:spacing w:val="-58"/>
        </w:rPr>
      </w:r>
      <w:r>
        <w:rPr>
          <w:spacing w:val="-2"/>
        </w:rPr>
        <w:t>市。公司现持有统一社会信用代码为</w:t>
      </w:r>
      <w:r>
        <w:rPr>
          <w:rFonts w:ascii="Times New Roman" w:hAnsi="Times New Roman" w:cs="Times New Roman" w:eastAsia="Times New Roman" w:hint="default"/>
          <w:spacing w:val="-2"/>
        </w:rPr>
        <w:t>91330000754441902G</w:t>
      </w:r>
      <w:r>
        <w:rPr>
          <w:spacing w:val="-2"/>
        </w:rPr>
        <w:t>的营业执照，注册资本</w:t>
      </w:r>
      <w:r>
        <w:rPr>
          <w:rFonts w:ascii="Times New Roman" w:hAnsi="Times New Roman" w:cs="Times New Roman" w:eastAsia="Times New Roman" w:hint="default"/>
          <w:spacing w:val="-2"/>
        </w:rPr>
        <w:t>80,788.53</w:t>
      </w:r>
      <w:r>
        <w:rPr>
          <w:spacing w:val="-2"/>
        </w:rPr>
        <w:t>万元，股份总数</w:t>
      </w:r>
      <w:r>
        <w:rPr>
          <w:rFonts w:ascii="Times New Roman" w:hAnsi="Times New Roman" w:cs="Times New Roman" w:eastAsia="Times New Roman" w:hint="default"/>
          <w:spacing w:val="-2"/>
        </w:rPr>
        <w:t>80,788.53</w:t>
      </w:r>
      <w:r>
        <w:rPr>
          <w:spacing w:val="-2"/>
        </w:rPr>
        <w:t>万股（每</w:t>
      </w:r>
      <w:r>
        <w:rPr>
          <w:spacing w:val="-85"/>
        </w:rPr>
        <w:t> </w:t>
      </w:r>
      <w:r>
        <w:rPr>
          <w:spacing w:val="-85"/>
        </w:rPr>
      </w:r>
      <w:r>
        <w:rPr>
          <w:spacing w:val="-2"/>
        </w:rPr>
        <w:t>股面值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17,150.79</w:t>
      </w:r>
      <w:r>
        <w:rPr>
          <w:spacing w:val="-2"/>
        </w:rPr>
        <w:t>万股；无限售条件的流通股份：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63,637.74</w:t>
      </w:r>
      <w:r>
        <w:rPr>
          <w:spacing w:val="-2"/>
        </w:rPr>
        <w:t>万股。公司股票已</w:t>
      </w:r>
      <w:r>
        <w:rPr>
          <w:spacing w:val="-39"/>
        </w:rPr>
        <w:t> </w:t>
      </w:r>
      <w:r>
        <w:rPr>
          <w:spacing w:val="-39"/>
        </w:rPr>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日在深圳证券交易所挂牌交易。</w:t>
      </w:r>
    </w:p>
    <w:p>
      <w:pPr>
        <w:pStyle w:val="BodyText"/>
        <w:spacing w:line="316" w:lineRule="auto" w:before="9"/>
        <w:ind w:right="1133" w:firstLine="360"/>
        <w:jc w:val="left"/>
      </w:pPr>
      <w:r>
        <w:rPr>
          <w:spacing w:val="-2"/>
        </w:rPr>
        <w:t>本公司属于计算机、通信及其他电子设备制造业。经营范围：塑胶产品、电子产品、五金产品的制造、开发及销售；物</w:t>
      </w:r>
      <w:r>
        <w:rPr/>
        <w:t> 联网技术开发、技术应用推广服务，信息系统集成等。主要产品：防盗标签、医疗智能化产品等。</w:t>
      </w:r>
    </w:p>
    <w:p>
      <w:pPr>
        <w:pStyle w:val="BodyText"/>
        <w:spacing w:line="300" w:lineRule="auto" w:before="19"/>
        <w:ind w:left="513" w:right="1125"/>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日第四届第八次董事会批准对外报出。 </w:t>
      </w:r>
      <w:r>
        <w:rPr>
          <w:spacing w:val="-2"/>
        </w:rPr>
        <w:t>本公司将杭州思创汇联科技有限公司、杭州思越科技有限公司等</w:t>
      </w:r>
      <w:r>
        <w:rPr>
          <w:rFonts w:ascii="Times New Roman" w:hAnsi="Times New Roman" w:cs="Times New Roman" w:eastAsia="Times New Roman" w:hint="default"/>
          <w:spacing w:val="-2"/>
        </w:rPr>
        <w:t>41</w:t>
      </w:r>
      <w:r>
        <w:rPr>
          <w:spacing w:val="-2"/>
        </w:rPr>
        <w:t>家子公司纳入本期合并财务报表范围，情况详见本财</w:t>
      </w:r>
    </w:p>
    <w:p>
      <w:pPr>
        <w:pStyle w:val="BodyText"/>
        <w:spacing w:line="240" w:lineRule="auto" w:before="13"/>
        <w:ind w:right="1133"/>
        <w:jc w:val="left"/>
      </w:pPr>
      <w:r>
        <w:rPr/>
        <w:t>务报表附注合并范围的变更和在其他主体中的权益之说明。</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3" w:right="1133"/>
        <w:jc w:val="left"/>
      </w:pPr>
      <w:r>
        <w:rPr/>
        <w:t>本公司财务报表以持续经营为编制基础。</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after="0" w:line="240" w:lineRule="auto"/>
        <w:jc w:val="left"/>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60" w:lineRule="auto" w:before="29"/>
        <w:ind w:left="513" w:right="1125" w:hanging="361"/>
        <w:jc w:val="left"/>
      </w:pPr>
      <w:r>
        <w:rPr/>
        <w:t>具体会计政策和会计估计提示： </w:t>
      </w:r>
      <w:r>
        <w:rPr>
          <w:spacing w:val="-2"/>
        </w:rPr>
        <w:t>重要提示：本公司根据实际生产经营特点针对应收款项坏账准备计提、固定资产折旧、无形资产摊销、收入确认等交易</w:t>
      </w:r>
    </w:p>
    <w:p>
      <w:pPr>
        <w:pStyle w:val="BodyText"/>
        <w:spacing w:line="222" w:lineRule="exact"/>
        <w:ind w:right="0"/>
        <w:jc w:val="both"/>
      </w:pPr>
      <w:r>
        <w:rPr/>
        <w:t>或事项制定了具体会计政策和会计估计。</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5" w:firstLine="360"/>
        <w:jc w:val="left"/>
      </w:pPr>
      <w:r>
        <w:rPr>
          <w:spacing w:val="-2"/>
        </w:rPr>
        <w:t>本公司所编制的财务报表符合企业会计准则的要求，真实、完整地反映了公司的财务状况、经营成果和现金流量等有关</w:t>
      </w:r>
      <w:r>
        <w:rPr/>
        <w:t> 信息。</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3" w:right="1133" w:hanging="4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1034"/>
        <w:jc w:val="left"/>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441" w:right="1133" w:firstLine="1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非同一控制下企业合并的会计处理方法 </w:t>
      </w:r>
      <w:r>
        <w:rPr>
          <w:spacing w:val="-1"/>
        </w:rPr>
        <w:t>公司在购买日对合并成本大于合并中取得的被购买方可辨认净资产公允价值份额的差额，确认为商誉；如果合并成本小</w:t>
      </w:r>
    </w:p>
    <w:p>
      <w:pPr>
        <w:pStyle w:val="BodyText"/>
        <w:spacing w:line="319" w:lineRule="auto" w:before="31"/>
        <w:ind w:right="1132"/>
        <w:jc w:val="both"/>
      </w:pPr>
      <w:r>
        <w:rPr>
          <w:spacing w:val="-2"/>
        </w:rPr>
        <w:t>于合并中取得的被购买方可辨认净资产公允价值份额，首先对取得的被购买方各项可辨认资产、负债及或有负债的公允价值</w:t>
      </w:r>
      <w:r>
        <w:rPr>
          <w:spacing w:val="-63"/>
        </w:rPr>
        <w:t> </w:t>
      </w:r>
      <w:r>
        <w:rPr>
          <w:spacing w:val="-63"/>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316" w:lineRule="auto"/>
        <w:jc w:val="left"/>
        <w:sectPr>
          <w:footerReference w:type="default" r:id="rId16"/>
          <w:pgSz w:w="11910" w:h="16840"/>
          <w:pgMar w:footer="979" w:header="745"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5" w:firstLine="420"/>
        <w:jc w:val="both"/>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外币业务折算 外币交易在初始确认时，采用交易发生日的即期汇率折算为人民币金额。资产负债表日，外币货币性项目采用资产负</w:t>
      </w:r>
    </w:p>
    <w:p>
      <w:pPr>
        <w:pStyle w:val="BodyText"/>
        <w:spacing w:line="319" w:lineRule="auto" w:before="31"/>
        <w:ind w:right="1133"/>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300" w:lineRule="auto" w:before="17"/>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right="1125"/>
        <w:jc w:val="left"/>
      </w:pPr>
      <w:r>
        <w:rPr>
          <w:spacing w:val="-2"/>
        </w:rPr>
        <w:t>项目采用交易发生日的即期汇率折算；利润表中的收入和费用项目，采用交易发生日即期汇率的近似汇率折算。按照上述折</w:t>
      </w:r>
      <w:r>
        <w:rPr>
          <w:spacing w:val="-63"/>
        </w:rPr>
        <w:t> </w:t>
      </w:r>
      <w:r>
        <w:rPr>
          <w:spacing w:val="-63"/>
        </w:rPr>
      </w:r>
      <w:r>
        <w:rPr/>
        <w:t>算产生的外币财务报表折算差额，计入其他综合收益。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32"/>
        <w:ind w:right="1125"/>
        <w:jc w:val="left"/>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316" w:lineRule="auto" w:before="19"/>
        <w:ind w:right="1138"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BodyText"/>
        <w:spacing w:line="300" w:lineRule="auto" w:before="19"/>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16" w:lineRule="auto" w:before="31"/>
        <w:ind w:right="1125"/>
        <w:jc w:val="left"/>
      </w:pPr>
      <w:r>
        <w:rPr>
          <w:spacing w:val="-2"/>
        </w:rPr>
        <w:t>量；对于以公允价值计量且其变动计入当期损益的金融资产和金融负债，相关交易费用直接计入当期损益；对于其他类别的</w:t>
      </w:r>
      <w:r>
        <w:rPr>
          <w:spacing w:val="-62"/>
        </w:rPr>
        <w:t> </w:t>
      </w:r>
      <w:r>
        <w:rPr>
          <w:spacing w:val="-62"/>
        </w:rPr>
      </w:r>
      <w:r>
        <w:rPr/>
        <w:t>金融资产或金融负债，相关交易费用计入初始确认金额。</w:t>
      </w:r>
    </w:p>
    <w:p>
      <w:pPr>
        <w:pStyle w:val="BodyText"/>
        <w:spacing w:line="309" w:lineRule="auto" w:before="19"/>
        <w:ind w:right="1034" w:firstLine="420"/>
        <w:jc w:val="left"/>
      </w:pPr>
      <w:r>
        <w:rPr>
          <w:spacing w:val="-2"/>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58"/>
        </w:rPr>
        <w:t> </w:t>
      </w:r>
      <w:r>
        <w:rPr>
          <w:spacing w:val="-58"/>
        </w:rPr>
      </w:r>
      <w:r>
        <w:rPr/>
        <w:t>可靠计量的权益工具投资，以及与该权益工具挂钩并须通过交付该权益工具结算的衍生金融资产，按照成本计量。</w:t>
      </w:r>
    </w:p>
    <w:p>
      <w:pPr>
        <w:pStyle w:val="BodyText"/>
        <w:spacing w:line="302" w:lineRule="auto" w:before="25"/>
        <w:ind w:right="1126" w:firstLine="420"/>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7"/>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58"/>
        </w:rPr>
        <w:t> </w:t>
      </w:r>
      <w:r>
        <w:rPr>
          <w:spacing w:val="-58"/>
        </w:rPr>
      </w:r>
      <w:r>
        <w:rPr/>
        <w:t>的余额。</w:t>
      </w:r>
    </w:p>
    <w:p>
      <w:pPr>
        <w:pStyle w:val="BodyText"/>
        <w:spacing w:line="312" w:lineRule="auto" w:before="29"/>
        <w:ind w:right="1130"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6"/>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4"/>
        </w:rPr>
        <w:t> </w:t>
      </w:r>
      <w:r>
        <w:rPr>
          <w:spacing w:val="-64"/>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可供出售金融资产的公允价值变动计入其他综合收益；持有期间按实际利率法计算的利息，计入</w:t>
      </w:r>
    </w:p>
    <w:p>
      <w:pPr>
        <w:spacing w:after="0" w:line="312" w:lineRule="auto"/>
        <w:jc w:val="both"/>
        <w:sectPr>
          <w:footerReference w:type="default" r:id="rId17"/>
          <w:pgSz w:w="11910" w:h="16840"/>
          <w:pgMar w:footer="979" w:header="745" w:top="1040" w:bottom="1160" w:left="980" w:right="0"/>
          <w:pgNumType w:start="101"/>
        </w:sectPr>
      </w:pPr>
    </w:p>
    <w:p>
      <w:pPr>
        <w:spacing w:line="240" w:lineRule="auto" w:before="6"/>
        <w:rPr>
          <w:rFonts w:ascii="宋体" w:hAnsi="宋体" w:cs="宋体" w:eastAsia="宋体" w:hint="default"/>
          <w:sz w:val="26"/>
          <w:szCs w:val="26"/>
        </w:rPr>
      </w:pPr>
    </w:p>
    <w:p>
      <w:pPr>
        <w:pStyle w:val="BodyText"/>
        <w:spacing w:line="319" w:lineRule="auto" w:before="44"/>
        <w:ind w:right="1125"/>
        <w:jc w:val="left"/>
      </w:pPr>
      <w:r>
        <w:rPr>
          <w:spacing w:val="-2"/>
        </w:rPr>
        <w:t>投资收益；可供出售权益工具投资的现金股利，于被投资单位宣告发放股利时计入投资收益；处置时，将实际收到的金额与</w:t>
      </w:r>
      <w:r>
        <w:rPr>
          <w:spacing w:val="-64"/>
        </w:rPr>
        <w:t> </w:t>
      </w:r>
      <w:r>
        <w:rPr>
          <w:spacing w:val="-64"/>
        </w:rPr>
      </w:r>
      <w:r>
        <w:rPr/>
        <w:t>账面价值扣除原直接计入其他综合收益的公允价值变动累计额之后的差额确认为投资收益。</w:t>
      </w:r>
    </w:p>
    <w:p>
      <w:pPr>
        <w:pStyle w:val="BodyText"/>
        <w:spacing w:line="316" w:lineRule="auto" w:before="17"/>
        <w:ind w:right="1138"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00" w:lineRule="auto" w:before="19"/>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金融资产转移的确认依据和计量方法 公司已将金融资产所有权上几乎所有的风险和报酬转移给了转入方的，终止确认该金融资产；保留了金融资产所有权</w:t>
      </w:r>
    </w:p>
    <w:p>
      <w:pPr>
        <w:pStyle w:val="BodyText"/>
        <w:spacing w:line="309" w:lineRule="auto" w:before="31"/>
        <w:ind w:right="1034"/>
        <w:jc w:val="left"/>
      </w:pPr>
      <w:r>
        <w:rPr>
          <w:spacing w:val="-2"/>
        </w:rPr>
        <w:t>上几乎所有的风险和报酬的，继续确认所转移的金融资产，并将收到的对价确认为一项金融负债。公司既没有转移也没有保</w:t>
      </w:r>
      <w:r>
        <w:rPr>
          <w:spacing w:val="-63"/>
        </w:rPr>
        <w:t> </w:t>
      </w:r>
      <w:r>
        <w:rPr>
          <w:spacing w:val="-63"/>
        </w:rPr>
      </w:r>
      <w:r>
        <w:rPr>
          <w:spacing w:val="-2"/>
        </w:rPr>
        <w:t>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放弃了对该金融资产控制的，终止确认该金融资产；</w:t>
      </w:r>
      <w:r>
        <w:rPr>
          <w:spacing w:val="-89"/>
        </w:rPr>
        <w:t> </w:t>
      </w:r>
      <w:r>
        <w:rPr>
          <w:spacing w:val="-89"/>
        </w:rPr>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未放弃对该金融资产控制的，按照继续涉入所转移金融资产的程度确认有关金融资产，并相应确认有关负债。</w:t>
      </w:r>
    </w:p>
    <w:p>
      <w:pPr>
        <w:pStyle w:val="BodyText"/>
        <w:spacing w:line="309" w:lineRule="auto" w:before="5"/>
        <w:ind w:right="1128"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8"/>
        </w:rPr>
        <w:t> </w:t>
      </w:r>
      <w:r>
        <w:rPr/>
        <w:t>因 </w:t>
      </w:r>
      <w:r>
        <w:rPr>
          <w:spacing w:val="-2"/>
        </w:rPr>
        <w:t>转移而收到的对价，与原直接计入所有者权益的公允价值变动累计额之和。金融资产部分转移满足终止确认条件的，将所转</w:t>
      </w:r>
      <w:r>
        <w:rPr>
          <w:spacing w:val="-62"/>
        </w:rPr>
        <w:t> </w:t>
      </w:r>
      <w:r>
        <w:rPr>
          <w:spacing w:val="-62"/>
        </w:rPr>
      </w:r>
      <w:r>
        <w:rPr>
          <w:spacing w:val="-2"/>
        </w:rPr>
        <w:t>移金融资产整体的账面价值，在终止确认部分和未终止确认部分之间，按照各自的相对公允价值进行分摊，并将下列两项金</w:t>
      </w:r>
      <w:r>
        <w:rPr>
          <w:spacing w:val="-63"/>
        </w:rPr>
        <w:t> </w:t>
      </w:r>
      <w:r>
        <w:rPr>
          <w:spacing w:val="-63"/>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73" w:right="11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right="1133"/>
        <w:jc w:val="left"/>
      </w:pPr>
      <w:r>
        <w:rPr/>
        <w:t>值。公司将估值技术使用的输入值分以下层级，并依次使用：</w:t>
      </w:r>
    </w:p>
    <w:p>
      <w:pPr>
        <w:pStyle w:val="BodyText"/>
        <w:spacing w:line="240" w:lineRule="auto" w:before="76"/>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第一层次输入值是在计量日能够取得的相同资产或负债在活跃市场上未经调整的报价；</w:t>
      </w:r>
    </w:p>
    <w:p>
      <w:pPr>
        <w:pStyle w:val="BodyText"/>
        <w:spacing w:line="309" w:lineRule="auto" w:before="63"/>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2"/>
        <w:ind w:left="573"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金融资产的减值测试和减值准备计提方法</w:t>
      </w:r>
    </w:p>
    <w:p>
      <w:pPr>
        <w:pStyle w:val="BodyText"/>
        <w:spacing w:line="300" w:lineRule="auto" w:before="63"/>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4"/>
        </w:rPr>
        <w:t> </w:t>
      </w:r>
      <w:r>
        <w:rPr>
          <w:spacing w:val="-64"/>
        </w:rPr>
      </w:r>
      <w:r>
        <w:rPr>
          <w:spacing w:val="-2"/>
        </w:rPr>
        <w:t>生减值的金融资产（包括单项金额重大和不重大的金融资产），包括在具有类似信用风险特征的金融资产组合中再进行减值</w:t>
      </w:r>
      <w:r>
        <w:rPr>
          <w:spacing w:val="-65"/>
        </w:rPr>
        <w:t> </w:t>
      </w:r>
      <w:r>
        <w:rPr>
          <w:spacing w:val="-65"/>
        </w:rPr>
      </w:r>
      <w:r>
        <w:rPr/>
        <w:t>测试。测试结果表明其发生了减值的，根据其账面价值高于预计未来现金流量现值的差额确认减值损失。</w:t>
      </w:r>
    </w:p>
    <w:p>
      <w:pPr>
        <w:pStyle w:val="BodyText"/>
        <w:spacing w:line="240" w:lineRule="auto" w:before="22"/>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可供出售金融资产</w:t>
      </w:r>
    </w:p>
    <w:p>
      <w:pPr>
        <w:pStyle w:val="BodyText"/>
        <w:spacing w:line="240" w:lineRule="auto" w:before="63"/>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表明可供出售债务工具投资发生减值的客观证据包括：</w:t>
      </w:r>
    </w:p>
    <w:p>
      <w:pPr>
        <w:pStyle w:val="BodyText"/>
        <w:spacing w:line="240" w:lineRule="auto" w:before="63"/>
        <w:ind w:left="573" w:right="1133"/>
        <w:jc w:val="left"/>
      </w:pPr>
      <w:r>
        <w:rPr/>
        <w:t>①</w:t>
      </w:r>
      <w:r>
        <w:rPr>
          <w:spacing w:val="-18"/>
        </w:rPr>
        <w:t> </w:t>
      </w:r>
      <w:r>
        <w:rPr/>
        <w:t>债务人发生严重财务困难；</w:t>
      </w:r>
    </w:p>
    <w:p>
      <w:pPr>
        <w:pStyle w:val="BodyText"/>
        <w:spacing w:line="240" w:lineRule="auto" w:before="76"/>
        <w:ind w:left="573" w:right="1133"/>
        <w:jc w:val="left"/>
      </w:pPr>
      <w:r>
        <w:rPr/>
        <w:t>②</w:t>
      </w:r>
      <w:r>
        <w:rPr>
          <w:spacing w:val="-18"/>
        </w:rPr>
        <w:t> </w:t>
      </w:r>
      <w:r>
        <w:rPr/>
        <w:t>债务人违反了合同条款，如偿付利息或本金发生违约或逾期；</w:t>
      </w:r>
    </w:p>
    <w:p>
      <w:pPr>
        <w:pStyle w:val="BodyText"/>
        <w:spacing w:line="240" w:lineRule="auto" w:before="77"/>
        <w:ind w:left="573" w:right="1133"/>
        <w:jc w:val="left"/>
      </w:pPr>
      <w:r>
        <w:rPr/>
        <w:t>③</w:t>
      </w:r>
      <w:r>
        <w:rPr>
          <w:spacing w:val="-18"/>
        </w:rPr>
        <w:t> </w:t>
      </w:r>
      <w:r>
        <w:rPr/>
        <w:t>公司出于经济或法律等方面因素的考虑，对发生财务困难的债务人作出让步；</w:t>
      </w:r>
    </w:p>
    <w:p>
      <w:pPr>
        <w:pStyle w:val="BodyText"/>
        <w:spacing w:line="240" w:lineRule="auto" w:before="76"/>
        <w:ind w:left="573" w:right="1133"/>
        <w:jc w:val="left"/>
      </w:pPr>
      <w:r>
        <w:rPr/>
        <w:t>④</w:t>
      </w:r>
      <w:r>
        <w:rPr>
          <w:spacing w:val="-18"/>
        </w:rPr>
        <w:t> </w:t>
      </w:r>
      <w:r>
        <w:rPr/>
        <w:t>债务人很可能倒闭或进行其他财务重组；</w:t>
      </w:r>
    </w:p>
    <w:p>
      <w:pPr>
        <w:pStyle w:val="BodyText"/>
        <w:spacing w:line="240" w:lineRule="auto" w:before="76"/>
        <w:ind w:left="573" w:right="1133"/>
        <w:jc w:val="left"/>
      </w:pPr>
      <w:r>
        <w:rPr/>
        <w:t>⑤</w:t>
      </w:r>
      <w:r>
        <w:rPr>
          <w:spacing w:val="-18"/>
        </w:rPr>
        <w:t> </w:t>
      </w:r>
      <w:r>
        <w:rPr/>
        <w:t>因债务人发生重大财务困难，该债务工具无法在活跃市场继续交易；</w:t>
      </w:r>
    </w:p>
    <w:p>
      <w:pPr>
        <w:pStyle w:val="BodyText"/>
        <w:spacing w:line="240" w:lineRule="auto" w:before="76"/>
        <w:ind w:left="573" w:right="1133"/>
        <w:jc w:val="left"/>
      </w:pPr>
      <w:r>
        <w:rPr/>
        <w:t>⑥</w:t>
      </w:r>
      <w:r>
        <w:rPr>
          <w:spacing w:val="-18"/>
        </w:rPr>
        <w:t> </w:t>
      </w:r>
      <w:r>
        <w:rPr/>
        <w:t>其他表明可供出售债务工具已经发生减值的情况。</w:t>
      </w:r>
    </w:p>
    <w:p>
      <w:pPr>
        <w:pStyle w:val="BodyText"/>
        <w:spacing w:line="300" w:lineRule="auto" w:before="76"/>
        <w:ind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07" w:lineRule="auto" w:before="31"/>
        <w:ind w:right="1131" w:firstLine="420"/>
        <w:jc w:val="both"/>
      </w:pPr>
      <w:r>
        <w:rPr/>
        <w:t>本公司于资产负债表日对各项可供出售权益工具投资单独进行检查。对于以公允价值计量的权益工具投资，若其于资 </w:t>
      </w:r>
      <w:r>
        <w:rPr>
          <w:spacing w:val="-1"/>
        </w:rPr>
        <w:t>产负债表日的公允价值低于其成本超过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个月）的，则表明其发生减</w:t>
      </w:r>
      <w:r>
        <w:rPr>
          <w:spacing w:val="-60"/>
        </w:rPr>
        <w:t> </w:t>
      </w:r>
      <w:r>
        <w:rPr>
          <w:spacing w:val="-60"/>
        </w:rPr>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61"/>
        </w:rPr>
        <w:t> </w:t>
      </w:r>
      <w:r>
        <w:rPr>
          <w:spacing w:val="-61"/>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p>
    <w:p>
      <w:pPr>
        <w:spacing w:after="0" w:line="307" w:lineRule="auto"/>
        <w:jc w:val="both"/>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19" w:lineRule="auto" w:before="44"/>
        <w:ind w:right="0"/>
        <w:jc w:val="left"/>
      </w:pPr>
      <w:r>
        <w:rPr>
          <w:spacing w:val="-4"/>
        </w:rPr>
        <w:t>于以成本计量的权益工具投资，公司综合考虑被投资单位经营所处的技术、市场、经济或法律环境等是否发生重大不利变化，</w:t>
      </w:r>
      <w:r>
        <w:rPr>
          <w:spacing w:val="-44"/>
        </w:rPr>
        <w:t> </w:t>
      </w:r>
      <w:r>
        <w:rPr>
          <w:spacing w:val="-44"/>
        </w:rPr>
      </w:r>
      <w:r>
        <w:rPr/>
        <w:t>判断该权益工具是否发生减值。</w:t>
      </w:r>
    </w:p>
    <w:p>
      <w:pPr>
        <w:pStyle w:val="BodyText"/>
        <w:spacing w:line="316" w:lineRule="auto" w:before="17"/>
        <w:ind w:right="1125" w:firstLine="420"/>
        <w:jc w:val="left"/>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3"/>
        </w:rPr>
        <w:t> </w:t>
      </w:r>
      <w:r>
        <w:rPr>
          <w:spacing w:val="-63"/>
        </w:rPr>
      </w:r>
      <w:r>
        <w:rPr/>
        <w:t>直接计入其他综合收益。 </w:t>
      </w:r>
      <w:r>
        <w:rPr>
          <w:spacing w:val="-2"/>
        </w:rPr>
        <w:t>以成本计量的可供出售权益工具发生减值时，将该权益工具投资的账面价值，与按照类似金融资产当时市场收益率对未来现</w:t>
      </w:r>
      <w:r>
        <w:rPr>
          <w:spacing w:val="-64"/>
        </w:rPr>
        <w:t> </w:t>
      </w:r>
      <w:r>
        <w:rPr>
          <w:spacing w:val="-64"/>
        </w:rPr>
      </w:r>
      <w:r>
        <w:rPr/>
        <w:t>金流量折现确定的现值之间的差额，确认为减值损失，计入当期损益，发生的减值损失一经确认，不予转回。</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41"/>
        <w:gridCol w:w="5629"/>
      </w:tblGrid>
      <w:tr>
        <w:trPr>
          <w:trHeight w:val="403" w:hRule="exact"/>
        </w:trPr>
        <w:tc>
          <w:tcPr>
            <w:tcW w:w="3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3" w:hRule="exact"/>
        </w:trPr>
        <w:tc>
          <w:tcPr>
            <w:tcW w:w="3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 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4"/>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24"/>
              <w:jc w:val="righ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）防盗标签业务的账龄组合比例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年以内（含，下同）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）医疗智能化业务的账龄组合比例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年以内（含，下同）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4"/>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75"/>
        <w:gridCol w:w="7194"/>
      </w:tblGrid>
      <w:tr>
        <w:trPr>
          <w:trHeight w:val="71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5"/>
              <w:jc w:val="left"/>
              <w:rPr>
                <w:rFonts w:ascii="宋体" w:hAnsi="宋体" w:cs="宋体" w:eastAsia="宋体" w:hint="default"/>
                <w:sz w:val="18"/>
                <w:szCs w:val="18"/>
              </w:rPr>
            </w:pPr>
            <w:r>
              <w:rPr>
                <w:rFonts w:ascii="宋体" w:hAnsi="宋体" w:cs="宋体" w:eastAsia="宋体" w:hint="default"/>
                <w:sz w:val="18"/>
                <w:szCs w:val="18"/>
              </w:rPr>
              <w:t>应收账款的未来现金流量现值与以账龄为信用风险特征的应收款项组合的未来现金流量现 值存在显著差异。</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00" w:lineRule="auto" w:before="27"/>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 存货包括在日常活动中持有以备出售的产成品或商品、处在生产过程中的在产品、在生产过程或提供劳务过程中耗用</w:t>
      </w:r>
    </w:p>
    <w:p>
      <w:pPr>
        <w:pStyle w:val="BodyText"/>
        <w:spacing w:line="240" w:lineRule="auto" w:before="31"/>
        <w:ind w:right="1133"/>
        <w:jc w:val="left"/>
      </w:pPr>
      <w:r>
        <w:rPr/>
        <w:t>的材料和物料等。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存货可变现净值的确定依据</w:t>
      </w:r>
    </w:p>
    <w:p>
      <w:pPr>
        <w:pStyle w:val="BodyText"/>
        <w:spacing w:line="319" w:lineRule="auto" w:before="5"/>
        <w:ind w:right="1130" w:firstLine="420"/>
        <w:jc w:val="both"/>
      </w:pPr>
      <w:r>
        <w:rPr/>
        <w:t>资产负债表日，存货采用成本与可变现净值孰低计量，按照存货类别成本高于可变现净值的差额计提存货跌价准备。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3"/>
        </w:rPr>
        <w:t> </w:t>
      </w:r>
      <w:r>
        <w:rPr>
          <w:spacing w:val="-63"/>
        </w:rPr>
      </w:r>
      <w:r>
        <w:rPr/>
        <w:t>同价格的，分别确定其可变现净值，并与其对应的成本进行比较，分别确定存货跌价准备的计提或转回的金额。</w:t>
      </w:r>
    </w:p>
    <w:p>
      <w:pPr>
        <w:pStyle w:val="BodyText"/>
        <w:spacing w:line="300" w:lineRule="auto" w:before="17"/>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存货的盘存制度 存货的盘存制度为永续盘存制。</w:t>
      </w:r>
    </w:p>
    <w:p>
      <w:pPr>
        <w:pStyle w:val="BodyText"/>
        <w:spacing w:line="300" w:lineRule="auto" w:before="31"/>
        <w:ind w:left="573" w:right="760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低值易耗品和包装物的摊销方法 按照一次转销法进行摊销。</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10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共同控制、重要影响的判断 </w:t>
      </w:r>
      <w:r>
        <w:rPr>
          <w:spacing w:val="-1"/>
        </w:rPr>
        <w:t>按照相关约定对某项安排存在共有的控制，并且该安排的相关活动必须经过分享控制权的参与方一致同意后才能决策，</w:t>
      </w:r>
    </w:p>
    <w:p>
      <w:pPr>
        <w:pStyle w:val="BodyText"/>
        <w:spacing w:line="316" w:lineRule="auto" w:before="31"/>
        <w:ind w:right="1125"/>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投资成本的确定</w:t>
      </w:r>
    </w:p>
    <w:p>
      <w:pPr>
        <w:pStyle w:val="BodyText"/>
        <w:spacing w:line="312" w:lineRule="auto" w:before="63"/>
        <w:ind w:right="103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0" w:lineRule="auto" w:before="22"/>
        <w:ind w:right="1129"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1"/>
        </w:rPr>
        <w:t> </w:t>
      </w:r>
      <w:r>
        <w:rPr>
          <w:spacing w:val="-41"/>
        </w:rPr>
      </w:r>
      <w:r>
        <w:rPr>
          <w:spacing w:val="-2"/>
        </w:rPr>
        <w:t>净资产在最终控制方合并财务报表中的账面价值的份额确定初始投资成本。合并日长期股权投资的初始投资成本，与达到合</w:t>
      </w:r>
    </w:p>
    <w:p>
      <w:pPr>
        <w:spacing w:after="0" w:line="300" w:lineRule="auto"/>
        <w:jc w:val="both"/>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19" w:lineRule="auto" w:before="44"/>
        <w:ind w:right="1125"/>
        <w:jc w:val="left"/>
      </w:pP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17"/>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1133"/>
        <w:jc w:val="left"/>
      </w:pPr>
      <w:r>
        <w:rPr/>
        <w:t>会计处理：</w:t>
      </w:r>
    </w:p>
    <w:p>
      <w:pPr>
        <w:pStyle w:val="BodyText"/>
        <w:spacing w:line="240" w:lineRule="auto" w:before="7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在个别财务报表中，按照原持有的股权投资的账面价值加上新增投资成本之和，作为改按成本法核算的初始投资成</w:t>
      </w:r>
    </w:p>
    <w:p>
      <w:pPr>
        <w:pStyle w:val="BodyText"/>
        <w:spacing w:line="240" w:lineRule="auto" w:before="63"/>
        <w:ind w:right="1133"/>
        <w:jc w:val="left"/>
      </w:pPr>
      <w:r>
        <w:rPr/>
        <w:t>本。</w:t>
      </w:r>
    </w:p>
    <w:p>
      <w:pPr>
        <w:pStyle w:val="BodyText"/>
        <w:spacing w:line="240" w:lineRule="auto" w:before="76"/>
        <w:ind w:left="5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132"/>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4"/>
        </w:rPr>
        <w:t> </w:t>
      </w:r>
      <w:r>
        <w:rPr>
          <w:spacing w:val="-44"/>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3"/>
        <w:ind w:right="1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1"/>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3"/>
        </w:rPr>
        <w:t> </w:t>
      </w:r>
      <w:r>
        <w:rPr>
          <w:spacing w:val="-83"/>
        </w:rPr>
      </w:r>
      <w:r>
        <w:rPr/>
        <w:t>成本。</w:t>
      </w:r>
    </w:p>
    <w:p>
      <w:pPr>
        <w:pStyle w:val="BodyText"/>
        <w:spacing w:line="309" w:lineRule="auto" w:before="31"/>
        <w:ind w:left="573" w:right="1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通过多次交易分步处置对子公司投资至丧失控制权的处理方法</w:t>
      </w:r>
    </w:p>
    <w:p>
      <w:pPr>
        <w:pStyle w:val="BodyText"/>
        <w:spacing w:line="300" w:lineRule="auto" w:before="5"/>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right="1131"/>
        <w:jc w:val="both"/>
      </w:pPr>
      <w:r>
        <w:rPr>
          <w:spacing w:val="-2"/>
        </w:rPr>
        <w:t>响或者与其他方一起实施共同控制的，转为权益法核算；不能再对被投资单位实施控制、共同控制或重大影响的，确认为金</w:t>
      </w:r>
      <w:r>
        <w:rPr>
          <w:spacing w:val="-64"/>
        </w:rPr>
        <w:t> </w:t>
      </w:r>
      <w:r>
        <w:rPr>
          <w:spacing w:val="-64"/>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9" w:lineRule="exact"/>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00" w:lineRule="auto" w:before="63"/>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1133" w:hanging="421"/>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6"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00" w:lineRule="auto" w:before="19"/>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9" w:lineRule="auto" w:before="31"/>
        <w:ind w:right="1133"/>
        <w:jc w:val="both"/>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投资性房地产计量模式 成本法计量 折旧或摊销方法</w:t>
      </w:r>
    </w:p>
    <w:p>
      <w:pPr>
        <w:pStyle w:val="BodyText"/>
        <w:spacing w:line="240" w:lineRule="auto" w:before="25"/>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投资性房地产包括已出租的土地使用权、持有并准备增值后转让的土地使用权和已出租的建筑物。</w:t>
      </w:r>
    </w:p>
    <w:p>
      <w:pPr>
        <w:pStyle w:val="BodyText"/>
        <w:spacing w:line="300" w:lineRule="auto" w:before="62"/>
        <w:ind w:right="113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投资性房地产按照成本进行初始计量，采用成本模式进行后续计量，并采用与固定资产和无形资产相同的方法计提 折旧或进行摊销。</w:t>
      </w:r>
    </w:p>
    <w:p>
      <w:pPr>
        <w:spacing w:after="0" w:line="300" w:lineRule="auto"/>
        <w:jc w:val="both"/>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16</w:t>
      </w:r>
      <w:r>
        <w:rPr/>
        <w:t>、固定资产</w:t>
      </w:r>
      <w:r>
        <w:rPr>
          <w:b w:val="0"/>
          <w:bCs w:val="0"/>
        </w:rPr>
      </w:r>
    </w:p>
    <w:p>
      <w:pPr>
        <w:pStyle w:val="BodyText"/>
        <w:spacing w:line="590" w:lineRule="atLeast" w:before="6"/>
        <w:ind w:left="513" w:right="112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2"/>
        </w:rPr>
        <w:t>固定资产是指为生产商品、提供劳务、出租或经营管理而持有的，使用年限超过一个会计年度的有形资产。固定资产在</w:t>
      </w:r>
    </w:p>
    <w:p>
      <w:pPr>
        <w:pStyle w:val="BodyText"/>
        <w:spacing w:line="240" w:lineRule="auto" w:before="76"/>
        <w:ind w:right="1133"/>
        <w:jc w:val="left"/>
      </w:pPr>
      <w:r>
        <w:rPr/>
        <w:t>同时满足经济利益很可能流入、成本能够可靠计量时予以确认。</w:t>
      </w:r>
    </w:p>
    <w:p>
      <w:pPr>
        <w:spacing w:line="240" w:lineRule="auto" w:before="0"/>
        <w:rPr>
          <w:rFonts w:ascii="宋体" w:hAnsi="宋体" w:cs="宋体" w:eastAsia="宋体" w:hint="default"/>
          <w:sz w:val="18"/>
          <w:szCs w:val="18"/>
        </w:rPr>
      </w:pPr>
    </w:p>
    <w:p>
      <w:pPr>
        <w:spacing w:before="143"/>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）折旧方法</w:t>
      </w:r>
      <w:r>
        <w:rPr>
          <w:rFonts w:ascii="宋体" w:hAnsi="宋体" w:cs="宋体" w:eastAsia="宋体" w:hint="default"/>
          <w:sz w:val="18"/>
          <w:szCs w:val="18"/>
        </w:rPr>
      </w:r>
    </w:p>
    <w:p>
      <w:pPr>
        <w:spacing w:line="240" w:lineRule="auto" w:before="1"/>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31.66-19.00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31.66-9.50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00" w:lineRule="auto" w:before="27"/>
        <w:ind w:right="1132" w:firstLine="360"/>
        <w:jc w:val="left"/>
      </w:pPr>
      <w:r>
        <w:rPr>
          <w:rFonts w:ascii="Times New Roman" w:hAnsi="Times New Roman" w:cs="Times New Roman" w:eastAsia="Times New Roman" w:hint="default"/>
          <w:spacing w:val="-1"/>
        </w:rPr>
        <w:t>1.</w:t>
      </w:r>
      <w:r>
        <w:rPr>
          <w:spacing w:val="-1"/>
        </w:rPr>
        <w:t>在建工程同时满足经济利益很可能流入、成本能够可靠计量则予以确认。在建工程按建造该项资产达到预定可使用状</w:t>
      </w:r>
      <w:r>
        <w:rPr/>
        <w:t> 态前所发生的实际成本计量。</w:t>
      </w:r>
    </w:p>
    <w:p>
      <w:pPr>
        <w:pStyle w:val="BodyText"/>
        <w:spacing w:line="300" w:lineRule="auto" w:before="31"/>
        <w:ind w:right="1125" w:firstLine="360"/>
        <w:jc w:val="left"/>
      </w:pPr>
      <w:r>
        <w:rPr>
          <w:rFonts w:ascii="Times New Roman" w:hAnsi="Times New Roman" w:cs="Times New Roman" w:eastAsia="Times New Roman" w:hint="default"/>
          <w:spacing w:val="-1"/>
        </w:rPr>
        <w:t>2.</w:t>
      </w:r>
      <w:r>
        <w:rPr>
          <w:spacing w:val="-1"/>
        </w:rPr>
        <w:t>在建工程达到预定可使用状态时，按工程实际成本转入固定资产。已达到预定可使用状态但尚未办理竣工决算的，先</w:t>
      </w:r>
      <w:r>
        <w:rPr/>
        <w:t> 按估计价值转入固定资产，待办理竣工决算后再按实际成本调整原暂估价值，但不再调整原已计提的折旧。</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1133"/>
        <w:jc w:val="left"/>
      </w:pPr>
      <w:r>
        <w:rPr/>
        <w:t>他借款费用，在发生时确认为费用，计入当期损益。</w:t>
      </w:r>
    </w:p>
    <w:p>
      <w:pPr>
        <w:pStyle w:val="BodyText"/>
        <w:spacing w:line="240" w:lineRule="auto" w:before="76"/>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借款费用资本化期间</w:t>
      </w:r>
    </w:p>
    <w:p>
      <w:pPr>
        <w:pStyle w:val="BodyText"/>
        <w:spacing w:line="300" w:lineRule="auto" w:before="63"/>
        <w:ind w:right="1133"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为使资产达到预</w:t>
      </w:r>
      <w:r>
        <w:rPr>
          <w:w w:val="99"/>
        </w:rPr>
        <w:t> </w:t>
      </w:r>
      <w:r>
        <w:rPr/>
        <w:t>定可使用或可销售状态所必要的购建或者生产活动已经开始。</w:t>
      </w:r>
    </w:p>
    <w:p>
      <w:pPr>
        <w:pStyle w:val="BodyText"/>
        <w:spacing w:line="300" w:lineRule="auto" w:before="31"/>
        <w:ind w:right="113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p>
    <w:p>
      <w:pPr>
        <w:pStyle w:val="BodyText"/>
        <w:spacing w:line="314" w:lineRule="auto" w:before="63"/>
        <w:ind w:right="1034"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借款费用资本化率以及资本化金额 </w:t>
      </w:r>
      <w:r>
        <w:rPr>
          <w:spacing w:val="-2"/>
        </w:rPr>
        <w:t>为购建或者生产符合资本化条件的资产而借入专门借款的，以专门借款当期实际发生的利息费用（包括按照实际利率法确定</w:t>
      </w:r>
      <w:r>
        <w:rPr>
          <w:spacing w:val="-64"/>
        </w:rPr>
        <w:t> </w:t>
      </w:r>
      <w:r>
        <w:rPr>
          <w:spacing w:val="-64"/>
        </w:rPr>
      </w:r>
      <w:r>
        <w:rPr/>
        <w:t>的折价或溢价的摊销），减去将尚未动用的借款资金存入银行取得的利息收入或进行暂时性投资取得的投资收益后的金额，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资产支出加权平均数乘以占用一般借款的资本化率，计算确定一般借款应予资本化的利息金额。</w:t>
      </w:r>
    </w:p>
    <w:p>
      <w:pPr>
        <w:spacing w:after="0" w:line="314"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1133"/>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3"/>
        <w:ind w:right="1133"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506" w:type="dxa"/>
        <w:tblLayout w:type="fixed"/>
        <w:tblCellMar>
          <w:top w:w="0" w:type="dxa"/>
          <w:left w:w="0" w:type="dxa"/>
          <w:bottom w:w="0" w:type="dxa"/>
          <w:right w:w="0" w:type="dxa"/>
        </w:tblCellMar>
        <w:tblLook w:val="01E0"/>
      </w:tblPr>
      <w:tblGrid>
        <w:gridCol w:w="2336"/>
        <w:gridCol w:w="2268"/>
      </w:tblGrid>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6"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5-10</w:t>
            </w:r>
          </w:p>
        </w:tc>
      </w:tr>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r>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专有技术、专利及商标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w:t>
            </w:r>
          </w:p>
        </w:tc>
      </w:tr>
    </w:tbl>
    <w:p>
      <w:pPr>
        <w:spacing w:line="240" w:lineRule="auto" w:before="13"/>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037" w:firstLine="336"/>
        <w:jc w:val="left"/>
      </w:pPr>
      <w:r>
        <w:rPr>
          <w:spacing w:val="-3"/>
        </w:rPr>
        <w:t>内部研究开发项目研究阶段的支出，于发生时计入当期损益。内部研究开发项目开发阶段的支出，同时满足下列条件的，</w:t>
      </w:r>
      <w:r>
        <w:rPr/>
        <w:t> 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具有完成该无形资产并使用或出售 的意图；</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无形资产产生经济利益的方式，包括能够证明运用该无形资产生产的产品存在市场或无形资产自身存在市场， 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有足够的技术、财务资源和其他资源支持，以完成该无形资产的开发，并 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归属于该无形资产开发阶段的支出能够可靠地计量。公司将软件开发立项之前的前期调 查探索支出作为研究阶段支出，将立项之后与业务项目有关的支出作为开发阶段支出。</w:t>
      </w:r>
    </w:p>
    <w:p>
      <w:pPr>
        <w:spacing w:line="240" w:lineRule="auto" w:before="6"/>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420"/>
        <w:jc w:val="both"/>
      </w:pPr>
      <w:r>
        <w:rPr>
          <w:spacing w:val="-1"/>
        </w:rPr>
        <w:t>对长期股权投资、采用成本模式计量的投资性房地产、固定资产、在建工程、使用寿命有限的无形资产等长期资产</w:t>
      </w:r>
      <w:r>
        <w:rPr>
          <w:rFonts w:ascii="Times New Roman" w:hAnsi="Times New Roman" w:cs="Times New Roman" w:eastAsia="Times New Roman" w:hint="default"/>
          <w:spacing w:val="-1"/>
        </w:rPr>
        <w:t>,</w:t>
      </w:r>
      <w:r>
        <w:rPr>
          <w:spacing w:val="-1"/>
        </w:rPr>
        <w:t>在</w:t>
      </w:r>
      <w:r>
        <w:rPr/>
        <w:t> </w:t>
      </w:r>
      <w:r>
        <w:rPr>
          <w:spacing w:val="-2"/>
        </w:rPr>
        <w:t>资产负债表日有迹象表明发生减值的，估计其可收回金额。对因企业合并所形成的商誉和使用寿命不确定的无形资产，无论</w:t>
      </w:r>
      <w:r>
        <w:rPr>
          <w:spacing w:val="-65"/>
        </w:rPr>
        <w:t> </w:t>
      </w:r>
      <w:r>
        <w:rPr>
          <w:spacing w:val="-65"/>
        </w:rPr>
      </w:r>
      <w:r>
        <w:rPr/>
        <w:t>是否存在减值迹象，每年都进行减值测试。商誉结合与其相关的资产组或者资产组组合进行减值测试。</w:t>
      </w:r>
    </w:p>
    <w:p>
      <w:pPr>
        <w:pStyle w:val="BodyText"/>
        <w:spacing w:line="240" w:lineRule="auto" w:before="24"/>
        <w:ind w:left="441" w:right="1133"/>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3"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4"/>
        </w:rPr>
        <w:t> </w:t>
      </w:r>
      <w:r>
        <w:rPr>
          <w:spacing w:val="-64"/>
        </w:rPr>
      </w:r>
      <w:r>
        <w:rPr/>
        <w:t>转入当期损益。</w:t>
      </w:r>
    </w:p>
    <w:p>
      <w:pPr>
        <w:spacing w:line="240" w:lineRule="auto" w:before="3"/>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在职工为公司提供服务的会计期间，将实际发生的短期薪酬确认为负债，并计入当期损益或相关资产成本。</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1133"/>
        <w:jc w:val="left"/>
      </w:pPr>
      <w:r>
        <w:rPr/>
        <w:t>离职后福利分为设定提存计划和设定受益计划。</w:t>
      </w:r>
    </w:p>
    <w:p>
      <w:pPr>
        <w:pStyle w:val="BodyText"/>
        <w:spacing w:line="300" w:lineRule="auto" w:before="76"/>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09" w:lineRule="auto" w:before="24"/>
        <w:ind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312" w:lineRule="auto" w:before="25"/>
        <w:ind w:right="11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1"/>
        <w:rPr>
          <w:rFonts w:ascii="宋体" w:hAnsi="宋体" w:cs="宋体" w:eastAsia="宋体" w:hint="default"/>
          <w:sz w:val="23"/>
          <w:szCs w:val="23"/>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firstLine="420"/>
        <w:jc w:val="both"/>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6"/>
        </w:rPr>
        <w:t> </w:t>
      </w:r>
      <w:r>
        <w:rPr/>
        <w:t>公司不能单方面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公司确认与涉及支付辞退福利的重组相关的成本或费用时。</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20"/>
        <w:jc w:val="left"/>
      </w:pPr>
      <w:r>
        <w:rPr/>
        <w:t>向职工提供的其他长期福利，符合设定提存计划条件的，按照设定提存计划的有关规定进行会计处理；除此之外的其 </w:t>
      </w:r>
      <w:r>
        <w:rPr>
          <w:spacing w:val="-4"/>
        </w:rPr>
        <w:t>他长期福利，按照设定受益计划的有关规定进行会计处理，为简化相关会计处理，将其产生的职工薪酬成本确认为服务成本、</w:t>
      </w:r>
      <w:r>
        <w:rPr>
          <w:spacing w:val="-44"/>
        </w:rPr>
        <w:t> </w:t>
      </w:r>
      <w:r>
        <w:rPr>
          <w:spacing w:val="-44"/>
        </w:rPr>
      </w:r>
      <w:r>
        <w:rPr/>
        <w:t>其他长期职工福利净负债或净资产的利息净额以及重新计量其他长期职工福利净负债或净资产所产生的变动等组成项目的</w:t>
      </w:r>
      <w:r>
        <w:rPr>
          <w:spacing w:val="-11"/>
        </w:rPr>
        <w:t> </w:t>
      </w:r>
      <w:r>
        <w:rPr>
          <w:spacing w:val="-11"/>
        </w:rPr>
      </w:r>
      <w:r>
        <w:rPr/>
        <w:t>总净额计入当期损益或相关资产成本。</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5"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1"/>
        <w:ind w:right="1135"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公司按照履行相关现时义务所需支出的最佳估计数对预计负债进行初始计量，并在资产负债表日对预计负债的账面 价值进行复核。</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240" w:lineRule="auto" w:before="29"/>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收入确认原则</w:t>
      </w:r>
    </w:p>
    <w:p>
      <w:pPr>
        <w:spacing w:after="0" w:line="2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00" w:lineRule="auto" w:before="63"/>
        <w:ind w:right="1129"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相关的已发生或将发生的成本能够可靠地计量。</w:t>
      </w:r>
    </w:p>
    <w:p>
      <w:pPr>
        <w:pStyle w:val="BodyText"/>
        <w:spacing w:line="300" w:lineRule="auto" w:before="13"/>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提供劳务</w:t>
      </w:r>
      <w:r>
        <w:rPr>
          <w:w w:val="99"/>
        </w:rPr>
        <w:t> </w:t>
      </w:r>
      <w:r>
        <w:rPr/>
        <w:t>提供劳务交易的结果在资产负债表日能够可靠估计的（同时满足收入的金额能够可靠地计量、相关经济利益很可能流</w:t>
      </w:r>
    </w:p>
    <w:p>
      <w:pPr>
        <w:pStyle w:val="BodyText"/>
        <w:spacing w:line="314" w:lineRule="auto" w:before="31"/>
        <w:ind w:right="1130"/>
        <w:jc w:val="both"/>
      </w:pPr>
      <w:r>
        <w:rPr>
          <w:spacing w:val="-2"/>
        </w:rPr>
        <w:t>入、交易的完工进度能够可靠地确定、交易中已发生和将发生的成本能够可靠地计量），采用完工百分比法确认提供劳务的</w:t>
      </w:r>
      <w:r>
        <w:rPr>
          <w:spacing w:val="-64"/>
        </w:rPr>
        <w:t> </w:t>
      </w:r>
      <w:r>
        <w:rPr>
          <w:spacing w:val="-64"/>
        </w:rPr>
      </w:r>
      <w:r>
        <w:rPr/>
        <w:t>收入，并按已经提供劳务占应提供劳务总量的比例</w:t>
      </w:r>
      <w:r>
        <w:rPr>
          <w:rFonts w:ascii="Times New Roman" w:hAnsi="Times New Roman" w:cs="Times New Roman" w:eastAsia="Times New Roman" w:hint="default"/>
        </w:rPr>
        <w:t>/</w:t>
      </w:r>
      <w:r>
        <w:rPr/>
        <w:t>已经发生的成本占估计总成本的比例确定提供劳务交易的完工进度。提</w:t>
      </w:r>
      <w:r>
        <w:rPr>
          <w:spacing w:val="-48"/>
        </w:rPr>
        <w:t> </w:t>
      </w:r>
      <w:r>
        <w:rPr>
          <w:spacing w:val="-48"/>
        </w:rPr>
      </w:r>
      <w:r>
        <w:rPr>
          <w:spacing w:val="-2"/>
        </w:rPr>
        <w:t>供劳务交易的结果在资产负债表日不能够可靠估计的，若已经发生的劳务成本预计能够得到补偿，按已经发生的劳务成本金</w:t>
      </w:r>
      <w:r>
        <w:rPr>
          <w:spacing w:val="-64"/>
        </w:rPr>
        <w:t> </w:t>
      </w:r>
      <w:r>
        <w:rPr>
          <w:spacing w:val="-64"/>
        </w:rPr>
      </w:r>
      <w:r>
        <w:rPr>
          <w:spacing w:val="-2"/>
        </w:rPr>
        <w:t>额确认提供劳务收入，并按相同金额结转劳务成本；若已经发生的劳务成本预计不能够得到补偿，将已经发生的劳务成本计</w:t>
      </w:r>
      <w:r>
        <w:rPr>
          <w:spacing w:val="-63"/>
        </w:rPr>
        <w:t> </w:t>
      </w:r>
      <w:r>
        <w:rPr>
          <w:spacing w:val="-63"/>
        </w:rPr>
      </w:r>
      <w:r>
        <w:rPr/>
        <w:t>入当期损益，不确认劳务收入。</w:t>
      </w:r>
    </w:p>
    <w:p>
      <w:pPr>
        <w:pStyle w:val="BodyText"/>
        <w:spacing w:line="300" w:lineRule="auto" w:before="20"/>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right="1131"/>
        <w:jc w:val="both"/>
      </w:pPr>
      <w:r>
        <w:rPr>
          <w:spacing w:val="-2"/>
        </w:rPr>
        <w:t>息收入按照他人使用本公司货币资金的时间和实际利率计算确定；使用费收入按有关合同或协议约定的收费时间和方法计算</w:t>
      </w:r>
      <w:r>
        <w:rPr>
          <w:spacing w:val="-63"/>
        </w:rPr>
        <w:t> </w:t>
      </w:r>
      <w:r>
        <w:rPr>
          <w:spacing w:val="-63"/>
        </w:rPr>
      </w:r>
      <w:r>
        <w:rPr/>
        <w:t>确定。</w:t>
      </w:r>
    </w:p>
    <w:p>
      <w:pPr>
        <w:pStyle w:val="BodyText"/>
        <w:spacing w:line="240" w:lineRule="auto" w:before="19"/>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收入确认的具体方法</w:t>
      </w:r>
    </w:p>
    <w:p>
      <w:pPr>
        <w:pStyle w:val="BodyText"/>
        <w:spacing w:line="240" w:lineRule="auto" w:before="63"/>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防盗标签业务的具体收入确认方法：</w:t>
      </w:r>
    </w:p>
    <w:p>
      <w:pPr>
        <w:pStyle w:val="BodyText"/>
        <w:spacing w:line="300" w:lineRule="auto" w:before="63"/>
        <w:ind w:left="573" w:right="15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国外销售 一般采用</w:t>
      </w:r>
      <w:r>
        <w:rPr>
          <w:rFonts w:ascii="Times New Roman" w:hAnsi="Times New Roman" w:cs="Times New Roman" w:eastAsia="Times New Roman" w:hint="default"/>
        </w:rPr>
        <w:t>FOB</w:t>
      </w:r>
      <w:r>
        <w:rPr/>
        <w:t>模式，在货物报关出口后，由买方负责接运货物，一般在货物向海关报关出口并装船后确认收入。 </w:t>
      </w: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国内销售</w:t>
      </w:r>
    </w:p>
    <w:p>
      <w:pPr>
        <w:pStyle w:val="BodyText"/>
        <w:spacing w:line="240" w:lineRule="auto" w:before="13"/>
        <w:ind w:left="573" w:right="1133"/>
        <w:jc w:val="left"/>
      </w:pPr>
      <w:r>
        <w:rPr/>
        <w:t>一般由本公司负责运输，在货物运到买方指定地点并由买方验收后确认收入。</w:t>
      </w:r>
    </w:p>
    <w:p>
      <w:pPr>
        <w:pStyle w:val="BodyText"/>
        <w:spacing w:line="240" w:lineRule="auto" w:before="76"/>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医疗智能化业务的具体收入确认方法：</w:t>
      </w:r>
    </w:p>
    <w:p>
      <w:pPr>
        <w:pStyle w:val="BodyText"/>
        <w:spacing w:line="300" w:lineRule="auto" w:before="63"/>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销售商品 在销售具体业务中，本公司按照销售合同约定的交货期委托运输单位将货物运至买方指定交货地点，经客户对货物验</w:t>
      </w:r>
    </w:p>
    <w:p>
      <w:pPr>
        <w:pStyle w:val="BodyText"/>
        <w:spacing w:line="240" w:lineRule="auto" w:before="31"/>
        <w:ind w:right="0"/>
        <w:jc w:val="both"/>
      </w:pPr>
      <w:r>
        <w:rPr/>
        <w:t>收无误并在收货单签字后确认收入。</w:t>
      </w:r>
    </w:p>
    <w:p>
      <w:pPr>
        <w:pStyle w:val="BodyText"/>
        <w:spacing w:line="300" w:lineRule="auto" w:before="76"/>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智慧医疗管理信息与软件的开发和服务</w:t>
      </w:r>
      <w:r>
        <w:rPr>
          <w:w w:val="99"/>
        </w:rPr>
        <w:t> </w:t>
      </w:r>
      <w:r>
        <w:rPr/>
        <w:t>该类业务主要包括电子病历软件、医疗信息集成平台软件等的开发与服务，按照提供劳务的确认原则，采用完工百分</w:t>
      </w:r>
    </w:p>
    <w:p>
      <w:pPr>
        <w:pStyle w:val="BodyText"/>
        <w:spacing w:line="316" w:lineRule="auto" w:before="31"/>
        <w:ind w:right="1132"/>
        <w:jc w:val="both"/>
      </w:pPr>
      <w:r>
        <w:rPr>
          <w:spacing w:val="-2"/>
        </w:rPr>
        <w:t>比法确认收入，并根据已经提供劳务占应提供劳务总量的比例确定提供劳务交易的完工进度。具体流程：将项目分为项目启</w:t>
      </w:r>
      <w:r>
        <w:rPr>
          <w:spacing w:val="-66"/>
        </w:rPr>
        <w:t> </w:t>
      </w:r>
      <w:r>
        <w:rPr>
          <w:spacing w:val="-66"/>
        </w:rPr>
      </w:r>
      <w:r>
        <w:rPr>
          <w:spacing w:val="-2"/>
        </w:rPr>
        <w:t>动会、试点上线、正式上线、项目验收四个阶段，根据各阶段完成的劳务量比例计算项目整体加权完工进度，并取得客户确</w:t>
      </w:r>
      <w:r>
        <w:rPr>
          <w:spacing w:val="-65"/>
        </w:rPr>
        <w:t> </w:t>
      </w:r>
      <w:r>
        <w:rPr>
          <w:spacing w:val="-65"/>
        </w:rPr>
      </w:r>
      <w:r>
        <w:rPr/>
        <w:t>认单作为确认完工进度的依据。</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42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公司能够收到政府补助。政 </w:t>
      </w:r>
      <w:r>
        <w:rPr>
          <w:spacing w:val="-2"/>
        </w:rPr>
        <w:t>府补助为货币性资产的，按照收到或应收的金额计量。政府补助为非货币性资产的，按照公允价值计量；公允价值不能可靠</w:t>
      </w:r>
      <w:r>
        <w:rPr>
          <w:spacing w:val="-65"/>
        </w:rPr>
        <w:t> </w:t>
      </w:r>
      <w:r>
        <w:rPr>
          <w:spacing w:val="-65"/>
        </w:rPr>
      </w:r>
      <w:r>
        <w:rPr/>
        <w:t>取得的，按照名义金额计量。</w:t>
      </w:r>
    </w:p>
    <w:p>
      <w:pPr>
        <w:pStyle w:val="BodyText"/>
        <w:spacing w:line="300" w:lineRule="auto" w:before="22"/>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与资产相关的政府补助判断依据及会计处理方法 政府文件规定用于购建或以其他方式形成长期资产的政府补助划分为与资产相关的政府补助。政府文件不明确的，以</w:t>
      </w:r>
    </w:p>
    <w:p>
      <w:pPr>
        <w:pStyle w:val="BodyText"/>
        <w:spacing w:line="316" w:lineRule="auto" w:before="31"/>
        <w:ind w:right="1130"/>
        <w:jc w:val="both"/>
      </w:pPr>
      <w:r>
        <w:rPr/>
        <w:t>取得该补助必须具备的基本条件为基础进行判断，以购建或其他方式形成长期资产为基本条件的作为与资产相关的政府补</w:t>
      </w:r>
      <w:r>
        <w:rPr>
          <w:spacing w:val="-11"/>
        </w:rPr>
        <w:t> </w:t>
      </w:r>
      <w:r>
        <w:rPr>
          <w:spacing w:val="-11"/>
        </w:rPr>
      </w:r>
      <w:r>
        <w:rPr>
          <w:spacing w:val="-2"/>
        </w:rPr>
        <w:t>助。与资产相关的政府补助，冲减相关资产的账面价值或确认为递延收益。与资产相关的政府补助确认为递延收益的，在相</w:t>
      </w:r>
      <w:r>
        <w:rPr>
          <w:spacing w:val="-64"/>
        </w:rPr>
        <w:t> </w:t>
      </w:r>
      <w:r>
        <w:rPr>
          <w:spacing w:val="-64"/>
        </w:rPr>
      </w:r>
      <w:r>
        <w:rPr>
          <w:spacing w:val="-2"/>
        </w:rPr>
        <w:t>关资产使用寿命内按照合理、系统的方法分期计入损益。按照名义金额计量的政府补助，直接计入当期损益。相关资产在使</w:t>
      </w:r>
      <w:r>
        <w:rPr>
          <w:spacing w:val="-65"/>
        </w:rPr>
        <w:t> </w:t>
      </w:r>
      <w:r>
        <w:rPr>
          <w:spacing w:val="-65"/>
        </w:rPr>
      </w:r>
      <w:r>
        <w:rPr/>
        <w:t>用寿命结束前被出售、转让、报废或发生毁损的，将尚未分配的相关递延收益余额转入资产处置当期的损益。</w:t>
      </w:r>
    </w:p>
    <w:p>
      <w:pPr>
        <w:pStyle w:val="BodyText"/>
        <w:spacing w:line="300" w:lineRule="auto" w:before="19"/>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与收益相关的政府补助判断依据及会计处理方法 除与资产相关的政府补助之外的政府补助划分为与收益相关的政府补助。对于同时包含与资产相关部分和与收益相关</w:t>
      </w:r>
    </w:p>
    <w:p>
      <w:pPr>
        <w:spacing w:after="0" w:line="30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19" w:lineRule="auto" w:before="44"/>
        <w:ind w:right="1131"/>
        <w:jc w:val="both"/>
      </w:pPr>
      <w:r>
        <w:rPr>
          <w:spacing w:val="-2"/>
        </w:rPr>
        <w:t>部分的政府补助，难以区分与资产相关或与收益相关的，整体归类为与收益相关的政府补助。与收益相关的政府补助，用于</w:t>
      </w:r>
      <w:r>
        <w:rPr>
          <w:spacing w:val="-64"/>
        </w:rPr>
        <w:t> </w:t>
      </w:r>
      <w:r>
        <w:rPr>
          <w:spacing w:val="-64"/>
        </w:rPr>
      </w:r>
      <w:r>
        <w:rPr>
          <w:spacing w:val="-2"/>
        </w:rPr>
        <w:t>补偿以后期间的相关成本费用或损失的，确认为递延收益，在确认相关成本费用或损失的期间，计入当期损益或冲减相关成</w:t>
      </w:r>
      <w:r>
        <w:rPr>
          <w:spacing w:val="-64"/>
        </w:rPr>
        <w:t> </w:t>
      </w:r>
      <w:r>
        <w:rPr>
          <w:spacing w:val="-64"/>
        </w:rPr>
      </w:r>
      <w:r>
        <w:rPr/>
        <w:t>本；用于补偿已发生的相关成本费用或损失的，直接计入当期损益或冲减相关成本。</w:t>
      </w:r>
    </w:p>
    <w:p>
      <w:pPr>
        <w:pStyle w:val="BodyText"/>
        <w:spacing w:line="300" w:lineRule="auto" w:before="17"/>
        <w:ind w:right="1135"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与公司日常经营活动相关的政府补助，按照经济业务实质，计入其他收益或冲减相关成本费用。与公司日常活动无 关的政府补助，计入营业外收支。</w:t>
      </w:r>
    </w:p>
    <w:p>
      <w:pPr>
        <w:pStyle w:val="BodyText"/>
        <w:spacing w:line="240" w:lineRule="auto" w:before="31"/>
        <w:ind w:left="573"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政策性优惠贷款贴息的会计处理方法</w:t>
      </w:r>
    </w:p>
    <w:p>
      <w:pPr>
        <w:pStyle w:val="BodyText"/>
        <w:spacing w:line="300" w:lineRule="auto" w:before="63"/>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财政将贴息资金拨付给贷款银行，由贷款银行以政策性优惠利率向公司提供贷款的，以实际收到的借款金额作为借</w:t>
      </w:r>
      <w:r>
        <w:rPr>
          <w:w w:val="99"/>
        </w:rPr>
        <w:t> </w:t>
      </w:r>
      <w:r>
        <w:rPr/>
        <w:t>款的入账价值，按照借款本金和该政策性优惠利率计算相关借款费用。</w:t>
      </w:r>
    </w:p>
    <w:p>
      <w:pPr>
        <w:pStyle w:val="BodyText"/>
        <w:spacing w:line="240" w:lineRule="auto" w:before="31"/>
        <w:ind w:left="441"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财政将贴息资金直接拨付给公司的，将对应的贴息冲减相关借款费用。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3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24"/>
        <w:ind w:right="113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35"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31"/>
        <w:ind w:right="1126" w:firstLine="420"/>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2"/>
        </w:rPr>
        <w:t>企业合 </w:t>
      </w:r>
      <w:r>
        <w:rPr/>
        <w:t>并；</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直接在所有者权益中确认的交易或者事项。</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420"/>
        <w:jc w:val="both"/>
      </w:pPr>
      <w:r>
        <w:rPr>
          <w:spacing w:val="-2"/>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right="1138" w:firstLine="420"/>
        <w:jc w:val="both"/>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1" w:firstLine="420"/>
        <w:jc w:val="both"/>
      </w:pPr>
      <w:r>
        <w:rPr/>
        <w:t>公司为承租人时，在租赁期开始日，公司以租赁开始日租赁资产公允价值与最低租赁付款额现值中两者较低者作为租 </w:t>
      </w:r>
      <w:r>
        <w:rPr>
          <w:spacing w:val="-2"/>
        </w:rPr>
        <w:t>入资产的入账价值，将最低租赁付款额作为长期应付款的入账价值，其差额为未确认融资费用，发生的初始直接费用，计入</w:t>
      </w:r>
      <w:r>
        <w:rPr>
          <w:spacing w:val="-64"/>
        </w:rPr>
        <w:t> </w:t>
      </w:r>
      <w:r>
        <w:rPr>
          <w:spacing w:val="-64"/>
        </w:rPr>
      </w:r>
      <w:r>
        <w:rPr/>
        <w:t>租赁资产价值。在租赁期各个期间，采用实际利率法计算确认当期的融资费用。</w:t>
      </w:r>
    </w:p>
    <w:p>
      <w:pPr>
        <w:pStyle w:val="BodyText"/>
        <w:spacing w:line="316" w:lineRule="auto" w:before="17"/>
        <w:ind w:right="1133" w:firstLine="420"/>
        <w:jc w:val="both"/>
      </w:pPr>
      <w:r>
        <w:rPr/>
        <w:t>公司为出租人时，在租赁期开始日，公司以租赁开始日最低租赁收款额与初始直接费用之和作为应收融资租赁款的入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after="0" w:line="316" w:lineRule="auto"/>
        <w:jc w:val="both"/>
        <w:sectPr>
          <w:footerReference w:type="default" r:id="rId18"/>
          <w:pgSz w:w="11910" w:h="16840"/>
          <w:pgMar w:footer="979" w:header="745" w:top="1040" w:bottom="1160" w:left="980" w:right="0"/>
          <w:pgNumType w:start="11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企业财务报表格式调整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第四届董事会第八次会议《关于会计政 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披露索引：巨潮资讯网：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pStyle w:val="BodyText"/>
        <w:spacing w:line="300" w:lineRule="auto" w:before="8"/>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及其解读和企业会 </w:t>
      </w:r>
      <w:r>
        <w:rPr>
          <w:spacing w:val="-2"/>
        </w:rPr>
        <w:t>计准则的要求编制</w:t>
      </w:r>
      <w:r>
        <w:rPr>
          <w:rFonts w:ascii="Times New Roman" w:hAnsi="Times New Roman" w:cs="Times New Roman" w:eastAsia="Times New Roman" w:hint="default"/>
          <w:spacing w:val="-2"/>
        </w:rPr>
        <w:t>2018</w:t>
      </w:r>
      <w:r>
        <w:rPr>
          <w:spacing w:val="-2"/>
        </w:rPr>
        <w:t>年度财务报表，此项会计政策变更采用追溯调整法。</w:t>
      </w:r>
      <w:r>
        <w:rPr>
          <w:rFonts w:ascii="Times New Roman" w:hAnsi="Times New Roman" w:cs="Times New Roman" w:eastAsia="Times New Roman" w:hint="default"/>
          <w:spacing w:val="-2"/>
        </w:rPr>
        <w:t>2018</w:t>
      </w:r>
      <w:r>
        <w:rPr>
          <w:spacing w:val="-2"/>
        </w:rPr>
        <w:t>年度财务报表可比数据受重要影响的报表项</w:t>
      </w:r>
      <w:r>
        <w:rPr>
          <w:spacing w:val="-59"/>
        </w:rPr>
        <w:t> </w:t>
      </w:r>
      <w:r>
        <w:rPr>
          <w:spacing w:val="-59"/>
        </w:rPr>
      </w:r>
      <w:r>
        <w:rPr/>
        <w:t>目和金额如下：</w:t>
      </w:r>
    </w:p>
    <w:tbl>
      <w:tblPr>
        <w:tblW w:w="0" w:type="auto"/>
        <w:jc w:val="left"/>
        <w:tblInd w:w="145" w:type="dxa"/>
        <w:tblLayout w:type="fixed"/>
        <w:tblCellMar>
          <w:top w:w="0" w:type="dxa"/>
          <w:left w:w="0" w:type="dxa"/>
          <w:bottom w:w="0" w:type="dxa"/>
          <w:right w:w="0" w:type="dxa"/>
        </w:tblCellMar>
        <w:tblLook w:val="01E0"/>
      </w:tblPr>
      <w:tblGrid>
        <w:gridCol w:w="2268"/>
        <w:gridCol w:w="2093"/>
        <w:gridCol w:w="2158"/>
        <w:gridCol w:w="2005"/>
      </w:tblGrid>
      <w:tr>
        <w:trPr>
          <w:trHeight w:val="348" w:hRule="exact"/>
        </w:trPr>
        <w:tc>
          <w:tcPr>
            <w:tcW w:w="43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3"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85,014.16</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60"/>
              <w:ind w:left="862" w:right="0"/>
              <w:jc w:val="left"/>
              <w:rPr>
                <w:rFonts w:ascii="Times New Roman" w:hAnsi="Times New Roman" w:cs="Times New Roman" w:eastAsia="Times New Roman" w:hint="default"/>
                <w:sz w:val="18"/>
                <w:szCs w:val="18"/>
              </w:rPr>
            </w:pPr>
            <w:r>
              <w:rPr>
                <w:rFonts w:ascii="Times New Roman"/>
                <w:sz w:val="18"/>
              </w:rPr>
              <w:t>600,217,305.63</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600,132,291.47</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62"/>
              <w:ind w:left="953" w:right="0"/>
              <w:jc w:val="left"/>
              <w:rPr>
                <w:rFonts w:ascii="Times New Roman" w:hAnsi="Times New Roman" w:cs="Times New Roman" w:eastAsia="Times New Roman" w:hint="default"/>
                <w:sz w:val="18"/>
                <w:szCs w:val="18"/>
              </w:rPr>
            </w:pPr>
            <w:r>
              <w:rPr>
                <w:rFonts w:ascii="Times New Roman"/>
                <w:sz w:val="18"/>
              </w:rPr>
              <w:t>45,855,054.73</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tcBorders>
              <w:left w:val="single" w:sz="6" w:space="0" w:color="000000"/>
              <w:right w:val="single" w:sz="6" w:space="0" w:color="000000"/>
            </w:tcBorders>
          </w:tcPr>
          <w:p>
            <w:pPr/>
          </w:p>
        </w:tc>
        <w:tc>
          <w:tcPr>
            <w:tcW w:w="2005"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45,855,054.73</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152,900.28</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60"/>
              <w:ind w:left="862" w:right="0"/>
              <w:jc w:val="left"/>
              <w:rPr>
                <w:rFonts w:ascii="Times New Roman" w:hAnsi="Times New Roman" w:cs="Times New Roman" w:eastAsia="Times New Roman" w:hint="default"/>
                <w:sz w:val="18"/>
                <w:szCs w:val="18"/>
              </w:rPr>
            </w:pPr>
            <w:r>
              <w:rPr>
                <w:rFonts w:ascii="Times New Roman"/>
                <w:sz w:val="18"/>
              </w:rPr>
              <w:t>132,577,766.41</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132,424,866.13</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636,667.82</w:t>
            </w:r>
          </w:p>
        </w:tc>
        <w:tc>
          <w:tcPr>
            <w:tcW w:w="215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5" w:type="dxa"/>
            <w:vMerge w:val="restart"/>
            <w:tcBorders>
              <w:top w:val="single" w:sz="6" w:space="0" w:color="000000"/>
              <w:left w:val="single" w:sz="6" w:space="0" w:color="000000"/>
              <w:right w:val="single" w:sz="6" w:space="0" w:color="000000"/>
            </w:tcBorders>
          </w:tcPr>
          <w:p>
            <w:pPr>
              <w:pStyle w:val="TableParagraph"/>
              <w:spacing w:line="240" w:lineRule="auto" w:before="62"/>
              <w:ind w:left="953" w:right="0"/>
              <w:jc w:val="left"/>
              <w:rPr>
                <w:rFonts w:ascii="Times New Roman" w:hAnsi="Times New Roman" w:cs="Times New Roman" w:eastAsia="Times New Roman" w:hint="default"/>
                <w:sz w:val="18"/>
                <w:szCs w:val="18"/>
              </w:rPr>
            </w:pPr>
            <w:r>
              <w:rPr>
                <w:rFonts w:ascii="Times New Roman"/>
                <w:sz w:val="18"/>
              </w:rPr>
              <w:t>22,971,280.51</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2158" w:type="dxa"/>
            <w:vMerge/>
            <w:tcBorders>
              <w:left w:val="single" w:sz="6" w:space="0" w:color="000000"/>
              <w:right w:val="single" w:sz="6" w:space="0" w:color="000000"/>
            </w:tcBorders>
          </w:tcPr>
          <w:p>
            <w:pPr/>
          </w:p>
        </w:tc>
        <w:tc>
          <w:tcPr>
            <w:tcW w:w="2005"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22,334,612.69</w:t>
            </w:r>
          </w:p>
        </w:tc>
        <w:tc>
          <w:tcPr>
            <w:tcW w:w="2158" w:type="dxa"/>
            <w:vMerge/>
            <w:tcBorders>
              <w:left w:val="single" w:sz="6"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93" w:type="dxa"/>
            <w:vMerge w:val="restart"/>
            <w:tcBorders>
              <w:top w:val="single" w:sz="6" w:space="0" w:color="000000"/>
              <w:left w:val="single" w:sz="6" w:space="0" w:color="000000"/>
              <w:right w:val="single" w:sz="6" w:space="0" w:color="000000"/>
            </w:tcBorders>
          </w:tcPr>
          <w:p>
            <w:pPr>
              <w:pStyle w:val="TableParagraph"/>
              <w:spacing w:line="240" w:lineRule="auto" w:before="60"/>
              <w:ind w:left="953" w:right="0"/>
              <w:jc w:val="left"/>
              <w:rPr>
                <w:rFonts w:ascii="Times New Roman" w:hAnsi="Times New Roman" w:cs="Times New Roman" w:eastAsia="Times New Roman" w:hint="default"/>
                <w:sz w:val="18"/>
                <w:szCs w:val="18"/>
              </w:rPr>
            </w:pPr>
            <w:r>
              <w:rPr>
                <w:rFonts w:ascii="Times New Roman"/>
                <w:sz w:val="18"/>
              </w:rPr>
              <w:t>212,651,894.26</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116,477,211.73</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093" w:type="dxa"/>
            <w:vMerge/>
            <w:tcBorders>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96,174,682.53</w:t>
            </w:r>
          </w:p>
        </w:tc>
      </w:tr>
    </w:tbl>
    <w:p>
      <w:pPr>
        <w:pStyle w:val="BodyText"/>
        <w:spacing w:line="300" w:lineRule="auto" w:before="31"/>
        <w:ind w:right="1131" w:firstLine="420"/>
        <w:jc w:val="both"/>
      </w:pPr>
      <w:r>
        <w:rPr>
          <w:rFonts w:ascii="Times New Roman" w:hAnsi="Times New Roman" w:cs="Times New Roman" w:eastAsia="Times New Roman" w:hint="default"/>
        </w:rPr>
        <w:t>2. </w:t>
      </w:r>
      <w:r>
        <w:rPr>
          <w:spacing w:val="-2"/>
        </w:rPr>
        <w:t>财政部于</w:t>
      </w:r>
      <w:r>
        <w:rPr>
          <w:rFonts w:ascii="Times New Roman" w:hAnsi="Times New Roman" w:cs="Times New Roman" w:eastAsia="Times New Roman" w:hint="default"/>
          <w:spacing w:val="-2"/>
        </w:rPr>
        <w:t>2017</w:t>
      </w:r>
      <w:r>
        <w:rPr>
          <w:spacing w:val="-2"/>
        </w:rPr>
        <w:t>年度颁布了《企业会计准则解释第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关于权益法下投资净损失的会计处理》《企业会计准则解释</w:t>
      </w:r>
      <w:r>
        <w:rPr/>
        <w:t> </w:t>
      </w:r>
      <w:r>
        <w:rPr>
          <w:spacing w:val="-2"/>
        </w:rPr>
        <w:t>第</w:t>
      </w:r>
      <w:r>
        <w:rPr>
          <w:rFonts w:ascii="Times New Roman" w:hAnsi="Times New Roman" w:cs="Times New Roman" w:eastAsia="Times New Roman" w:hint="default"/>
          <w:spacing w:val="-2"/>
        </w:rPr>
        <w:t>10</w:t>
      </w:r>
      <w:r>
        <w:rPr>
          <w:spacing w:val="-2"/>
        </w:rPr>
        <w:t>号</w:t>
      </w:r>
      <w:r>
        <w:rPr>
          <w:rFonts w:ascii="Times New Roman" w:hAnsi="Times New Roman" w:cs="Times New Roman" w:eastAsia="Times New Roman" w:hint="default"/>
          <w:spacing w:val="-2"/>
        </w:rPr>
        <w:t>——</w:t>
      </w:r>
      <w:r>
        <w:rPr>
          <w:spacing w:val="-2"/>
        </w:rPr>
        <w:t>关于以使用固定资产产生的收入为基础的折旧方法》《企业会计准则解释第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关于以使用无形资产产生的</w:t>
      </w:r>
      <w:r>
        <w:rPr>
          <w:spacing w:val="-63"/>
        </w:rPr>
        <w:t> </w:t>
      </w:r>
      <w:r>
        <w:rPr>
          <w:spacing w:val="-2"/>
        </w:rPr>
        <w:t>收入为基础的摊销方法》及《企业会计准则解释第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关于关键管理人员服务的提供方与接受方是否为关联方》。公司</w:t>
      </w:r>
      <w:r>
        <w:rPr>
          <w:spacing w:val="-64"/>
        </w:rPr>
        <w:t> </w:t>
      </w:r>
      <w:r>
        <w:rPr>
          <w:spacing w:val="-64"/>
        </w:rPr>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日起执行上述企业会计准则解释，执行上述解释对公司</w:t>
      </w:r>
      <w:r>
        <w:rPr>
          <w:rFonts w:ascii="Times New Roman" w:hAnsi="Times New Roman" w:cs="Times New Roman" w:eastAsia="Times New Roman" w:hint="default"/>
        </w:rPr>
        <w:t>2018</w:t>
      </w:r>
      <w:r>
        <w:rPr/>
        <w:t>年度财务报表的可比数据无影响。</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56"/>
        <w:ind w:left="152" w:right="91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before="44"/>
        <w:ind w:left="0" w:right="1138"/>
        <w:jc w:val="right"/>
      </w:pPr>
      <w:r>
        <w:rPr/>
        <w:pict>
          <v:shape style="position:absolute;margin-left:56.400002pt;margin-top:-16.348295pt;width:479.3pt;height:183.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10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 </w:t>
                        </w:r>
                        <w:r>
                          <w:rPr>
                            <w:rFonts w:ascii="宋体" w:hAnsi="宋体" w:cs="宋体" w:eastAsia="宋体" w:hint="default"/>
                            <w:spacing w:val="-9"/>
                            <w:sz w:val="18"/>
                            <w:szCs w:val="18"/>
                          </w:rPr>
                          <w:t>计缴。出口货物实行</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免、抵、退</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税政策</w:t>
                        </w:r>
                        <w:r>
                          <w:rPr>
                            <w:rFonts w:ascii="宋体" w:hAnsi="宋体" w:cs="宋体" w:eastAsia="宋体" w:hint="default"/>
                            <w:spacing w:val="-88"/>
                            <w:sz w:val="18"/>
                            <w:szCs w:val="18"/>
                          </w:rPr>
                          <w:t> </w:t>
                        </w:r>
                        <w:r>
                          <w:rPr>
                            <w:rFonts w:ascii="宋体" w:hAnsi="宋体" w:cs="宋体" w:eastAsia="宋体" w:hint="default"/>
                            <w:sz w:val="18"/>
                            <w:szCs w:val="18"/>
                          </w:rPr>
                          <w:t>退税率为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00" w:lineRule="auto" w:before="44"/>
        <w:ind w:right="1198"/>
        <w:jc w:val="both"/>
      </w:pPr>
      <w:r>
        <w:rPr/>
        <w:t>注</w:t>
      </w:r>
      <w:r>
        <w:rPr>
          <w:spacing w:val="-45"/>
        </w:rPr>
        <w:t> </w:t>
      </w:r>
      <w:r>
        <w:rPr>
          <w:rFonts w:ascii="Times New Roman" w:hAnsi="Times New Roman" w:cs="Times New Roman" w:eastAsia="Times New Roman" w:hint="default"/>
        </w:rPr>
        <w:t>1</w:t>
      </w:r>
      <w:r>
        <w:rPr/>
        <w:t>：根据财政部、税务总局《关于调整增值税税率的通知》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 </w:t>
      </w:r>
      <w:r>
        <w:rPr/>
        <w:t>号</w:t>
      </w:r>
      <w:r>
        <w:rPr>
          <w:rFonts w:ascii="Times New Roman" w:hAnsi="Times New Roman" w:cs="Times New Roman" w:eastAsia="Times New Roman" w:hint="default"/>
        </w:rPr>
        <w:t>)</w:t>
      </w:r>
      <w:r>
        <w:rPr/>
        <w:t>，自</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1 </w:t>
      </w:r>
      <w:r>
        <w:rPr/>
        <w:t>日起，纳税人发生增 值税应税销售行为或者进口货物，原适用</w:t>
      </w:r>
      <w:r>
        <w:rPr>
          <w:spacing w:val="-48"/>
        </w:rPr>
        <w:t> </w:t>
      </w:r>
      <w:r>
        <w:rPr>
          <w:rFonts w:ascii="Times New Roman" w:hAnsi="Times New Roman" w:cs="Times New Roman" w:eastAsia="Times New Roman" w:hint="default"/>
        </w:rPr>
        <w:t>17%</w:t>
      </w:r>
      <w:r>
        <w:rPr/>
        <w:t>和</w:t>
      </w:r>
      <w:r>
        <w:rPr>
          <w:spacing w:val="-49"/>
        </w:rPr>
        <w:t> </w:t>
      </w:r>
      <w:r>
        <w:rPr>
          <w:rFonts w:ascii="Times New Roman" w:hAnsi="Times New Roman" w:cs="Times New Roman" w:eastAsia="Times New Roman" w:hint="default"/>
        </w:rPr>
        <w:t>11%</w:t>
      </w:r>
      <w:r>
        <w:rPr/>
        <w:t>税率的，税率分别调整为</w:t>
      </w:r>
      <w:r>
        <w:rPr>
          <w:spacing w:val="-48"/>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。原出口退税率为</w:t>
      </w:r>
      <w:r>
        <w:rPr>
          <w:spacing w:val="-48"/>
        </w:rPr>
        <w:t> </w:t>
      </w:r>
      <w:r>
        <w:rPr>
          <w:rFonts w:ascii="Times New Roman" w:hAnsi="Times New Roman" w:cs="Times New Roman" w:eastAsia="Times New Roman" w:hint="default"/>
        </w:rPr>
        <w:t>17%</w:t>
      </w:r>
      <w:r>
        <w:rPr/>
        <w:t>的出口货 物，出口退税率调整为</w:t>
      </w:r>
      <w:r>
        <w:rPr>
          <w:spacing w:val="-44"/>
        </w:rPr>
        <w:t> </w:t>
      </w:r>
      <w:r>
        <w:rPr>
          <w:rFonts w:ascii="Times New Roman" w:hAnsi="Times New Roman" w:cs="Times New Roman" w:eastAsia="Times New Roman" w:hint="default"/>
        </w:rPr>
        <w:t>16%</w:t>
      </w:r>
      <w:r>
        <w:rPr/>
        <w:t>。</w:t>
      </w:r>
    </w:p>
    <w:p>
      <w:pPr>
        <w:pStyle w:val="BodyText"/>
        <w:spacing w:line="240" w:lineRule="auto" w:before="51"/>
        <w:ind w:right="0"/>
        <w:jc w:val="both"/>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本公司、杭州思创汇联科技有限公司、上扬无线射频科技扬 州有限公司、广州理德物联网科技有限公司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杭州医惠软件有限公司、杭州简惠信息技术有限公司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362"/>
              <w:jc w:val="left"/>
              <w:rPr>
                <w:rFonts w:ascii="Times New Roman" w:hAnsi="Times New Roman" w:cs="Times New Roman" w:eastAsia="Times New Roman" w:hint="default"/>
                <w:sz w:val="18"/>
                <w:szCs w:val="18"/>
              </w:rPr>
            </w:pPr>
            <w:r>
              <w:rPr>
                <w:rFonts w:ascii="宋体" w:hAnsi="宋体" w:cs="宋体" w:eastAsia="宋体" w:hint="default"/>
                <w:sz w:val="18"/>
                <w:szCs w:val="18"/>
              </w:rPr>
              <w:t>中瑞思创（香港）国际有限公司、</w:t>
            </w:r>
            <w:r>
              <w:rPr>
                <w:rFonts w:ascii="Times New Roman" w:hAnsi="Times New Roman" w:cs="Times New Roman" w:eastAsia="Times New Roman" w:hint="default"/>
                <w:sz w:val="18"/>
                <w:szCs w:val="18"/>
              </w:rPr>
              <w:t>EWELL</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HONGKONG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Century Europe</w:t>
            </w:r>
            <w:r>
              <w:rPr>
                <w:rFonts w:ascii="Times New Roman"/>
                <w:spacing w:val="-13"/>
                <w:sz w:val="18"/>
              </w:rPr>
              <w:t> </w:t>
            </w:r>
            <w:r>
              <w:rPr>
                <w:rFonts w:ascii="Times New Roman"/>
                <w:sz w:val="18"/>
              </w:rPr>
              <w:t>AB</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Comercial GL Group</w:t>
            </w:r>
            <w:r>
              <w:rPr>
                <w:rFonts w:ascii="Times New Roman"/>
                <w:spacing w:val="-16"/>
                <w:sz w:val="18"/>
              </w:rPr>
              <w:t> </w:t>
            </w:r>
            <w:r>
              <w:rPr>
                <w:rFonts w:ascii="Times New Roman"/>
                <w:sz w:val="18"/>
              </w:rPr>
              <w:t>S.A.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Century Retail Europe</w:t>
            </w:r>
            <w:r>
              <w:rPr>
                <w:rFonts w:ascii="Times New Roman"/>
                <w:spacing w:val="1"/>
                <w:sz w:val="18"/>
              </w:rPr>
              <w:t> </w:t>
            </w:r>
            <w:r>
              <w:rPr>
                <w:rFonts w:ascii="Times New Roman"/>
                <w:spacing w:val="-7"/>
                <w:sz w:val="18"/>
              </w:rPr>
              <w:t>B.V.</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Century Link</w:t>
            </w:r>
            <w:r>
              <w:rPr>
                <w:rFonts w:ascii="Times New Roman"/>
                <w:spacing w:val="-16"/>
                <w:sz w:val="18"/>
              </w:rPr>
              <w:t> </w:t>
            </w:r>
            <w:r>
              <w:rPr>
                <w:rFonts w:ascii="Times New Roman"/>
                <w:sz w:val="18"/>
              </w:rPr>
              <w:t>America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24%-48%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增值税 </w:t>
      </w:r>
      <w:r>
        <w:rPr>
          <w:spacing w:val="-1"/>
        </w:rPr>
        <w:t>根据财政部、国家税务总局《关于软件产品增值税的通知》（财税〔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100</w:t>
      </w:r>
      <w:r>
        <w:rPr>
          <w:spacing w:val="-1"/>
        </w:rPr>
        <w:t>号）规定，医惠科技公司、杭州医惠物</w:t>
      </w:r>
    </w:p>
    <w:p>
      <w:pPr>
        <w:pStyle w:val="BodyText"/>
        <w:spacing w:line="300" w:lineRule="auto" w:before="13"/>
        <w:ind w:right="1128"/>
        <w:jc w:val="both"/>
      </w:pPr>
      <w:r>
        <w:rPr>
          <w:spacing w:val="-1"/>
        </w:rPr>
        <w:t>联网科技有限公司、杭州睿杰信息技术有限公司、杭州简惠信息技术有限公司、医惠科技</w:t>
      </w:r>
      <w:r>
        <w:rPr>
          <w:rFonts w:ascii="Times New Roman" w:hAnsi="Times New Roman" w:cs="Times New Roman" w:eastAsia="Times New Roman" w:hint="default"/>
          <w:spacing w:val="-1"/>
        </w:rPr>
        <w:t>(</w:t>
      </w:r>
      <w:r>
        <w:rPr>
          <w:spacing w:val="-1"/>
        </w:rPr>
        <w:t>苏州</w:t>
      </w:r>
      <w:r>
        <w:rPr>
          <w:rFonts w:ascii="Times New Roman" w:hAnsi="Times New Roman" w:cs="Times New Roman" w:eastAsia="Times New Roman" w:hint="default"/>
          <w:spacing w:val="-1"/>
        </w:rPr>
        <w:t>)</w:t>
      </w:r>
      <w:r>
        <w:rPr>
          <w:spacing w:val="-1"/>
        </w:rPr>
        <w:t>有限公司、杭州医惠软件有</w:t>
      </w:r>
      <w:r>
        <w:rPr>
          <w:spacing w:val="-54"/>
        </w:rPr>
        <w:t> </w:t>
      </w:r>
      <w:r>
        <w:rPr>
          <w:spacing w:val="-54"/>
        </w:rPr>
      </w:r>
      <w:r>
        <w:rPr>
          <w:spacing w:val="-1"/>
        </w:rPr>
        <w:t>限公司、杭州思创宣道信息技术有限公司和广州理德物联网科技有限公司自行开发研制的软件产品销售先按</w:t>
      </w:r>
      <w:r>
        <w:rPr>
          <w:rFonts w:ascii="Times New Roman" w:hAnsi="Times New Roman" w:cs="Times New Roman" w:eastAsia="Times New Roman" w:hint="default"/>
          <w:spacing w:val="-1"/>
        </w:rPr>
        <w:t>17%</w:t>
      </w:r>
      <w:r>
        <w:rPr>
          <w:spacing w:val="-1"/>
        </w:rPr>
        <w:t>或</w:t>
      </w:r>
      <w:r>
        <w:rPr>
          <w:rFonts w:ascii="Times New Roman" w:hAnsi="Times New Roman" w:cs="Times New Roman" w:eastAsia="Times New Roman" w:hint="default"/>
          <w:spacing w:val="-1"/>
        </w:rPr>
        <w:t>16%</w:t>
      </w:r>
      <w:r>
        <w:rPr>
          <w:spacing w:val="-1"/>
        </w:rPr>
        <w:t>的税</w:t>
      </w:r>
      <w:r>
        <w:rPr>
          <w:spacing w:val="-56"/>
        </w:rPr>
        <w:t> </w:t>
      </w:r>
      <w:r>
        <w:rPr/>
        <w:t>率计缴增值税，其实际税负超过</w:t>
      </w:r>
      <w:r>
        <w:rPr>
          <w:rFonts w:ascii="Times New Roman" w:hAnsi="Times New Roman" w:cs="Times New Roman" w:eastAsia="Times New Roman" w:hint="default"/>
        </w:rPr>
        <w:t>3%</w:t>
      </w:r>
      <w:r>
        <w:rPr/>
        <w:t>部分经主管国家税务局审核后予以退税。</w:t>
      </w:r>
    </w:p>
    <w:p>
      <w:pPr>
        <w:pStyle w:val="BodyText"/>
        <w:spacing w:line="240" w:lineRule="auto" w:before="13"/>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企业所得税</w:t>
      </w:r>
    </w:p>
    <w:p>
      <w:pPr>
        <w:pStyle w:val="BodyText"/>
        <w:spacing w:line="300" w:lineRule="auto" w:before="63"/>
        <w:ind w:right="1132"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月浙江省科学技术厅、浙江省财政厅、浙江省国家税务局以及浙江省地方税务局颁布的《高新技术企</w:t>
      </w:r>
      <w:r>
        <w:rPr>
          <w:w w:val="99"/>
        </w:rPr>
        <w:t> </w:t>
      </w:r>
      <w:r>
        <w:rPr/>
        <w:t>业证书》，本公司被认定为高新技术企业，资格有效期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2017-2019</w:t>
      </w:r>
      <w:r>
        <w:rPr/>
        <w:t>年企业所得税的适用税率为</w:t>
      </w:r>
      <w:r>
        <w:rPr>
          <w:rFonts w:ascii="Times New Roman" w:hAnsi="Times New Roman" w:cs="Times New Roman" w:eastAsia="Times New Roman" w:hint="default"/>
        </w:rPr>
        <w:t>15%</w:t>
      </w:r>
      <w:r>
        <w:rPr/>
        <w:t>。</w:t>
      </w:r>
    </w:p>
    <w:p>
      <w:pPr>
        <w:pStyle w:val="BodyText"/>
        <w:spacing w:line="300" w:lineRule="auto" w:before="13"/>
        <w:ind w:right="113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月江苏省科学技术厅、江苏省财政厅、国家税务总局江苏省税务局颁布的《高新技术企业证书》，上</w:t>
      </w:r>
      <w:r>
        <w:rPr>
          <w:w w:val="99"/>
        </w:rPr>
        <w:t> </w:t>
      </w:r>
      <w:r>
        <w:rPr/>
        <w:t>扬无线射频科技扬州有限公司被认定为高新技术企业，资格有效期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2018-2020</w:t>
      </w:r>
      <w:r>
        <w:rPr/>
        <w:t>年企业所得税的适用税率为</w:t>
      </w:r>
      <w:r>
        <w:rPr>
          <w:rFonts w:ascii="Times New Roman" w:hAnsi="Times New Roman" w:cs="Times New Roman" w:eastAsia="Times New Roman" w:hint="default"/>
        </w:rPr>
        <w:t>15%</w:t>
      </w:r>
      <w:r>
        <w:rPr/>
        <w:t>。</w:t>
      </w:r>
    </w:p>
    <w:p>
      <w:pPr>
        <w:spacing w:after="0" w:line="30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0" w:lineRule="auto" w:before="44"/>
        <w:ind w:right="1042"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月广东省科学技术厅、广东省财政厅、广东省国家税务局以及广东省地方税务局颁布的《高新技术企</w:t>
      </w:r>
      <w:r>
        <w:rPr>
          <w:w w:val="99"/>
        </w:rPr>
        <w:t> </w:t>
      </w:r>
      <w:r>
        <w:rPr>
          <w:spacing w:val="-5"/>
          <w:w w:val="99"/>
        </w:rPr>
        <w:t>业证书》，广州理德物联网科技有限公司被认定为高新技术企业，资格有效期</w:t>
      </w:r>
      <w:r>
        <w:rPr>
          <w:rFonts w:ascii="Times New Roman" w:hAnsi="Times New Roman" w:cs="Times New Roman" w:eastAsia="Times New Roman" w:hint="default"/>
          <w:spacing w:val="-5"/>
          <w:w w:val="99"/>
        </w:rPr>
        <w:t>3</w:t>
      </w:r>
      <w:r>
        <w:rPr>
          <w:spacing w:val="-5"/>
          <w:w w:val="99"/>
        </w:rPr>
        <w:t>年，</w:t>
      </w:r>
      <w:r>
        <w:rPr>
          <w:rFonts w:ascii="Times New Roman" w:hAnsi="Times New Roman" w:cs="Times New Roman" w:eastAsia="Times New Roman" w:hint="default"/>
          <w:spacing w:val="-5"/>
          <w:w w:val="99"/>
        </w:rPr>
        <w:t>2016-2018</w:t>
      </w:r>
      <w:r>
        <w:rPr>
          <w:spacing w:val="-5"/>
          <w:w w:val="99"/>
        </w:rPr>
        <w:t>年企业所得税的适用税率为</w:t>
      </w:r>
      <w:r>
        <w:rPr>
          <w:rFonts w:ascii="Times New Roman" w:hAnsi="Times New Roman" w:cs="Times New Roman" w:eastAsia="Times New Roman" w:hint="default"/>
          <w:spacing w:val="-5"/>
          <w:w w:val="99"/>
        </w:rPr>
        <w:t>15%</w:t>
      </w:r>
      <w:r>
        <w:rPr>
          <w:spacing w:val="-5"/>
          <w:w w:val="99"/>
        </w:rPr>
        <w:t>。</w:t>
      </w:r>
      <w:r>
        <w:rPr>
          <w:spacing w:val="-5"/>
        </w:rPr>
      </w:r>
    </w:p>
    <w:p>
      <w:pPr>
        <w:pStyle w:val="BodyText"/>
        <w:spacing w:line="300" w:lineRule="auto" w:before="13"/>
        <w:ind w:right="1042"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月浙江省科学技术厅、浙江省财政厅、浙江省国家税务局以及浙江省地方税务局颁布的《高新技术企</w:t>
      </w:r>
      <w:r>
        <w:rPr>
          <w:w w:val="99"/>
        </w:rPr>
        <w:t> </w:t>
      </w:r>
      <w:r>
        <w:rPr>
          <w:spacing w:val="-2"/>
        </w:rPr>
        <w:t>业证书》，杭州思创汇联科技有限公司被认定为高新技术企业，资格有效期</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2016-2018</w:t>
      </w:r>
      <w:r>
        <w:rPr>
          <w:spacing w:val="-2"/>
        </w:rPr>
        <w:t>年企业所得税的适用税率为</w:t>
      </w:r>
      <w:r>
        <w:rPr>
          <w:rFonts w:ascii="Times New Roman" w:hAnsi="Times New Roman" w:cs="Times New Roman" w:eastAsia="Times New Roman" w:hint="default"/>
          <w:spacing w:val="-2"/>
        </w:rPr>
        <w:t>15%</w:t>
      </w:r>
      <w:r>
        <w:rPr>
          <w:spacing w:val="-2"/>
        </w:rPr>
        <w:t>。</w:t>
      </w:r>
    </w:p>
    <w:p>
      <w:pPr>
        <w:pStyle w:val="BodyText"/>
        <w:spacing w:line="300" w:lineRule="auto" w:before="13"/>
        <w:ind w:right="1026"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spacing w:val="-3"/>
        </w:rPr>
        <w:t>根据财政部、国家税务总局《关于进一步鼓励软件产业和集成电路产业发展企业所得税政策的通知》（财税〔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w w:val="99"/>
        </w:rPr>
        <w:t> </w:t>
      </w:r>
      <w:r>
        <w:rPr>
          <w:rFonts w:ascii="Times New Roman" w:hAnsi="Times New Roman" w:cs="Times New Roman" w:eastAsia="Times New Roman" w:hint="default"/>
          <w:spacing w:val="-2"/>
        </w:rPr>
        <w:t>27</w:t>
      </w:r>
      <w:r>
        <w:rPr>
          <w:spacing w:val="-2"/>
        </w:rPr>
        <w:t>号）、财政部、国家税务总局、发展改革委、工业和信息化部《关于软件和集成电路产业企业所得税优惠政策有关问题的</w:t>
      </w:r>
      <w:r>
        <w:rPr>
          <w:spacing w:val="-67"/>
        </w:rPr>
        <w:t> </w:t>
      </w:r>
      <w:r>
        <w:rPr>
          <w:spacing w:val="-67"/>
        </w:rPr>
      </w:r>
      <w:r>
        <w:rPr/>
        <w:t>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号）和国家税务总局关于发布修订后的《企业所得税优惠政策事项办理办法》的公告</w:t>
      </w:r>
      <w:r>
        <w:rPr>
          <w:rFonts w:ascii="Times New Roman" w:hAnsi="Times New Roman" w:cs="Times New Roman" w:eastAsia="Times New Roman" w:hint="default"/>
        </w:rPr>
        <w:t>(</w:t>
      </w:r>
      <w:r>
        <w:rPr/>
        <w:t>国家税务总</w:t>
      </w:r>
      <w:r>
        <w:rPr>
          <w:spacing w:val="-55"/>
        </w:rPr>
        <w:t> </w:t>
      </w:r>
      <w:r>
        <w:rPr>
          <w:spacing w:val="-55"/>
        </w:rPr>
      </w:r>
      <w:r>
        <w:rPr/>
        <w:t>局公告</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，医惠科技公司</w:t>
      </w:r>
      <w:r>
        <w:rPr>
          <w:rFonts w:ascii="Times New Roman" w:hAnsi="Times New Roman" w:cs="Times New Roman" w:eastAsia="Times New Roman" w:hint="default"/>
        </w:rPr>
        <w:t>2018</w:t>
      </w:r>
      <w:r>
        <w:rPr/>
        <w:t>年度按重点软件企业</w:t>
      </w:r>
      <w:r>
        <w:rPr>
          <w:rFonts w:ascii="Times New Roman" w:hAnsi="Times New Roman" w:cs="Times New Roman" w:eastAsia="Times New Roman" w:hint="default"/>
        </w:rPr>
        <w:t>10%</w:t>
      </w:r>
      <w:r>
        <w:rPr/>
        <w:t>的税率缴纳企业所得税。</w:t>
      </w:r>
    </w:p>
    <w:p>
      <w:pPr>
        <w:pStyle w:val="BodyText"/>
        <w:spacing w:line="304" w:lineRule="auto" w:before="13"/>
        <w:ind w:right="1034" w:firstLine="420"/>
        <w:jc w:val="left"/>
      </w:pPr>
      <w:r>
        <w:rPr>
          <w:rFonts w:ascii="Times New Roman" w:hAnsi="Times New Roman" w:cs="Times New Roman" w:eastAsia="Times New Roman" w:hint="default"/>
        </w:rPr>
        <w:t>(6)</w:t>
      </w:r>
      <w:r>
        <w:rPr/>
        <w:t>根据《进一步鼓励软件产业和集成电路产业发展的若干政策》和《软件企业认定标准及管理办法》的相关规定，杭</w:t>
      </w:r>
      <w:r>
        <w:rPr>
          <w:w w:val="99"/>
        </w:rPr>
        <w:t> </w:t>
      </w:r>
      <w:r>
        <w:rPr/>
        <w:t>州医惠软件有限公司于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月被浙江省经济和信息化委员会认定为软件企业，享受两免三减半的企业所得税优惠政策，</w:t>
      </w:r>
      <w:r>
        <w:rPr>
          <w:w w:val="99"/>
        </w:rPr>
        <w:t> </w:t>
      </w:r>
      <w:r>
        <w:rPr>
          <w:rFonts w:ascii="Times New Roman" w:hAnsi="Times New Roman" w:cs="Times New Roman" w:eastAsia="Times New Roman" w:hint="default"/>
        </w:rPr>
        <w:t>2018</w:t>
      </w:r>
      <w:r>
        <w:rPr/>
        <w:t>年为减半期第二年。</w:t>
      </w:r>
      <w:r>
        <w:rPr>
          <w:w w:val="99"/>
        </w:rPr>
        <w:t> </w:t>
      </w:r>
      <w:r>
        <w:rPr>
          <w:spacing w:val="-2"/>
        </w:rPr>
        <w:t>根据《进一步鼓励软件产业和集成电路产业发展的若干政策》和《软件企业认定标准及管理办法》的相关规定，杭州简惠信</w:t>
      </w:r>
      <w:r>
        <w:rPr>
          <w:spacing w:val="-66"/>
        </w:rPr>
        <w:t> </w:t>
      </w:r>
      <w:r>
        <w:rPr>
          <w:spacing w:val="-66"/>
        </w:rPr>
      </w:r>
      <w:r>
        <w:rPr>
          <w:spacing w:val="-2"/>
        </w:rPr>
        <w:t>息技术有限公司于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月被浙江省经济和信息化委员会认定为软件企业，享受两免三减半的企业所得税优惠政策，</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年为减半期第三年。</w:t>
      </w:r>
    </w:p>
    <w:p>
      <w:pPr>
        <w:spacing w:line="240" w:lineRule="auto" w:before="6"/>
        <w:rPr>
          <w:rFonts w:ascii="宋体" w:hAnsi="宋体" w:cs="宋体" w:eastAsia="宋体" w:hint="default"/>
          <w:sz w:val="23"/>
          <w:szCs w:val="23"/>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288,634.19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467,864,678.74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425,446,693.83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14,748,701.32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3,890,410.93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482,794,143.90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429,625,738.95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31,473,841.60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37,273,286.37</w:t>
            </w:r>
          </w:p>
        </w:tc>
      </w:tr>
    </w:tbl>
    <w:p>
      <w:pPr>
        <w:pStyle w:val="BodyText"/>
        <w:spacing w:line="240" w:lineRule="auto" w:before="49"/>
        <w:ind w:right="1133"/>
        <w:jc w:val="left"/>
      </w:pPr>
      <w:r>
        <w:rPr/>
        <w:t>其他说明</w:t>
      </w:r>
    </w:p>
    <w:p>
      <w:pPr>
        <w:pStyle w:val="BodyText"/>
        <w:spacing w:line="300" w:lineRule="auto" w:before="117"/>
        <w:ind w:right="1133" w:firstLine="360"/>
        <w:jc w:val="left"/>
      </w:pPr>
      <w:r>
        <w:rPr>
          <w:spacing w:val="15"/>
        </w:rPr>
        <w:t>其他货币资金期末数中含保函保证金</w:t>
      </w:r>
      <w:r>
        <w:rPr>
          <w:spacing w:val="-73"/>
        </w:rPr>
        <w:t> </w:t>
      </w:r>
      <w:r>
        <w:rPr>
          <w:rFonts w:ascii="Times New Roman" w:hAnsi="Times New Roman" w:cs="Times New Roman" w:eastAsia="Times New Roman" w:hint="default"/>
        </w:rPr>
        <w:t>1,979,000.30</w:t>
      </w:r>
      <w:r>
        <w:rPr>
          <w:rFonts w:ascii="Times New Roman" w:hAnsi="Times New Roman" w:cs="Times New Roman" w:eastAsia="Times New Roman" w:hint="default"/>
          <w:spacing w:val="-26"/>
        </w:rPr>
        <w:t> </w:t>
      </w:r>
      <w:r>
        <w:rPr>
          <w:spacing w:val="8"/>
        </w:rPr>
        <w:t>元，</w:t>
      </w:r>
      <w:r>
        <w:rPr>
          <w:spacing w:val="-74"/>
        </w:rPr>
        <w:t> </w:t>
      </w:r>
      <w:r>
        <w:rPr>
          <w:spacing w:val="13"/>
        </w:rPr>
        <w:t>承兑汇票保证金</w:t>
      </w:r>
      <w:r>
        <w:rPr>
          <w:spacing w:val="-71"/>
        </w:rPr>
        <w:t> </w:t>
      </w:r>
      <w:r>
        <w:rPr>
          <w:rFonts w:ascii="Times New Roman" w:hAnsi="Times New Roman" w:cs="Times New Roman" w:eastAsia="Times New Roman" w:hint="default"/>
        </w:rPr>
        <w:t>12,656,550.00</w:t>
      </w:r>
      <w:r>
        <w:rPr>
          <w:rFonts w:ascii="Times New Roman" w:hAnsi="Times New Roman" w:cs="Times New Roman" w:eastAsia="Times New Roman" w:hint="default"/>
          <w:spacing w:val="-26"/>
        </w:rPr>
        <w:t> </w:t>
      </w:r>
      <w:r>
        <w:rPr>
          <w:spacing w:val="7"/>
        </w:rPr>
        <w:t>元，</w:t>
      </w:r>
      <w:r>
        <w:rPr>
          <w:spacing w:val="-74"/>
        </w:rPr>
        <w:t> </w:t>
      </w:r>
      <w:r>
        <w:rPr>
          <w:spacing w:val="14"/>
        </w:rPr>
        <w:t>期初数中含保函保证金</w:t>
      </w:r>
      <w:r>
        <w:rPr/>
        <w:t> </w:t>
      </w:r>
      <w:r>
        <w:rPr>
          <w:rFonts w:ascii="Times New Roman" w:hAnsi="Times New Roman" w:cs="Times New Roman" w:eastAsia="Times New Roman" w:hint="default"/>
        </w:rPr>
        <w:t>3,868,368.50</w:t>
      </w:r>
      <w:r>
        <w:rPr/>
        <w:t>元。</w:t>
      </w:r>
    </w:p>
    <w:p>
      <w:pPr>
        <w:spacing w:line="240" w:lineRule="auto" w:before="5"/>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3,209,541.77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85,014.16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775,700,936.92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600,132,291.47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778,910,478.69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600,217,305.63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3,209,541.77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85,014.16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3,209,541.77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85,014.16</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0"/>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15,377,810.56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15,377,810.56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pStyle w:val="BodyText"/>
        <w:spacing w:line="319" w:lineRule="auto" w:before="115"/>
        <w:ind w:right="1130" w:firstLine="360"/>
        <w:jc w:val="both"/>
      </w:pPr>
      <w:r>
        <w:rPr>
          <w:spacing w:val="-2"/>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879,922,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071.64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116,347,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203.34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763,574,8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68.30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663,674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,233.33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81,236,95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582,437,28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0.38</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26,076,1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84.45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13,950,1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12,126,06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32,172,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747.41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14,477,73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17,695,011.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905,998,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256.09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130,297,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319.17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14.38%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775,700,9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36.92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695,846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,980.74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95,714,68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9.27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13.76%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600,132,29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1.47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pStyle w:val="BodyText"/>
        <w:spacing w:line="240" w:lineRule="auto" w:before="49"/>
        <w:ind w:right="-20"/>
        <w:jc w:val="left"/>
      </w:pPr>
      <w:r>
        <w:rPr/>
        <w:t>期末单项金额重大并单项计提坏账准备的应收账款：</w:t>
      </w:r>
    </w:p>
    <w:p>
      <w:pPr>
        <w:pStyle w:val="BodyText"/>
        <w:spacing w:line="338" w:lineRule="auto" w:before="118"/>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防盗标签业务账龄组合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181,085,986.12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9,054,299.31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3,794,364.61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379,436.46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577,928.16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173,378.45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1,046,489.49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1,046,489.49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186,504,768.38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10,653,603.71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医疗智能化业务账龄组合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405,339,398.21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20,266,969.91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154,608,228.46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15,460,822.85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62,425,154.68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18,727,546.40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29,990,164.15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14,995,082.08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24,055,896.87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19,244,717.50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16,998,460.89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16,998,460.89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693,417,303.26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105,693,599.63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15.24%</w:t>
            </w: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0"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00" w:lineRule="auto" w:before="39"/>
        <w:ind w:right="1179" w:firstLine="360"/>
        <w:jc w:val="left"/>
        <w:rPr>
          <w:rFonts w:ascii="Times New Roman" w:hAnsi="Times New Roman" w:cs="Times New Roman" w:eastAsia="Times New Roman" w:hint="default"/>
        </w:rPr>
      </w:pPr>
      <w:r>
        <w:rPr/>
        <w:t>期末单项金额不重大但单项计提坏账准备的应收账款系因客户</w:t>
      </w:r>
      <w:r>
        <w:rPr>
          <w:rFonts w:ascii="Times New Roman" w:hAnsi="Times New Roman" w:cs="Times New Roman" w:eastAsia="Times New Roman" w:hint="default"/>
        </w:rPr>
        <w:t>UNIVERSAL SURVEILLANCE</w:t>
      </w:r>
      <w:r>
        <w:rPr>
          <w:rFonts w:ascii="Times New Roman" w:hAnsi="Times New Roman" w:cs="Times New Roman" w:eastAsia="Times New Roman" w:hint="default"/>
          <w:spacing w:val="-5"/>
        </w:rPr>
        <w:t> </w:t>
      </w:r>
      <w:r>
        <w:rPr>
          <w:rFonts w:ascii="Times New Roman" w:hAnsi="Times New Roman" w:cs="Times New Roman" w:eastAsia="Times New Roman" w:hint="default"/>
        </w:rPr>
        <w:t>SYSTEMS</w:t>
      </w:r>
      <w:r>
        <w:rPr/>
        <w:t>目前资金状况 紧张，根据对</w:t>
      </w:r>
      <w:r>
        <w:rPr>
          <w:rFonts w:ascii="Times New Roman" w:hAnsi="Times New Roman" w:cs="Times New Roman" w:eastAsia="Times New Roman" w:hint="default"/>
        </w:rPr>
        <w:t>UNIVERSAL SURVEILLANCE</w:t>
      </w:r>
      <w:r>
        <w:rPr>
          <w:rFonts w:ascii="Times New Roman" w:hAnsi="Times New Roman" w:cs="Times New Roman" w:eastAsia="Times New Roman" w:hint="default"/>
          <w:spacing w:val="-12"/>
        </w:rPr>
        <w:t> </w:t>
      </w:r>
      <w:r>
        <w:rPr>
          <w:rFonts w:ascii="Times New Roman" w:hAnsi="Times New Roman" w:cs="Times New Roman" w:eastAsia="Times New Roman" w:hint="default"/>
        </w:rPr>
        <w:t>SYSTEMS</w:t>
      </w:r>
      <w:r>
        <w:rPr/>
        <w:t>的预计未来偿还能力及相关合作协议，对应收</w:t>
      </w:r>
      <w:r>
        <w:rPr>
          <w:rFonts w:ascii="Times New Roman" w:hAnsi="Times New Roman" w:cs="Times New Roman" w:eastAsia="Times New Roman" w:hint="default"/>
        </w:rPr>
        <w:t>UNIVERSAL</w:t>
      </w:r>
    </w:p>
    <w:p>
      <w:pPr>
        <w:spacing w:after="0" w:line="300" w:lineRule="auto"/>
        <w:jc w:val="left"/>
        <w:rPr>
          <w:rFonts w:ascii="Times New Roman" w:hAnsi="Times New Roman" w:cs="Times New Roman" w:eastAsia="Times New Roman" w:hint="default"/>
        </w:rPr>
        <w:sectPr>
          <w:type w:val="continuous"/>
          <w:pgSz w:w="11910" w:h="16840"/>
          <w:pgMar w:top="104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1"/>
        <w:ind w:right="1133"/>
        <w:jc w:val="left"/>
        <w:rPr>
          <w:rFonts w:ascii="Times New Roman" w:hAnsi="Times New Roman" w:cs="Times New Roman" w:eastAsia="Times New Roman" w:hint="default"/>
        </w:rPr>
      </w:pPr>
      <w:r>
        <w:rPr>
          <w:rFonts w:ascii="Times New Roman" w:hAnsi="Times New Roman" w:cs="Times New Roman" w:eastAsia="Times New Roman" w:hint="default"/>
        </w:rPr>
        <w:t>SURVEILLANCE</w:t>
      </w:r>
      <w:r>
        <w:rPr>
          <w:rFonts w:ascii="Times New Roman" w:hAnsi="Times New Roman" w:cs="Times New Roman" w:eastAsia="Times New Roman" w:hint="default"/>
          <w:spacing w:val="-16"/>
        </w:rPr>
        <w:t> </w:t>
      </w:r>
      <w:r>
        <w:rPr>
          <w:rFonts w:ascii="Times New Roman" w:hAnsi="Times New Roman" w:cs="Times New Roman" w:eastAsia="Times New Roman" w:hint="default"/>
        </w:rPr>
        <w:t>SYSTEMS</w:t>
      </w:r>
      <w:r>
        <w:rPr/>
        <w:t>款项</w:t>
      </w:r>
      <w:r>
        <w:rPr>
          <w:rFonts w:ascii="Times New Roman" w:hAnsi="Times New Roman" w:cs="Times New Roman" w:eastAsia="Times New Roman" w:hint="default"/>
        </w:rPr>
        <w:t>26,076,184.45</w:t>
      </w:r>
      <w:r>
        <w:rPr/>
        <w:t>元按预计未来现金流量现值低于账面价值的差额计提坏账准备</w:t>
      </w:r>
      <w:r>
        <w:rPr>
          <w:rFonts w:ascii="Times New Roman" w:hAnsi="Times New Roman" w:cs="Times New Roman" w:eastAsia="Times New Roman" w:hint="default"/>
        </w:rPr>
        <w:t>13,950,115.83</w:t>
      </w:r>
    </w:p>
    <w:p>
      <w:pPr>
        <w:pStyle w:val="BodyText"/>
        <w:spacing w:line="240" w:lineRule="auto" w:before="63"/>
        <w:ind w:right="1133"/>
        <w:jc w:val="left"/>
      </w:pPr>
      <w:r>
        <w:rPr/>
        <w:t>元。</w:t>
      </w:r>
    </w:p>
    <w:p>
      <w:pPr>
        <w:pStyle w:val="BodyText"/>
        <w:spacing w:line="240" w:lineRule="auto" w:before="117"/>
        <w:ind w:right="113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4592"/>
        <w:jc w:val="left"/>
      </w:pPr>
      <w:r>
        <w:rPr/>
        <w:t>本期计提坏账准备金额</w:t>
      </w:r>
      <w:r>
        <w:rPr>
          <w:spacing w:val="-46"/>
        </w:rPr>
        <w:t> </w:t>
      </w:r>
      <w:r>
        <w:rPr>
          <w:rFonts w:ascii="Times New Roman" w:hAnsi="Times New Roman" w:cs="Times New Roman" w:eastAsia="Times New Roman" w:hint="default"/>
        </w:rPr>
        <w:t>35,253,982.35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1"/>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671,352.45</w:t>
            </w:r>
          </w:p>
        </w:tc>
      </w:tr>
    </w:tbl>
    <w:p>
      <w:pPr>
        <w:pStyle w:val="BodyText"/>
        <w:spacing w:line="240" w:lineRule="auto" w:before="49"/>
        <w:ind w:right="1133"/>
        <w:jc w:val="left"/>
      </w:pPr>
      <w:r>
        <w:rPr/>
        <w:t>其中重要的应收账款核销情况：</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pStyle w:val="BodyText"/>
        <w:spacing w:line="240" w:lineRule="auto" w:before="115"/>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656"/>
        <w:gridCol w:w="1985"/>
        <w:gridCol w:w="2017"/>
        <w:gridCol w:w="1843"/>
      </w:tblGrid>
      <w:tr>
        <w:trPr>
          <w:trHeight w:val="65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占应收账款余额的比例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南京鼓楼医院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40,818,750.00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2,296,231.84</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南京国际健康城投资发展有限公司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36,850,000.00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1,842,500.00</w:t>
            </w:r>
          </w:p>
        </w:tc>
      </w:tr>
      <w:tr>
        <w:trPr>
          <w:trHeight w:val="34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UNIVERSAL SURVEILLANCE</w:t>
            </w:r>
            <w:r>
              <w:rPr>
                <w:rFonts w:ascii="Times New Roman"/>
                <w:spacing w:val="-7"/>
                <w:sz w:val="18"/>
              </w:rPr>
              <w:t> </w:t>
            </w:r>
            <w:r>
              <w:rPr>
                <w:rFonts w:ascii="Times New Roman"/>
                <w:sz w:val="18"/>
              </w:rPr>
              <w:t>SYSTEMS</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26,076,184.45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13,950,115.83</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东莞东兴商标织绣有限公司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24,887,078.19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1,244,353.91</w:t>
            </w:r>
          </w:p>
        </w:tc>
      </w:tr>
      <w:tr>
        <w:trPr>
          <w:trHeight w:val="34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大连大学附属中山医院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23,606,380.00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4,724,481.50</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152,238,392.64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16.82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24,057,683.08</w:t>
            </w:r>
          </w:p>
        </w:tc>
      </w:tr>
    </w:tbl>
    <w:p>
      <w:pPr>
        <w:pStyle w:val="BodyText"/>
        <w:spacing w:line="240" w:lineRule="auto" w:before="49"/>
        <w:ind w:right="1133"/>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6"/>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71,348,207.78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29,142,635.33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1,586,447.77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2,355,844.66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134,543.56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95,716.96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1,017,341.90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972,755.90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74,086,541.01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32,566,952.85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069"/>
        <w:gridCol w:w="2520"/>
        <w:gridCol w:w="2485"/>
      </w:tblGrid>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杭州易捷医疗器械有限公司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14,760,000.00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19.92</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13,579,986.57</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18.33</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北京医势科技有限公司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8,557,500.00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11.55</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6,975,981.54</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9.42</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深圳市雨淋科技服务有限公司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2,800,000.00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3.78</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46,673,468.11</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63.00</w:t>
            </w:r>
          </w:p>
        </w:tc>
      </w:tr>
    </w:tbl>
    <w:p>
      <w:pPr>
        <w:spacing w:line="240" w:lineRule="auto" w:before="2"/>
        <w:rPr>
          <w:rFonts w:ascii="宋体" w:hAnsi="宋体" w:cs="宋体" w:eastAsia="宋体" w:hint="default"/>
          <w:b/>
          <w:bCs/>
          <w:sz w:val="24"/>
          <w:szCs w:val="24"/>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82,292,806.84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45,855,054.73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82,292,806.84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45,855,054.73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pStyle w:val="BodyText"/>
        <w:spacing w:line="240" w:lineRule="auto" w:before="10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7"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91,629,5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08.57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9,336,70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82,292,80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49,866,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407.66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4,011,352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45,855,054.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91,629,5</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08.57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9,336,70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1.73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10.19%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82,292,80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6.84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49,866,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407.66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4,011,352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8.04%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45,855,054.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66,561,441.93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3,328,072.12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19,685,040.29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1,968,504.04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1,918,429.68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575,528.90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3,464,596.67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3,464,596.67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91,629,508.57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9,336,701.73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10.19%</w:t>
            </w:r>
          </w:p>
        </w:tc>
      </w:tr>
    </w:tbl>
    <w:p>
      <w:pPr>
        <w:pStyle w:val="BodyText"/>
        <w:spacing w:line="360" w:lineRule="auto" w:before="49"/>
        <w:ind w:right="6254"/>
        <w:jc w:val="left"/>
      </w:pPr>
      <w:r>
        <w:rPr/>
        <w:t>确定该组合依据的说明： 组合中，采用余额百分比法计提坏账准备的其他应收款：</w:t>
      </w:r>
    </w:p>
    <w:p>
      <w:pPr>
        <w:pStyle w:val="BodyText"/>
        <w:spacing w:line="340" w:lineRule="auto" w:before="2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4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40" w:bottom="1160" w:left="980" w:right="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5,325,348.80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6234" w:space="25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40" w:bottom="1160" w:left="980" w:right="0"/>
        </w:sectPr>
      </w:pPr>
    </w:p>
    <w:p>
      <w:pPr>
        <w:pStyle w:val="BodyText"/>
        <w:spacing w:line="240" w:lineRule="auto" w:before="49"/>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61,722,878.93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31,950,906.73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4,091,876.59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3,459,464.14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1,648,360.00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9,878,640.88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4,911,488.11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14,523,232.17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7,221,188.68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91,629,508.57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49,866,407.66</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杭州思慧软件有限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浙江道一循信息技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杭州七护网络科技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苏州智康信息科技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29,200,000.00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205"/>
        <w:gridCol w:w="26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pStyle w:val="BodyText"/>
        <w:spacing w:line="240" w:lineRule="auto" w:before="8"/>
        <w:ind w:right="1133"/>
        <w:jc w:val="left"/>
      </w:pPr>
      <w:r>
        <w:rPr/>
        <w:t>注：账龄</w:t>
      </w:r>
      <w:r>
        <w:rPr>
          <w:rFonts w:ascii="Times New Roman" w:hAnsi="Times New Roman" w:cs="Times New Roman" w:eastAsia="Times New Roman" w:hint="default"/>
        </w:rPr>
        <w:t>1</w:t>
      </w:r>
      <w:r>
        <w:rPr/>
        <w:t>年以内金额为</w:t>
      </w:r>
      <w:r>
        <w:rPr>
          <w:rFonts w:ascii="Times New Roman" w:hAnsi="Times New Roman" w:cs="Times New Roman" w:eastAsia="Times New Roman" w:hint="default"/>
        </w:rPr>
        <w:t>2,440,000.00</w:t>
      </w:r>
      <w:r>
        <w:rPr/>
        <w:t>元，</w:t>
      </w:r>
      <w:r>
        <w:rPr>
          <w:rFonts w:ascii="Times New Roman" w:hAnsi="Times New Roman" w:cs="Times New Roman" w:eastAsia="Times New Roman" w:hint="default"/>
        </w:rPr>
        <w:t>1-2</w:t>
      </w:r>
      <w:r>
        <w:rPr/>
        <w:t>年金额为</w:t>
      </w:r>
      <w:r>
        <w:rPr>
          <w:rFonts w:ascii="Times New Roman" w:hAnsi="Times New Roman" w:cs="Times New Roman" w:eastAsia="Times New Roman" w:hint="default"/>
        </w:rPr>
        <w:t>4,000,000.00</w:t>
      </w:r>
      <w:r>
        <w:rPr/>
        <w:t>元。</w:t>
      </w:r>
    </w:p>
    <w:p>
      <w:pPr>
        <w:spacing w:line="240" w:lineRule="auto" w:before="0"/>
        <w:rPr>
          <w:rFonts w:ascii="宋体" w:hAnsi="宋体" w:cs="宋体" w:eastAsia="宋体" w:hint="default"/>
          <w:sz w:val="18"/>
          <w:szCs w:val="18"/>
        </w:rPr>
      </w:pPr>
    </w:p>
    <w:p>
      <w:pPr>
        <w:pStyle w:val="BodyText"/>
        <w:spacing w:line="240" w:lineRule="auto" w:before="13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69,610,286.13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69,610,286.13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79,820,281.31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79,820,281.31</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13,029,856.36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13,029,856.36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10,951,363.50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10,951,363.50</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154,187,109.14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4,013,080.81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150,174,028.33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180,889,351.28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3,948,075.50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176,941,275.78</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13,962,507.54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13,962,507.54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8,874,384.86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8,874,384.86</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250,789,759.17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4,013,080.81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246,776,678.36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280,535,380.95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3,948,075.50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276,587,305.45</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3,948,075.50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3,232,850.81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3,167,845.50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4,013,080.81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3,948,075.50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3,232,850.81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3,167,845.50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4,013,080.81</w:t>
            </w:r>
          </w:p>
        </w:tc>
      </w:tr>
    </w:tbl>
    <w:p>
      <w:pPr>
        <w:pStyle w:val="BodyText"/>
        <w:spacing w:line="316" w:lineRule="auto" w:before="8"/>
        <w:ind w:right="1133" w:firstLine="420"/>
        <w:jc w:val="left"/>
      </w:pPr>
      <w:r>
        <w:rPr/>
        <w:t>由于部分产品滞销导致其可变现净值低于相应成本，故按照成本高于可变现净值的差额计提存货跌价准备。本期将上 期计提的部分存货跌价准备报废，故将其转回。</w:t>
      </w:r>
    </w:p>
    <w:p>
      <w:pPr>
        <w:spacing w:after="0" w:line="316" w:lineRule="auto"/>
        <w:jc w:val="left"/>
        <w:sectPr>
          <w:footerReference w:type="default" r:id="rId19"/>
          <w:pgSz w:w="11910" w:h="16840"/>
          <w:pgMar w:footer="979" w:header="745" w:top="1040" w:bottom="1160" w:left="980" w:right="0"/>
          <w:pgNumType w:start="12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5"/>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预缴的各项税费及待抵扣增值税进项税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8,871,365.10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11,042,739.90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4,117,656.81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8,871,365.10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15,160,396.71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111,512,200.00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111,512,200.00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111,512,200.00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111,512,200.00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111,512,200.00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111,512,200.00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17"/>
        <w:gridCol w:w="1913"/>
        <w:gridCol w:w="1916"/>
        <w:gridCol w:w="3744"/>
      </w:tblGrid>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2"/>
        <w:gridCol w:w="1181"/>
        <w:gridCol w:w="1147"/>
        <w:gridCol w:w="727"/>
        <w:gridCol w:w="1191"/>
        <w:gridCol w:w="595"/>
        <w:gridCol w:w="595"/>
        <w:gridCol w:w="596"/>
        <w:gridCol w:w="595"/>
        <w:gridCol w:w="881"/>
        <w:gridCol w:w="725"/>
      </w:tblGrid>
      <w:tr>
        <w:trPr>
          <w:trHeight w:val="403" w:hRule="exact"/>
        </w:trPr>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76" w:right="72"/>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86" w:right="86"/>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3"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8" w:right="86"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81"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苏州智康信息科 技股份有限公司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4,881,165.00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19,881,165.00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杭州盈网科技有 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杭州连帆科技有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杭州国家软件产 业基地有限公司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杭州认知网络科 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44,332,200.00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2,499,900.00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46,832,100.00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14.92%</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上海医浦信息科 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汕头保税区领域 跨境电子商务有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新疆佳音医院</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大连乾函科技有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杭州求是医院有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111,512,200.00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32,781,065.00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144,293,265.00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13" w:space="0" w:color="D2D2D2"/>
            </w:tcBorders>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17"/>
        <w:gridCol w:w="1913"/>
        <w:gridCol w:w="1916"/>
        <w:gridCol w:w="3885"/>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6"/>
        <w:gridCol w:w="1167"/>
        <w:gridCol w:w="1164"/>
      </w:tblGrid>
      <w:tr>
        <w:trPr>
          <w:trHeight w:val="206" w:hRule="exact"/>
        </w:trPr>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404"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60,726,555.00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60,451,555.00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firstLine="274"/>
              <w:jc w:val="left"/>
              <w:rPr>
                <w:rFonts w:ascii="宋体" w:hAnsi="宋体" w:cs="宋体" w:eastAsia="宋体" w:hint="default"/>
                <w:sz w:val="18"/>
                <w:szCs w:val="18"/>
              </w:rPr>
            </w:pPr>
            <w:r>
              <w:rPr>
                <w:rFonts w:ascii="宋体" w:hAnsi="宋体" w:cs="宋体" w:eastAsia="宋体" w:hint="default"/>
                <w:sz w:val="18"/>
                <w:szCs w:val="18"/>
              </w:rPr>
              <w:t>其中：未实现 融资收益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-6,792,000.20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-6,792,000.20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53,934,554.80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53,659,554.80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709"/>
        <w:gridCol w:w="710"/>
        <w:gridCol w:w="850"/>
        <w:gridCol w:w="850"/>
        <w:gridCol w:w="852"/>
        <w:gridCol w:w="708"/>
        <w:gridCol w:w="709"/>
        <w:gridCol w:w="463"/>
        <w:gridCol w:w="799"/>
        <w:gridCol w:w="797"/>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5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7"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9"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9" w:right="58"/>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上海瑞章投 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63,158,466.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-22,978.78</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63,299,90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江苏钜芯集 成电路技术 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62,880,970.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65,507.17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70,459,91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上海泽信软 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23,214,653.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24,113,58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天津医康互 联科技有限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1,543,785.2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-31,754.84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1,512,030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杭州创辉医 疗电子设备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9,391,869.6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9,172,808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医惠科技（沈 阳）有限公司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299,421.97</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医惠科技（广 东）有限公司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杭州医惠科 贝社科技咨 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193,936.33</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350,304.6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广州市天威 电子科技有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3,187,293.7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2,957,243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709"/>
        <w:gridCol w:w="710"/>
        <w:gridCol w:w="850"/>
        <w:gridCol w:w="850"/>
        <w:gridCol w:w="852"/>
        <w:gridCol w:w="708"/>
        <w:gridCol w:w="709"/>
        <w:gridCol w:w="463"/>
        <w:gridCol w:w="799"/>
        <w:gridCol w:w="797"/>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杭州健海科 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3,216,680.1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1,920,918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杭州云在信 息科技有限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866,665.72</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54,114.51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920,780.2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武汉医惠健 康科技有限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1,290,276.3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1,968,00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-1,254,629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2,003,646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杭州丰廪医 健股权投资 合伙企业（有 限合伙）</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3"/>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-22,649.44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79,977,35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宁波三创瑞 海投资管理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-3,975.96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44,996,02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深圳智慧医 学科技有限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-802,173.2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14,197,82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上海共阅信 息技术有限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-1,048,108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3,951,891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3"/>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CLINIC FIRST LIMITED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Times New Roman"/>
                <w:sz w:val="18"/>
              </w:rPr>
              <w:t>6]</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1,314,30</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-78,418.52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1,235,881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上海互软医 康信息技术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7]</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450,776.4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1,950,776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1"/>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浙江华惠医 疗科技有限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-43,746.06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456,253.9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169,244,019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150,282,</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300.00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-2,175,963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-22,978.78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324,840,8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169,244,019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150,282,</w:t>
            </w:r>
          </w:p>
          <w:p>
            <w:pPr>
              <w:pStyle w:val="TableParagraph"/>
              <w:spacing w:line="240" w:lineRule="auto" w:before="102"/>
              <w:ind w:left="160" w:right="0"/>
              <w:jc w:val="center"/>
              <w:rPr>
                <w:rFonts w:ascii="Times New Roman" w:hAnsi="Times New Roman" w:cs="Times New Roman" w:eastAsia="Times New Roman" w:hint="default"/>
                <w:sz w:val="18"/>
                <w:szCs w:val="18"/>
              </w:rPr>
            </w:pPr>
            <w:r>
              <w:rPr>
                <w:rFonts w:ascii="Times New Roman"/>
                <w:sz w:val="18"/>
              </w:rPr>
              <w:t>300.00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-2,175,963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-22,978.78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324,840,8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17.49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4"/>
        <w:ind w:right="0" w:firstLine="420"/>
        <w:jc w:val="left"/>
      </w:pPr>
      <w:r>
        <w:rPr>
          <w:spacing w:val="-3"/>
        </w:rPr>
        <w:t>注</w:t>
      </w:r>
      <w:r>
        <w:rPr>
          <w:rFonts w:ascii="Times New Roman" w:hAnsi="Times New Roman" w:cs="Times New Roman" w:eastAsia="Times New Roman" w:hint="default"/>
          <w:spacing w:val="-3"/>
        </w:rPr>
        <w:t>1</w:t>
      </w:r>
      <w:r>
        <w:rPr>
          <w:spacing w:val="-3"/>
        </w:rPr>
        <w:t>：根据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日江苏钜芯第一次临时股东大会决议，江苏钜芯新增注册资本</w:t>
      </w:r>
      <w:r>
        <w:rPr>
          <w:rFonts w:ascii="Times New Roman" w:hAnsi="Times New Roman" w:cs="Times New Roman" w:eastAsia="Times New Roman" w:hint="default"/>
          <w:spacing w:val="-3"/>
        </w:rPr>
        <w:t>200</w:t>
      </w:r>
      <w:r>
        <w:rPr>
          <w:spacing w:val="-3"/>
        </w:rPr>
        <w:t>万元，共收到出资款</w:t>
      </w:r>
      <w:r>
        <w:rPr>
          <w:rFonts w:ascii="Times New Roman" w:hAnsi="Times New Roman" w:cs="Times New Roman" w:eastAsia="Times New Roman" w:hint="default"/>
          <w:spacing w:val="-3"/>
        </w:rPr>
        <w:t>576</w:t>
      </w:r>
      <w:r>
        <w:rPr>
          <w:spacing w:val="-3"/>
        </w:rPr>
        <w:t>万元，</w:t>
      </w:r>
      <w:r>
        <w:rPr/>
        <w:t> 其中：</w:t>
      </w:r>
      <w:r>
        <w:rPr>
          <w:rFonts w:ascii="Times New Roman" w:hAnsi="Times New Roman" w:cs="Times New Roman" w:eastAsia="Times New Roman" w:hint="default"/>
        </w:rPr>
        <w:t>200</w:t>
      </w:r>
      <w:r>
        <w:rPr/>
        <w:t>万元计入实收资本，</w:t>
      </w:r>
      <w:r>
        <w:rPr>
          <w:rFonts w:ascii="Times New Roman" w:hAnsi="Times New Roman" w:cs="Times New Roman" w:eastAsia="Times New Roman" w:hint="default"/>
        </w:rPr>
        <w:t>376</w:t>
      </w:r>
      <w:r>
        <w:rPr/>
        <w:t>万元计入资本公积；根据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日江苏钜芯第一次临时股东大会决议，江苏钜芯新</w:t>
      </w:r>
    </w:p>
    <w:p>
      <w:pPr>
        <w:spacing w:after="0" w:line="30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0" w:lineRule="auto" w:before="44"/>
        <w:ind w:right="1124"/>
        <w:jc w:val="left"/>
      </w:pPr>
      <w:r>
        <w:rPr/>
        <w:t>增注册资本</w:t>
      </w:r>
      <w:r>
        <w:rPr>
          <w:rFonts w:ascii="Times New Roman" w:hAnsi="Times New Roman" w:cs="Times New Roman" w:eastAsia="Times New Roman" w:hint="default"/>
        </w:rPr>
        <w:t>300</w:t>
      </w:r>
      <w:r>
        <w:rPr/>
        <w:t>万元，共收到出资款</w:t>
      </w:r>
      <w:r>
        <w:rPr>
          <w:rFonts w:ascii="Times New Roman" w:hAnsi="Times New Roman" w:cs="Times New Roman" w:eastAsia="Times New Roman" w:hint="default"/>
        </w:rPr>
        <w:t>4,800</w:t>
      </w:r>
      <w:r>
        <w:rPr/>
        <w:t>万元，其中：</w:t>
      </w:r>
      <w:r>
        <w:rPr>
          <w:rFonts w:ascii="Times New Roman" w:hAnsi="Times New Roman" w:cs="Times New Roman" w:eastAsia="Times New Roman" w:hint="default"/>
        </w:rPr>
        <w:t>300</w:t>
      </w:r>
      <w:r>
        <w:rPr/>
        <w:t>万元计入实收资本，</w:t>
      </w:r>
      <w:r>
        <w:rPr>
          <w:rFonts w:ascii="Times New Roman" w:hAnsi="Times New Roman" w:cs="Times New Roman" w:eastAsia="Times New Roman" w:hint="default"/>
        </w:rPr>
        <w:t>4,500</w:t>
      </w:r>
      <w:r>
        <w:rPr/>
        <w:t>万元计入资本公积。截至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日，本公司持有江苏钜芯</w:t>
      </w:r>
      <w:r>
        <w:rPr>
          <w:rFonts w:ascii="Times New Roman" w:hAnsi="Times New Roman" w:cs="Times New Roman" w:eastAsia="Times New Roman" w:hint="default"/>
        </w:rPr>
        <w:t>20%</w:t>
      </w:r>
      <w:r>
        <w:rPr/>
        <w:t>的股权。</w:t>
      </w:r>
    </w:p>
    <w:p>
      <w:pPr>
        <w:pStyle w:val="BodyText"/>
        <w:spacing w:line="300" w:lineRule="auto" w:before="13"/>
        <w:ind w:right="1034" w:firstLine="420"/>
        <w:jc w:val="left"/>
      </w:pPr>
      <w:r>
        <w:rPr>
          <w:spacing w:val="-4"/>
        </w:rPr>
        <w:t>注</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月，本公司、北京丰廪投资有限公司（以下简称丰廪资本）和宁波梅山保税港区丰廪甘永投资合伙企业</w:t>
      </w:r>
      <w:r>
        <w:rPr>
          <w:rFonts w:ascii="Times New Roman" w:hAnsi="Times New Roman" w:cs="Times New Roman" w:eastAsia="Times New Roman" w:hint="default"/>
          <w:spacing w:val="-4"/>
        </w:rPr>
        <w:t>(</w:t>
      </w:r>
      <w:r>
        <w:rPr>
          <w:spacing w:val="-4"/>
        </w:rPr>
        <w:t>有</w:t>
      </w:r>
      <w:r>
        <w:rPr/>
        <w:t> 限合伙</w:t>
      </w:r>
      <w:r>
        <w:rPr>
          <w:rFonts w:ascii="Times New Roman" w:hAnsi="Times New Roman" w:cs="Times New Roman" w:eastAsia="Times New Roman" w:hint="default"/>
        </w:rPr>
        <w:t>)</w:t>
      </w:r>
      <w:r>
        <w:rPr/>
        <w:t>（以下简称丰廪甘永）签订了《杭州丰廪医健股权投资合伙企业（有限合伙）合伙协议》</w:t>
      </w:r>
      <w:r>
        <w:rPr>
          <w:rFonts w:ascii="Times New Roman" w:hAnsi="Times New Roman" w:cs="Times New Roman" w:eastAsia="Times New Roman" w:hint="default"/>
        </w:rPr>
        <w:t>(</w:t>
      </w:r>
      <w:r>
        <w:rPr/>
        <w:t>以下简称《合伙协议》</w:t>
      </w:r>
      <w:r>
        <w:rPr>
          <w:rFonts w:ascii="Times New Roman" w:hAnsi="Times New Roman" w:cs="Times New Roman" w:eastAsia="Times New Roman" w:hint="default"/>
        </w:rPr>
        <w:t>)</w:t>
      </w:r>
      <w:r>
        <w:rPr/>
        <w:t>， 本公司、丰廪资本和丰廪甘永共同出资设立杭州丰廪医健股权投资合伙企业（有限合伙）</w:t>
      </w:r>
      <w:r>
        <w:rPr>
          <w:rFonts w:ascii="Times New Roman" w:hAnsi="Times New Roman" w:cs="Times New Roman" w:eastAsia="Times New Roman" w:hint="default"/>
        </w:rPr>
        <w:t>(</w:t>
      </w:r>
      <w:r>
        <w:rPr/>
        <w:t>以下简称丰廪医健</w:t>
      </w:r>
      <w:r>
        <w:rPr>
          <w:rFonts w:ascii="Times New Roman" w:hAnsi="Times New Roman" w:cs="Times New Roman" w:eastAsia="Times New Roman" w:hint="default"/>
        </w:rPr>
        <w:t>)</w:t>
      </w:r>
      <w:r>
        <w:rPr/>
        <w:t>，募集资金总 额</w:t>
      </w:r>
      <w:r>
        <w:rPr>
          <w:rFonts w:ascii="Times New Roman" w:hAnsi="Times New Roman" w:cs="Times New Roman" w:eastAsia="Times New Roman" w:hint="default"/>
        </w:rPr>
        <w:t>20,000</w:t>
      </w:r>
      <w:r>
        <w:rPr/>
        <w:t>万元，本公司作为有限合伙人出资</w:t>
      </w:r>
      <w:r>
        <w:rPr>
          <w:rFonts w:ascii="Times New Roman" w:hAnsi="Times New Roman" w:cs="Times New Roman" w:eastAsia="Times New Roman" w:hint="default"/>
        </w:rPr>
        <w:t>8,000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日，本公司已实际出资</w:t>
      </w:r>
      <w:r>
        <w:rPr>
          <w:rFonts w:ascii="Times New Roman" w:hAnsi="Times New Roman" w:cs="Times New Roman" w:eastAsia="Times New Roman" w:hint="default"/>
        </w:rPr>
        <w:t>8,000</w:t>
      </w:r>
      <w:r>
        <w:rPr/>
        <w:t>万元，占该合伙企业</w:t>
      </w:r>
      <w:r>
        <w:rPr>
          <w:spacing w:val="-50"/>
        </w:rPr>
        <w:t> </w:t>
      </w:r>
      <w:r>
        <w:rPr>
          <w:spacing w:val="-50"/>
        </w:rPr>
      </w:r>
      <w:r>
        <w:rPr/>
        <w:t>注册资本的</w:t>
      </w:r>
      <w:r>
        <w:rPr>
          <w:rFonts w:ascii="Times New Roman" w:hAnsi="Times New Roman" w:cs="Times New Roman" w:eastAsia="Times New Roman" w:hint="default"/>
        </w:rPr>
        <w:t>40%</w:t>
      </w:r>
      <w:r>
        <w:rPr/>
        <w:t>。</w:t>
      </w:r>
    </w:p>
    <w:p>
      <w:pPr>
        <w:pStyle w:val="BodyText"/>
        <w:spacing w:line="314" w:lineRule="auto" w:before="13"/>
        <w:ind w:right="1034" w:firstLine="420"/>
        <w:jc w:val="left"/>
      </w:pPr>
      <w:r>
        <w:rPr/>
        <w:t>根据《合伙协议》约定，丰廪资本为丰廪医健的执行事务合伙人及管理人，对外代表合伙企业，对全体合伙人负责， 执行事务合伙人有权对合伙企业的财产进行投资、管理、运用和处置，并接受其他普通合伙人和有限合伙人的监督。同时， </w:t>
      </w:r>
      <w:r>
        <w:rPr>
          <w:spacing w:val="-2"/>
        </w:rPr>
        <w:t>丰廪医健设投决会，由</w:t>
      </w:r>
      <w:r>
        <w:rPr>
          <w:rFonts w:ascii="Times New Roman" w:hAnsi="Times New Roman" w:cs="Times New Roman" w:eastAsia="Times New Roman" w:hint="default"/>
          <w:spacing w:val="-2"/>
        </w:rPr>
        <w:t>3</w:t>
      </w:r>
      <w:r>
        <w:rPr>
          <w:spacing w:val="-2"/>
        </w:rPr>
        <w:t>位委员组成，每一名委员有一票表决权，对于上报投决会会议决策的事项，除合伙协议另有约定外，</w:t>
      </w:r>
      <w:r>
        <w:rPr>
          <w:spacing w:val="-64"/>
        </w:rPr>
        <w:t> </w:t>
      </w:r>
      <w:r>
        <w:rPr>
          <w:spacing w:val="-64"/>
        </w:rPr>
      </w:r>
      <w:r>
        <w:rPr>
          <w:spacing w:val="-2"/>
        </w:rPr>
        <w:t>需要经三分之二委员表决通过。本公司作为投决会的其中一名委员无法单方面主导被投资单位的相关活动，且不参与丰廪医</w:t>
      </w:r>
      <w:r>
        <w:rPr>
          <w:spacing w:val="-64"/>
        </w:rPr>
        <w:t> </w:t>
      </w:r>
      <w:r>
        <w:rPr>
          <w:spacing w:val="-64"/>
        </w:rPr>
      </w:r>
      <w:r>
        <w:rPr/>
        <w:t>健经营管理，因此，本公司对丰廪医健不具有控制能力，不将其纳入合并财务报表范围。</w:t>
      </w:r>
    </w:p>
    <w:p>
      <w:pPr>
        <w:pStyle w:val="BodyText"/>
        <w:spacing w:line="300" w:lineRule="auto" w:before="21"/>
        <w:ind w:right="1129" w:firstLine="42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月，本公司、宁波三创瑞海投资管理有限公司（以下简称宁波三创公司）和浙江三创投资管理有限公司 签订了《关于宁波三创瑞海投资管理有限公司之增资扩股协议》，宁波三创公司增加注册资本</w:t>
      </w:r>
      <w:r>
        <w:rPr>
          <w:rFonts w:ascii="Times New Roman" w:hAnsi="Times New Roman" w:cs="Times New Roman" w:eastAsia="Times New Roman" w:hint="default"/>
        </w:rPr>
        <w:t>9,000</w:t>
      </w:r>
      <w:r>
        <w:rPr/>
        <w:t>万元，其中：本公司以</w:t>
      </w:r>
      <w:r>
        <w:rPr>
          <w:spacing w:val="-39"/>
        </w:rPr>
        <w:t> </w:t>
      </w:r>
      <w:r>
        <w:rPr>
          <w:spacing w:val="-39"/>
        </w:rPr>
      </w:r>
      <w:r>
        <w:rPr>
          <w:spacing w:val="2"/>
        </w:rPr>
        <w:t>货币资金</w:t>
      </w:r>
      <w:r>
        <w:rPr>
          <w:rFonts w:ascii="Times New Roman" w:hAnsi="Times New Roman" w:cs="Times New Roman" w:eastAsia="Times New Roman" w:hint="default"/>
          <w:spacing w:val="2"/>
        </w:rPr>
        <w:t>4,500</w:t>
      </w:r>
      <w:r>
        <w:rPr>
          <w:spacing w:val="2"/>
        </w:rPr>
        <w:t>万元认购新增的注册资本</w:t>
      </w:r>
      <w:r>
        <w:rPr>
          <w:rFonts w:ascii="Times New Roman" w:hAnsi="Times New Roman" w:cs="Times New Roman" w:eastAsia="Times New Roman" w:hint="default"/>
          <w:spacing w:val="2"/>
        </w:rPr>
        <w:t>4,500</w:t>
      </w:r>
      <w:r>
        <w:rPr>
          <w:spacing w:val="2"/>
        </w:rPr>
        <w:t>万元；浙江三创投资管理有限公司以货币资金</w:t>
      </w:r>
      <w:r>
        <w:rPr>
          <w:rFonts w:ascii="Times New Roman" w:hAnsi="Times New Roman" w:cs="Times New Roman" w:eastAsia="Times New Roman" w:hint="default"/>
          <w:spacing w:val="2"/>
        </w:rPr>
        <w:t>4,500</w:t>
      </w:r>
      <w:r>
        <w:rPr>
          <w:spacing w:val="2"/>
        </w:rPr>
        <w:t>万元认购新增的注册资本</w:t>
      </w:r>
      <w:r>
        <w:rPr>
          <w:spacing w:val="-85"/>
        </w:rPr>
        <w:t> </w:t>
      </w:r>
      <w:r>
        <w:rPr>
          <w:rFonts w:ascii="Times New Roman" w:hAnsi="Times New Roman" w:cs="Times New Roman" w:eastAsia="Times New Roman" w:hint="default"/>
        </w:rPr>
        <w:t>4,500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日，本公司已实际出资</w:t>
      </w:r>
      <w:r>
        <w:rPr>
          <w:rFonts w:ascii="Times New Roman" w:hAnsi="Times New Roman" w:cs="Times New Roman" w:eastAsia="Times New Roman" w:hint="default"/>
        </w:rPr>
        <w:t>4,500</w:t>
      </w:r>
      <w:r>
        <w:rPr/>
        <w:t>万元，占该公司增资后注册资本的</w:t>
      </w:r>
      <w:r>
        <w:rPr>
          <w:rFonts w:ascii="Times New Roman" w:hAnsi="Times New Roman" w:cs="Times New Roman" w:eastAsia="Times New Roman" w:hint="default"/>
        </w:rPr>
        <w:t>45%</w:t>
      </w:r>
      <w:r>
        <w:rPr/>
        <w:t>。</w:t>
      </w:r>
    </w:p>
    <w:p>
      <w:pPr>
        <w:pStyle w:val="BodyText"/>
        <w:spacing w:line="300" w:lineRule="auto" w:before="13"/>
        <w:ind w:right="0" w:firstLine="420"/>
        <w:jc w:val="left"/>
      </w:pPr>
      <w:r>
        <w:rPr>
          <w:spacing w:val="-2"/>
        </w:rPr>
        <w:t>注</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月，本公司、深圳智慧医学科技有限公司、李成继、赵轶东、李骁谞、深圳循证医学信息技术有限公司、</w:t>
      </w:r>
      <w:r>
        <w:rPr/>
        <w:t> 深圳智慧医学信息科技有限合伙企业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、深圳智慧医学软件有限合伙企业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、魏奇峰、李亚光、李敬龙签</w:t>
      </w:r>
      <w:r>
        <w:rPr>
          <w:spacing w:val="-57"/>
        </w:rPr>
        <w:t> </w:t>
      </w:r>
      <w:r>
        <w:rPr>
          <w:spacing w:val="-57"/>
        </w:rPr>
      </w:r>
      <w:r>
        <w:rPr/>
        <w:t>订了《关于深圳智慧医学科技有限公司之增资扩股协议》，本公司以货币资金</w:t>
      </w:r>
      <w:r>
        <w:rPr>
          <w:rFonts w:ascii="Times New Roman" w:hAnsi="Times New Roman" w:cs="Times New Roman" w:eastAsia="Times New Roman" w:hint="default"/>
        </w:rPr>
        <w:t>1,500</w:t>
      </w:r>
      <w:r>
        <w:rPr/>
        <w:t>万元对深圳智慧医学科技有限公司进行</w:t>
      </w:r>
      <w:r>
        <w:rPr>
          <w:spacing w:val="-40"/>
        </w:rPr>
        <w:t> </w:t>
      </w:r>
      <w:r>
        <w:rPr>
          <w:spacing w:val="-40"/>
        </w:rPr>
      </w:r>
      <w:r>
        <w:rPr/>
        <w:t>增资，其中：</w:t>
      </w:r>
      <w:r>
        <w:rPr>
          <w:rFonts w:ascii="Times New Roman" w:hAnsi="Times New Roman" w:cs="Times New Roman" w:eastAsia="Times New Roman" w:hint="default"/>
        </w:rPr>
        <w:t>81,082</w:t>
      </w:r>
      <w:r>
        <w:rPr/>
        <w:t>元计入注册资本，</w:t>
      </w:r>
      <w:r>
        <w:rPr>
          <w:rFonts w:ascii="Times New Roman" w:hAnsi="Times New Roman" w:cs="Times New Roman" w:eastAsia="Times New Roman" w:hint="default"/>
        </w:rPr>
        <w:t>14,918,918</w:t>
      </w:r>
      <w:r>
        <w:rPr/>
        <w:t>元计入资本公积。截至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日，本公司已实际出资</w:t>
      </w:r>
      <w:r>
        <w:rPr>
          <w:rFonts w:ascii="Times New Roman" w:hAnsi="Times New Roman" w:cs="Times New Roman" w:eastAsia="Times New Roman" w:hint="default"/>
        </w:rPr>
        <w:t>1,500</w:t>
      </w:r>
      <w:r>
        <w:rPr/>
        <w:t>万元，占 该公司增资后注册资本的</w:t>
      </w:r>
      <w:r>
        <w:rPr>
          <w:rFonts w:ascii="Times New Roman" w:hAnsi="Times New Roman" w:cs="Times New Roman" w:eastAsia="Times New Roman" w:hint="default"/>
        </w:rPr>
        <w:t>7.5%</w:t>
      </w:r>
      <w:r>
        <w:rPr/>
        <w:t>。深圳智慧医学科技有限公司共有</w:t>
      </w:r>
      <w:r>
        <w:rPr>
          <w:rFonts w:ascii="Times New Roman" w:hAnsi="Times New Roman" w:cs="Times New Roman" w:eastAsia="Times New Roman" w:hint="default"/>
        </w:rPr>
        <w:t>5</w:t>
      </w:r>
      <w:r>
        <w:rPr/>
        <w:t>名董事，本公司派有一名董事且股权结构较为分散，因而 本公司对其有重大影响，采用权益法核算。</w:t>
      </w:r>
    </w:p>
    <w:p>
      <w:pPr>
        <w:pStyle w:val="BodyText"/>
        <w:spacing w:line="300" w:lineRule="auto" w:before="31"/>
        <w:ind w:right="1132" w:firstLine="420"/>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月，子公司医惠科技公司、上海共阅信息技术有限公司和马凌云共同签订了《增资扩股协议》，医惠科 技公司以</w:t>
      </w:r>
      <w:r>
        <w:rPr>
          <w:rFonts w:ascii="Times New Roman" w:hAnsi="Times New Roman" w:cs="Times New Roman" w:eastAsia="Times New Roman" w:hint="default"/>
        </w:rPr>
        <w:t>500</w:t>
      </w:r>
      <w:r>
        <w:rPr/>
        <w:t>万元对上海共阅信息技术有限公司进行增资，其中：</w:t>
      </w:r>
      <w:r>
        <w:rPr>
          <w:rFonts w:ascii="Times New Roman" w:hAnsi="Times New Roman" w:cs="Times New Roman" w:eastAsia="Times New Roman" w:hint="default"/>
        </w:rPr>
        <w:t>165</w:t>
      </w:r>
      <w:r>
        <w:rPr/>
        <w:t>万元计入注册资本，</w:t>
      </w:r>
      <w:r>
        <w:rPr>
          <w:rFonts w:ascii="Times New Roman" w:hAnsi="Times New Roman" w:cs="Times New Roman" w:eastAsia="Times New Roman" w:hint="default"/>
        </w:rPr>
        <w:t>335</w:t>
      </w:r>
      <w:r>
        <w:rPr/>
        <w:t>万元计入资本公积。截至</w:t>
      </w: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日，医惠科技公司已实际出资</w:t>
      </w:r>
      <w:r>
        <w:rPr>
          <w:rFonts w:ascii="Times New Roman" w:hAnsi="Times New Roman" w:cs="Times New Roman" w:eastAsia="Times New Roman" w:hint="default"/>
        </w:rPr>
        <w:t>500</w:t>
      </w:r>
      <w:r>
        <w:rPr/>
        <w:t>万元，占该公司增资后注册资本的</w:t>
      </w:r>
      <w:r>
        <w:rPr>
          <w:rFonts w:ascii="Times New Roman" w:hAnsi="Times New Roman" w:cs="Times New Roman" w:eastAsia="Times New Roman" w:hint="default"/>
        </w:rPr>
        <w:t>35.48%</w:t>
      </w:r>
      <w:r>
        <w:rPr/>
        <w:t>。</w:t>
      </w:r>
    </w:p>
    <w:p>
      <w:pPr>
        <w:pStyle w:val="BodyText"/>
        <w:spacing w:line="300" w:lineRule="auto" w:before="13"/>
        <w:ind w:right="1034" w:firstLine="420"/>
        <w:jc w:val="left"/>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月，子公司</w:t>
      </w:r>
      <w:r>
        <w:rPr>
          <w:rFonts w:ascii="Times New Roman" w:hAnsi="Times New Roman" w:cs="Times New Roman" w:eastAsia="Times New Roman" w:hint="default"/>
        </w:rPr>
        <w:t>Sun</w:t>
      </w:r>
      <w:r>
        <w:rPr>
          <w:rFonts w:ascii="Times New Roman" w:hAnsi="Times New Roman" w:cs="Times New Roman" w:eastAsia="Times New Roman" w:hint="default"/>
          <w:spacing w:val="-16"/>
        </w:rPr>
        <w:t> </w:t>
      </w:r>
      <w:r>
        <w:rPr>
          <w:rFonts w:ascii="Times New Roman" w:hAnsi="Times New Roman" w:cs="Times New Roman" w:eastAsia="Times New Roman" w:hint="default"/>
        </w:rPr>
        <w:t>Pacific</w:t>
      </w:r>
      <w:r>
        <w:rPr>
          <w:rFonts w:ascii="Times New Roman" w:hAnsi="Times New Roman" w:cs="Times New Roman" w:eastAsia="Times New Roman" w:hint="default"/>
          <w:spacing w:val="-15"/>
        </w:rPr>
        <w:t> </w:t>
      </w:r>
      <w:r>
        <w:rPr>
          <w:rFonts w:ascii="Times New Roman" w:hAnsi="Times New Roman" w:cs="Times New Roman" w:eastAsia="Times New Roman" w:hint="default"/>
        </w:rPr>
        <w:t>Link</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t>以</w:t>
      </w:r>
      <w:r>
        <w:rPr>
          <w:rFonts w:ascii="Times New Roman" w:hAnsi="Times New Roman" w:cs="Times New Roman" w:eastAsia="Times New Roman" w:hint="default"/>
        </w:rPr>
        <w:t>150</w:t>
      </w:r>
      <w:r>
        <w:rPr/>
        <w:t>万港币认购</w:t>
      </w:r>
      <w:r>
        <w:rPr>
          <w:rFonts w:ascii="Times New Roman" w:hAnsi="Times New Roman" w:cs="Times New Roman" w:eastAsia="Times New Roman" w:hint="default"/>
        </w:rPr>
        <w:t>CLINIC</w:t>
      </w:r>
      <w:r>
        <w:rPr>
          <w:rFonts w:ascii="Times New Roman" w:hAnsi="Times New Roman" w:cs="Times New Roman" w:eastAsia="Times New Roman" w:hint="default"/>
          <w:spacing w:val="-15"/>
        </w:rPr>
        <w:t> </w:t>
      </w:r>
      <w:r>
        <w:rPr>
          <w:rFonts w:ascii="Times New Roman" w:hAnsi="Times New Roman" w:cs="Times New Roman" w:eastAsia="Times New Roman" w:hint="default"/>
        </w:rPr>
        <w:t>FIRST</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LIMITED20,000</w:t>
      </w:r>
      <w:r>
        <w:rPr/>
        <w:t>股股权，认购完成后，</w:t>
      </w:r>
      <w:r>
        <w:rPr>
          <w:w w:val="99"/>
        </w:rPr>
        <w:t> </w:t>
      </w:r>
      <w:r>
        <w:rPr>
          <w:rFonts w:ascii="Times New Roman" w:hAnsi="Times New Roman" w:cs="Times New Roman" w:eastAsia="Times New Roman" w:hint="default"/>
        </w:rPr>
        <w:t>CLINIC FIRST LIMITED</w:t>
      </w:r>
      <w:r>
        <w:rPr/>
        <w:t>注册资本变更为</w:t>
      </w:r>
      <w:r>
        <w:rPr>
          <w:rFonts w:ascii="Times New Roman" w:hAnsi="Times New Roman" w:cs="Times New Roman" w:eastAsia="Times New Roman" w:hint="default"/>
        </w:rPr>
        <w:t>50,000</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Sun Pacific Link</w:t>
      </w:r>
      <w:r>
        <w:rPr>
          <w:rFonts w:ascii="Times New Roman" w:hAnsi="Times New Roman" w:cs="Times New Roman" w:eastAsia="Times New Roman" w:hint="default"/>
          <w:spacing w:val="29"/>
        </w:rPr>
        <w:t> </w:t>
      </w:r>
      <w:r>
        <w:rPr>
          <w:rFonts w:ascii="Times New Roman" w:hAnsi="Times New Roman" w:cs="Times New Roman" w:eastAsia="Times New Roman" w:hint="default"/>
        </w:rPr>
        <w:t>Limited</w:t>
      </w:r>
      <w:r>
        <w:rPr/>
        <w:t>已实际出资</w:t>
      </w:r>
      <w:r>
        <w:rPr>
          <w:rFonts w:ascii="Times New Roman" w:hAnsi="Times New Roman" w:cs="Times New Roman" w:eastAsia="Times New Roman" w:hint="default"/>
        </w:rPr>
        <w:t>150</w:t>
      </w:r>
      <w:r>
        <w:rPr/>
        <w:t>万港币， 占该公司注册资本的</w:t>
      </w:r>
      <w:r>
        <w:rPr>
          <w:rFonts w:ascii="Times New Roman" w:hAnsi="Times New Roman" w:cs="Times New Roman" w:eastAsia="Times New Roman" w:hint="default"/>
        </w:rPr>
        <w:t>40%</w:t>
      </w:r>
      <w:r>
        <w:rPr/>
        <w:t>。</w:t>
      </w:r>
    </w:p>
    <w:p>
      <w:pPr>
        <w:pStyle w:val="BodyText"/>
        <w:spacing w:line="300" w:lineRule="auto" w:before="13"/>
        <w:ind w:right="1064" w:firstLine="420"/>
        <w:jc w:val="left"/>
      </w:pPr>
      <w:r>
        <w:rPr/>
        <w:t>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月，子公司医惠科技公司与章建荣签订了《股权转让协议》，章建荣将其持有的上海互软医康信息技术 有限公司</w:t>
      </w:r>
      <w:r>
        <w:rPr>
          <w:rFonts w:ascii="Times New Roman" w:hAnsi="Times New Roman" w:cs="Times New Roman" w:eastAsia="Times New Roman" w:hint="default"/>
        </w:rPr>
        <w:t>30%</w:t>
      </w:r>
      <w:r>
        <w:rPr/>
        <w:t>股权作价</w:t>
      </w:r>
      <w:r>
        <w:rPr>
          <w:rFonts w:ascii="Times New Roman" w:hAnsi="Times New Roman" w:cs="Times New Roman" w:eastAsia="Times New Roman" w:hint="default"/>
        </w:rPr>
        <w:t>150</w:t>
      </w:r>
      <w:r>
        <w:rPr/>
        <w:t>万元转让给医惠科技公司。截至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日，医惠科技公司实际已支付股权转让款</w:t>
      </w:r>
      <w:r>
        <w:rPr>
          <w:rFonts w:ascii="Times New Roman" w:hAnsi="Times New Roman" w:cs="Times New Roman" w:eastAsia="Times New Roman" w:hint="default"/>
        </w:rPr>
        <w:t>150</w:t>
      </w:r>
      <w:r>
        <w:rPr/>
        <w:t>万元， 目前持有该公司</w:t>
      </w:r>
      <w:r>
        <w:rPr>
          <w:rFonts w:ascii="Times New Roman" w:hAnsi="Times New Roman" w:cs="Times New Roman" w:eastAsia="Times New Roman" w:hint="default"/>
        </w:rPr>
        <w:t>30%</w:t>
      </w:r>
      <w:r>
        <w:rPr/>
        <w:t>的股权。</w:t>
      </w:r>
    </w:p>
    <w:p>
      <w:pPr>
        <w:pStyle w:val="BodyText"/>
        <w:spacing w:line="300" w:lineRule="auto" w:before="13"/>
        <w:ind w:right="1131" w:firstLine="420"/>
        <w:jc w:val="both"/>
      </w:pPr>
      <w:r>
        <w:rPr/>
        <w:t>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月，子公司杭州华洁医疗科技有限公司、陈巧红与浙江华惠医疗科技有限公司签订了《关于投资浙江华 惠医疗科技有限公司之投资协议》，陈巧红将其持有的浙江华惠医疗科技有限公司</w:t>
      </w:r>
      <w:r>
        <w:rPr>
          <w:rFonts w:ascii="Times New Roman" w:hAnsi="Times New Roman" w:cs="Times New Roman" w:eastAsia="Times New Roman" w:hint="default"/>
        </w:rPr>
        <w:t>10%</w:t>
      </w:r>
      <w:r>
        <w:rPr/>
        <w:t>的股权（实际未出资）以</w:t>
      </w:r>
      <w:r>
        <w:rPr>
          <w:rFonts w:ascii="Times New Roman" w:hAnsi="Times New Roman" w:cs="Times New Roman" w:eastAsia="Times New Roman" w:hint="default"/>
        </w:rPr>
        <w:t>0</w:t>
      </w:r>
      <w:r>
        <w:rPr/>
        <w:t>元对价转</w:t>
      </w:r>
      <w:r>
        <w:rPr>
          <w:spacing w:val="-56"/>
        </w:rPr>
        <w:t> </w:t>
      </w:r>
      <w:r>
        <w:rPr>
          <w:spacing w:val="-56"/>
        </w:rPr>
      </w:r>
      <w:r>
        <w:rPr>
          <w:spacing w:val="-2"/>
        </w:rPr>
        <w:t>让给杭州华洁医疗科技有限公司。截至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日，杭州华洁医疗科技有限公司已实际出资</w:t>
      </w:r>
      <w:r>
        <w:rPr>
          <w:rFonts w:ascii="Times New Roman" w:hAnsi="Times New Roman" w:cs="Times New Roman" w:eastAsia="Times New Roman" w:hint="default"/>
          <w:spacing w:val="-2"/>
        </w:rPr>
        <w:t>50</w:t>
      </w:r>
      <w:r>
        <w:rPr>
          <w:spacing w:val="-2"/>
        </w:rPr>
        <w:t>万元，占该公司注册资本</w:t>
      </w:r>
      <w:r>
        <w:rPr>
          <w:spacing w:val="-60"/>
        </w:rPr>
        <w:t> </w:t>
      </w:r>
      <w:r>
        <w:rPr>
          <w:spacing w:val="-60"/>
        </w:rPr>
      </w:r>
      <w:r>
        <w:rPr>
          <w:spacing w:val="-1"/>
        </w:rPr>
        <w:t>的</w:t>
      </w:r>
      <w:r>
        <w:rPr>
          <w:rFonts w:ascii="Times New Roman" w:hAnsi="Times New Roman" w:cs="Times New Roman" w:eastAsia="Times New Roman" w:hint="default"/>
          <w:spacing w:val="-1"/>
        </w:rPr>
        <w:t>10%</w:t>
      </w:r>
      <w:r>
        <w:rPr>
          <w:spacing w:val="-1"/>
        </w:rPr>
        <w:t>。自本次投资完成后，浙江华惠医疗科技有限公司设立董事会，由三名董事组成，杭州华洁医疗科技有限公司有权委</w:t>
      </w:r>
      <w:r>
        <w:rPr/>
        <w:t> 派</w:t>
      </w:r>
      <w:r>
        <w:rPr>
          <w:rFonts w:ascii="Times New Roman" w:hAnsi="Times New Roman" w:cs="Times New Roman" w:eastAsia="Times New Roman" w:hint="default"/>
        </w:rPr>
        <w:t>1</w:t>
      </w:r>
      <w:r>
        <w:rPr/>
        <w:t>名董事，因而本公司对其有重大影响，采用权益法核算。</w:t>
      </w:r>
    </w:p>
    <w:p>
      <w:pPr>
        <w:pStyle w:val="BodyText"/>
        <w:spacing w:line="300" w:lineRule="auto" w:before="13"/>
        <w:ind w:left="573" w:right="1133" w:hanging="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其他说明</w:t>
      </w:r>
      <w:r>
        <w:rPr>
          <w:w w:val="99"/>
        </w:rPr>
        <w:t> </w:t>
      </w:r>
      <w:r>
        <w:rPr/>
        <w:t>医惠科技公司</w:t>
      </w:r>
      <w:r>
        <w:rPr>
          <w:rFonts w:ascii="Times New Roman" w:hAnsi="Times New Roman" w:cs="Times New Roman" w:eastAsia="Times New Roman" w:hint="default"/>
        </w:rPr>
        <w:t>2016</w:t>
      </w:r>
      <w:r>
        <w:rPr/>
        <w:t>年投资云南医惠科技有限公司，云南医惠科技有限公司注册资本</w:t>
      </w:r>
      <w:r>
        <w:rPr>
          <w:rFonts w:ascii="Times New Roman" w:hAnsi="Times New Roman" w:cs="Times New Roman" w:eastAsia="Times New Roman" w:hint="default"/>
        </w:rPr>
        <w:t>665</w:t>
      </w:r>
      <w:r>
        <w:rPr/>
        <w:t>万元，医惠科技公司认缴</w:t>
      </w:r>
      <w:r>
        <w:rPr>
          <w:rFonts w:ascii="Times New Roman" w:hAnsi="Times New Roman" w:cs="Times New Roman" w:eastAsia="Times New Roman" w:hint="default"/>
        </w:rPr>
        <w:t>133</w:t>
      </w:r>
      <w:r>
        <w:rPr/>
        <w:t>万</w:t>
      </w:r>
    </w:p>
    <w:p>
      <w:pPr>
        <w:pStyle w:val="BodyText"/>
        <w:spacing w:line="240" w:lineRule="auto" w:before="13"/>
        <w:ind w:right="1133"/>
        <w:jc w:val="left"/>
      </w:pPr>
      <w:r>
        <w:rPr/>
        <w:t>元，占其注册资本的</w:t>
      </w:r>
      <w:r>
        <w:rPr>
          <w:rFonts w:ascii="Times New Roman" w:hAnsi="Times New Roman" w:cs="Times New Roman" w:eastAsia="Times New Roman" w:hint="default"/>
        </w:rPr>
        <w:t>20%</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日，医惠科技公司尚未出资。</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05"/>
        <w:gridCol w:w="1724"/>
        <w:gridCol w:w="1916"/>
        <w:gridCol w:w="1913"/>
        <w:gridCol w:w="1915"/>
      </w:tblGrid>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29,779,804.47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1,398,331.87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31,178,136.34</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45,852,167.53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16,156,461.00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62,008,628.53</w:t>
            </w:r>
          </w:p>
        </w:tc>
      </w:tr>
      <w:tr>
        <w:trPr>
          <w:trHeight w:val="4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在建工程转入</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45,852,167.53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16,156,461.00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62,008,628.53</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75,631,972.00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17,554,792.87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93,186,764.87</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5,309,406.70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149,019.61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5,458,426.31</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19,474,267.96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3,927,648.29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23,401,916.25</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3,476,392.39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351,095.90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3,827,488.29</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15,997,875.57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3,576,552.39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19,574,427.96</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24,783,674.66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4,076,667.90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28,860,342.56</w:t>
            </w:r>
          </w:p>
        </w:tc>
      </w:tr>
      <w:tr>
        <w:trPr>
          <w:trHeight w:val="4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24"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092"/>
        <w:gridCol w:w="1736"/>
        <w:gridCol w:w="1916"/>
        <w:gridCol w:w="1913"/>
        <w:gridCol w:w="1915"/>
      </w:tblGrid>
      <w:tr>
        <w:trPr>
          <w:trHeight w:val="401"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50,848,297.34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13,478,124.97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64,326,422.31</w:t>
            </w:r>
          </w:p>
        </w:tc>
      </w:tr>
      <w:tr>
        <w:trPr>
          <w:trHeight w:val="40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24,470,397.77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1,249,312.26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25,719,710.03</w:t>
            </w:r>
          </w:p>
        </w:tc>
      </w:tr>
    </w:tbl>
    <w:p>
      <w:pPr>
        <w:spacing w:line="240" w:lineRule="auto" w:before="4"/>
        <w:rPr>
          <w:rFonts w:ascii="宋体" w:hAnsi="宋体" w:cs="宋体" w:eastAsia="宋体" w:hint="default"/>
          <w:sz w:val="20"/>
          <w:szCs w:val="20"/>
        </w:rPr>
      </w:pPr>
    </w:p>
    <w:p>
      <w:pPr>
        <w:pStyle w:val="BodyText"/>
        <w:spacing w:line="240" w:lineRule="auto" w:before="44"/>
        <w:ind w:left="513" w:right="1133"/>
        <w:jc w:val="left"/>
      </w:pPr>
      <w:r>
        <w:rPr/>
        <w:t>注</w:t>
      </w:r>
      <w:r>
        <w:rPr>
          <w:spacing w:val="-49"/>
        </w:rPr>
        <w:t> </w:t>
      </w:r>
      <w:r>
        <w:rPr>
          <w:rFonts w:ascii="宋体" w:hAnsi="宋体" w:cs="宋体" w:eastAsia="宋体" w:hint="default"/>
        </w:rPr>
        <w:t>1</w:t>
      </w:r>
      <w:r>
        <w:rPr/>
        <w:t>：本期增加由固定资产转入</w:t>
      </w:r>
      <w:r>
        <w:rPr>
          <w:spacing w:val="-48"/>
        </w:rPr>
        <w:t> </w:t>
      </w:r>
      <w:r>
        <w:rPr>
          <w:rFonts w:ascii="宋体" w:hAnsi="宋体" w:cs="宋体" w:eastAsia="宋体" w:hint="default"/>
        </w:rPr>
        <w:t>45,852,167.53</w:t>
      </w:r>
      <w:r>
        <w:rPr>
          <w:rFonts w:ascii="宋体" w:hAnsi="宋体" w:cs="宋体" w:eastAsia="宋体" w:hint="default"/>
          <w:spacing w:val="-47"/>
        </w:rPr>
        <w:t> </w:t>
      </w:r>
      <w:r>
        <w:rPr/>
        <w:t>元，由无形资产转入</w:t>
      </w:r>
      <w:r>
        <w:rPr>
          <w:spacing w:val="-49"/>
        </w:rPr>
        <w:t> </w:t>
      </w:r>
      <w:r>
        <w:rPr>
          <w:rFonts w:ascii="宋体" w:hAnsi="宋体" w:cs="宋体" w:eastAsia="宋体" w:hint="default"/>
        </w:rPr>
        <w:t>16,156,461.00</w:t>
      </w:r>
      <w:r>
        <w:rPr>
          <w:rFonts w:ascii="宋体" w:hAnsi="宋体" w:cs="宋体" w:eastAsia="宋体" w:hint="default"/>
          <w:spacing w:val="-47"/>
        </w:rPr>
        <w:t> </w:t>
      </w:r>
      <w:r>
        <w:rPr/>
        <w:t>元。</w:t>
      </w:r>
    </w:p>
    <w:p>
      <w:pPr>
        <w:spacing w:line="240" w:lineRule="auto" w:before="0"/>
        <w:rPr>
          <w:rFonts w:ascii="宋体" w:hAnsi="宋体" w:cs="宋体" w:eastAsia="宋体" w:hint="default"/>
          <w:sz w:val="18"/>
          <w:szCs w:val="18"/>
        </w:rPr>
      </w:pPr>
    </w:p>
    <w:p>
      <w:pPr>
        <w:pStyle w:val="BodyText"/>
        <w:spacing w:line="240" w:lineRule="auto" w:before="143"/>
        <w:ind w:left="513" w:right="1133"/>
        <w:jc w:val="left"/>
      </w:pPr>
      <w:r>
        <w:rPr/>
        <w:t>注</w:t>
      </w:r>
      <w:r>
        <w:rPr>
          <w:spacing w:val="-48"/>
        </w:rPr>
        <w:t> </w:t>
      </w:r>
      <w:r>
        <w:rPr>
          <w:rFonts w:ascii="宋体" w:hAnsi="宋体" w:cs="宋体" w:eastAsia="宋体" w:hint="default"/>
        </w:rPr>
        <w:t>2</w:t>
      </w:r>
      <w:r>
        <w:rPr/>
        <w:t>：本期增加由固定资产累计折旧转入</w:t>
      </w:r>
      <w:r>
        <w:rPr>
          <w:spacing w:val="-47"/>
        </w:rPr>
        <w:t> </w:t>
      </w:r>
      <w:r>
        <w:rPr>
          <w:rFonts w:ascii="宋体" w:hAnsi="宋体" w:cs="宋体" w:eastAsia="宋体" w:hint="default"/>
        </w:rPr>
        <w:t>15,997,875.57</w:t>
      </w:r>
      <w:r>
        <w:rPr>
          <w:rFonts w:ascii="宋体" w:hAnsi="宋体" w:cs="宋体" w:eastAsia="宋体" w:hint="default"/>
          <w:spacing w:val="-47"/>
        </w:rPr>
        <w:t> </w:t>
      </w:r>
      <w:r>
        <w:rPr/>
        <w:t>元，由无形资产累计摊销转入</w:t>
      </w:r>
      <w:r>
        <w:rPr>
          <w:spacing w:val="-48"/>
        </w:rPr>
        <w:t> </w:t>
      </w:r>
      <w:r>
        <w:rPr>
          <w:rFonts w:ascii="宋体" w:hAnsi="宋体" w:cs="宋体" w:eastAsia="宋体" w:hint="default"/>
        </w:rPr>
        <w:t>3,576,552.39</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300,292,739.88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349,058,241.06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300,292,739.88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349,058,241.06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15"/>
        <w:gridCol w:w="1517"/>
        <w:gridCol w:w="1517"/>
        <w:gridCol w:w="1515"/>
        <w:gridCol w:w="151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234,073,545.46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209,336,497.18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8,876,932.15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28,500,128.32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480,787,103.11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13,307,759.80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1,695,246.83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4,364,572.52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19,367,579.15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6,517,671.04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1,695,246.83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4,210,731.98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12,423,649.85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6,790,088.76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153,840.54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6,943,929.30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48,380,380.19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9,872,470.17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1,525,853.73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59,778,704.09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2,528,212.66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9,564,362.07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1,525,853.73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13,618,428.46</w:t>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）其他转出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45,852,167.53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308,108.10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46,160,275.63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85"/>
        <w:gridCol w:w="1515"/>
        <w:gridCol w:w="1517"/>
        <w:gridCol w:w="1517"/>
        <w:gridCol w:w="1515"/>
        <w:gridCol w:w="151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185,693,165.27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212,771,786.81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10,572,178.98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31,338,847.11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440,375,978.17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36,944,544.52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73,503,740.99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7,273,163.54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14,007,413.00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131,728,862.05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8,814,377.92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22,276,730.29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701,462.86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4,457,492.46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36,250,063.53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8,814,377.92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22,276,730.29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701,462.86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4,457,492.46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36,250,063.53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18,322,613.25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8,442,084.80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1,130,989.24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27,895,687.29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2,324,737.68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8,442,084.80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1,130,989.24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11,897,811.72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）其他转出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15,997,875.57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15,997,875.57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27,436,309.19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87,338,386.48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7,974,626.40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17,333,916.22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140,083,238.29</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158,256,856.08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125,433,400.33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2,597,552.58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14,004,930.89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300,292,739.88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197,129,000.94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135,832,756.19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1,603,768.61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14,492,715.32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349,058,241.06</w:t>
            </w:r>
          </w:p>
        </w:tc>
      </w:tr>
    </w:tbl>
    <w:p>
      <w:pPr>
        <w:pStyle w:val="BodyText"/>
        <w:spacing w:line="300" w:lineRule="auto" w:before="8"/>
        <w:ind w:left="573" w:right="7723"/>
        <w:jc w:val="left"/>
      </w:pPr>
      <w:r>
        <w:rPr/>
        <w:t>注</w:t>
      </w:r>
      <w:r>
        <w:rPr>
          <w:rFonts w:ascii="Times New Roman" w:hAnsi="Times New Roman" w:cs="Times New Roman" w:eastAsia="Times New Roman" w:hint="default"/>
        </w:rPr>
        <w:t>1</w:t>
      </w:r>
      <w:r>
        <w:rPr/>
        <w:t>：系转入投资性房地产金额。 注</w:t>
      </w:r>
      <w:r>
        <w:rPr>
          <w:rFonts w:ascii="Times New Roman" w:hAnsi="Times New Roman" w:cs="Times New Roman" w:eastAsia="Times New Roman" w:hint="default"/>
        </w:rPr>
        <w:t>2</w:t>
      </w:r>
      <w:r>
        <w:rPr/>
        <w:t>：系转入长期待摊费用金额。</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20,133,141.32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5,821,946.87</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20,133,141.32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5,821,946.87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873,030.60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873,030.60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233,015.64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233,015.64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自动化洗涤设备 生产线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5,494,591.61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5,494,591.61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医惠中心项目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19,064,800.23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19,064,800.23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195,310.49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195,310.49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20,133,141.32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20,133,141.32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5,821,946.87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5,821,946.87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01"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待安装</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233,015.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3,830,61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2,864,22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326,368.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873,030.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9" w:right="0"/>
              <w:jc w:val="left"/>
              <w:rPr>
                <w:rFonts w:ascii="Times New Roman" w:hAnsi="Times New Roman" w:cs="Times New Roman" w:eastAsia="Times New Roman" w:hint="default"/>
                <w:sz w:val="18"/>
                <w:szCs w:val="18"/>
              </w:rPr>
            </w:pPr>
            <w:r>
              <w:rPr>
                <w:rFonts w:ascii="Times New Roman"/>
                <w:sz w:val="18"/>
              </w:rPr>
              <w:t>2.46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9.30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自动化 洗涤设 备生产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5,494,59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4,079,70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1,781,24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医惠中 心项目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3,167,20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3,066,23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5,821,94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26,428,9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6,943,92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5,173,85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20,133,1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41.32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136"/>
        <w:gridCol w:w="850"/>
        <w:gridCol w:w="992"/>
        <w:gridCol w:w="1135"/>
        <w:gridCol w:w="1133"/>
        <w:gridCol w:w="1001"/>
        <w:gridCol w:w="1198"/>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01" w:right="20" w:hanging="178"/>
              <w:jc w:val="left"/>
              <w:rPr>
                <w:rFonts w:ascii="宋体" w:hAnsi="宋体" w:cs="宋体" w:eastAsia="宋体" w:hint="default"/>
                <w:sz w:val="18"/>
                <w:szCs w:val="18"/>
              </w:rPr>
            </w:pPr>
            <w:r>
              <w:rPr>
                <w:rFonts w:ascii="宋体" w:hAnsi="宋体" w:cs="宋体" w:eastAsia="宋体" w:hint="default"/>
                <w:sz w:val="18"/>
                <w:szCs w:val="18"/>
              </w:rPr>
              <w:t>专有技术、专 利及商标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客户渠道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33,782,229.13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87,352,840.02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3,705,189.69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129,840,258.84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11,438,662.55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130,181.42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11,568,843.97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130,181.42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177,541.56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9,352,831.87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9,352,831.87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2,038,470.54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2,038,470.54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16,156,461.00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16,156,461.00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16,156,461.00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16,156,461.00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17,625,768.13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98,791,502.57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3,835,371.11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125,252,641.81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5,459,923.25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23,370,621.16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2,146,111.70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31,476,656.11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352,515.34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12,433,948.18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1,258,377.21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15,044,840.73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352,515.34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12,433,948.18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1,258,377.21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15,044,840.73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3,576,552.39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3,576,552.39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3,576,552.39</w:t>
            </w:r>
          </w:p>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3,576,552.39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2,235,886.20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35,804,569.34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3,404,488.91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42,944,944.45</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127"/>
        <w:gridCol w:w="1136"/>
        <w:gridCol w:w="850"/>
        <w:gridCol w:w="992"/>
        <w:gridCol w:w="1135"/>
        <w:gridCol w:w="1133"/>
        <w:gridCol w:w="1001"/>
        <w:gridCol w:w="1198"/>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15,389,881.93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62,986,933.23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430,882.20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82,307,697.36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28,322,305.88</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63,982,218.86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1,559,077.99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98,363,602.73</w:t>
            </w:r>
          </w:p>
        </w:tc>
      </w:tr>
    </w:tbl>
    <w:p>
      <w:pPr>
        <w:pStyle w:val="BodyText"/>
        <w:spacing w:line="240" w:lineRule="auto" w:before="8"/>
        <w:ind w:right="1133"/>
        <w:jc w:val="left"/>
      </w:pPr>
      <w:r>
        <w:rPr/>
        <w:t>本期末通过公司内部研发形成的无形资产占无形资产余额的比例</w:t>
      </w:r>
      <w:r>
        <w:rPr>
          <w:spacing w:val="-52"/>
        </w:rPr>
        <w:t> </w:t>
      </w:r>
      <w:r>
        <w:rPr>
          <w:rFonts w:ascii="Times New Roman" w:hAnsi="Times New Roman" w:cs="Times New Roman" w:eastAsia="Times New Roman" w:hint="default"/>
        </w:rPr>
        <w:t>11.36%</w:t>
      </w:r>
      <w:r>
        <w:rPr/>
        <w:t>。注：系转入投资性房地产金额。</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MDT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多学科 联合平台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9,340,635.67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12,196.20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9,352,831.87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sz w:val="18"/>
                <w:szCs w:val="18"/>
              </w:rPr>
              <w:t>医学人工智 能技术及系 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10,797,185.2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10,797,185.2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基于多核低 功耗高速计 算技术的 </w:t>
            </w:r>
            <w:r>
              <w:rPr>
                <w:rFonts w:ascii="Times New Roman" w:hAnsi="Times New Roman" w:cs="Times New Roman" w:eastAsia="Times New Roman" w:hint="default"/>
                <w:sz w:val="18"/>
                <w:szCs w:val="18"/>
              </w:rPr>
              <w:t>ESL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智能数 据系统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2,779,929.25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2,779,929.25</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9,340,635.67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13,589,310.7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9,352,831.87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13,577,114.5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33"/>
        <w:jc w:val="left"/>
      </w:pPr>
      <w:r>
        <w:rPr/>
        <w:t>其他说明</w:t>
      </w:r>
    </w:p>
    <w:p>
      <w:pPr>
        <w:pStyle w:val="BodyText"/>
        <w:spacing w:line="240" w:lineRule="auto" w:before="115"/>
        <w:ind w:left="0" w:right="1128"/>
        <w:jc w:val="right"/>
      </w:pPr>
      <w:r>
        <w:rPr>
          <w:spacing w:val="-1"/>
        </w:rPr>
        <w:t>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月起开始</w:t>
      </w:r>
      <w:r>
        <w:rPr>
          <w:rFonts w:ascii="Times New Roman" w:hAnsi="Times New Roman" w:cs="Times New Roman" w:eastAsia="Times New Roman" w:hint="default"/>
          <w:spacing w:val="-1"/>
        </w:rPr>
        <w:t>MDT</w:t>
      </w:r>
      <w:r>
        <w:rPr>
          <w:spacing w:val="-1"/>
        </w:rPr>
        <w:t>多学科联合平台升级开发，于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月取得</w:t>
      </w:r>
      <w:r>
        <w:rPr>
          <w:rFonts w:ascii="Times New Roman" w:hAnsi="Times New Roman" w:cs="Times New Roman" w:eastAsia="Times New Roman" w:hint="default"/>
          <w:spacing w:val="-1"/>
        </w:rPr>
        <w:t>V2.0</w:t>
      </w:r>
      <w:r>
        <w:rPr>
          <w:spacing w:val="-1"/>
        </w:rPr>
        <w:t>计算机软件著作权登记证书</w:t>
      </w:r>
      <w:r>
        <w:rPr>
          <w:rFonts w:ascii="Times New Roman" w:hAnsi="Times New Roman" w:cs="Times New Roman" w:eastAsia="Times New Roman" w:hint="default"/>
          <w:spacing w:val="-1"/>
        </w:rPr>
        <w:t>,</w:t>
      </w:r>
      <w:r>
        <w:rPr>
          <w:spacing w:val="-1"/>
        </w:rPr>
        <w:t>并于</w:t>
      </w:r>
      <w:r>
        <w:rPr>
          <w:rFonts w:ascii="Times New Roman" w:hAnsi="Times New Roman" w:cs="Times New Roman" w:eastAsia="Times New Roman" w:hint="default"/>
          <w:spacing w:val="-1"/>
        </w:rPr>
        <w:t>2018</w:t>
      </w:r>
      <w:r>
        <w:rPr>
          <w:spacing w:val="-1"/>
        </w:rPr>
        <w:t>年</w:t>
      </w:r>
    </w:p>
    <w:p>
      <w:pPr>
        <w:pStyle w:val="BodyText"/>
        <w:spacing w:line="300" w:lineRule="auto" w:before="63"/>
        <w:ind w:left="573" w:right="1133" w:hanging="421"/>
        <w:jc w:val="left"/>
      </w:pPr>
      <w:r>
        <w:rPr>
          <w:rFonts w:ascii="Times New Roman" w:hAnsi="Times New Roman" w:cs="Times New Roman" w:eastAsia="Times New Roman" w:hint="default"/>
        </w:rPr>
        <w:t>4</w:t>
      </w:r>
      <w:r>
        <w:rPr/>
        <w:t>月转入无形资产。 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月起开始医学人工智能技术及系统开发。截至期末，公司就该软件的升级开发进度已达</w:t>
      </w:r>
      <w:r>
        <w:rPr>
          <w:rFonts w:ascii="Times New Roman" w:hAnsi="Times New Roman" w:cs="Times New Roman" w:eastAsia="Times New Roman" w:hint="default"/>
        </w:rPr>
        <w:t>90%</w:t>
      </w:r>
      <w:r>
        <w:rPr/>
        <w:t>左右。 </w:t>
      </w:r>
      <w:r>
        <w:rPr>
          <w:spacing w:val="-1"/>
        </w:rPr>
        <w:t>公司自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月起开始基于多核低功耗高速计算技术的</w:t>
      </w:r>
      <w:r>
        <w:rPr>
          <w:rFonts w:ascii="Times New Roman" w:hAnsi="Times New Roman" w:cs="Times New Roman" w:eastAsia="Times New Roman" w:hint="default"/>
          <w:spacing w:val="-1"/>
        </w:rPr>
        <w:t>ESL</w:t>
      </w:r>
      <w:r>
        <w:rPr>
          <w:spacing w:val="-1"/>
        </w:rPr>
        <w:t>智能数据系统开发。截至期末，公司就该软件的升级开发</w:t>
      </w:r>
    </w:p>
    <w:p>
      <w:pPr>
        <w:pStyle w:val="BodyText"/>
        <w:spacing w:line="240" w:lineRule="auto" w:before="13"/>
        <w:ind w:right="1133"/>
        <w:jc w:val="left"/>
      </w:pPr>
      <w:r>
        <w:rPr/>
        <w:t>进度已达</w:t>
      </w:r>
      <w:r>
        <w:rPr>
          <w:rFonts w:ascii="Times New Roman" w:hAnsi="Times New Roman" w:cs="Times New Roman" w:eastAsia="Times New Roman" w:hint="default"/>
        </w:rPr>
        <w:t>50%</w:t>
      </w:r>
      <w:r>
        <w:rPr/>
        <w:t>左右。</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498"/>
        <w:gridCol w:w="1620"/>
        <w:gridCol w:w="2482"/>
      </w:tblGrid>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3" w:right="82" w:hanging="1172"/>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74,720,020.90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74,720,020.90</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（以下简称思创超讯公司）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4,328,289.74</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4,328,289.74</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649,900,730.44</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649,900,730.44</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7,827,809.66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7,827,809.66</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16,644,250.75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16,644,250.75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498"/>
        <w:gridCol w:w="1620"/>
        <w:gridCol w:w="2482"/>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EWELL HONGKONG</w:t>
            </w:r>
            <w:r>
              <w:rPr>
                <w:rFonts w:ascii="Times New Roman"/>
                <w:spacing w:val="-15"/>
                <w:sz w:val="18"/>
              </w:rPr>
              <w:t> </w:t>
            </w:r>
            <w:r>
              <w:rPr>
                <w:rFonts w:ascii="Times New Roman"/>
                <w:sz w:val="18"/>
              </w:rPr>
              <w:t>LIMITED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7,911,319.62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7,911,319.62</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761,332,421.11</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761,332,421.11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65,256,418.63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65,256,418.63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65,256,418.63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65,256,418.63</w:t>
            </w:r>
          </w:p>
        </w:tc>
      </w:tr>
    </w:tbl>
    <w:p>
      <w:pPr>
        <w:pStyle w:val="BodyText"/>
        <w:spacing w:line="240" w:lineRule="auto" w:before="49"/>
        <w:ind w:right="1133"/>
        <w:jc w:val="left"/>
      </w:pPr>
      <w:r>
        <w:rPr/>
        <w:t>商誉所在资产组或资产组组合的相关信息</w:t>
      </w:r>
    </w:p>
    <w:p>
      <w:pPr>
        <w:pStyle w:val="BodyText"/>
        <w:spacing w:line="300" w:lineRule="auto" w:before="115"/>
        <w:ind w:left="258" w:right="1128" w:firstLine="314"/>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4"/>
        </w:rPr>
        <w:t>GL</w:t>
      </w:r>
      <w:r>
        <w:rPr>
          <w:spacing w:val="4"/>
        </w:rPr>
        <w:t>公司商誉系</w:t>
      </w:r>
      <w:r>
        <w:rPr>
          <w:rFonts w:ascii="Times New Roman" w:hAnsi="Times New Roman" w:cs="Times New Roman" w:eastAsia="Times New Roman" w:hint="default"/>
          <w:spacing w:val="4"/>
        </w:rPr>
        <w:t>2014</w:t>
      </w:r>
      <w:r>
        <w:rPr>
          <w:spacing w:val="4"/>
        </w:rPr>
        <w:t>年本公司受让</w:t>
      </w:r>
      <w:r>
        <w:rPr>
          <w:rFonts w:ascii="Times New Roman" w:hAnsi="Times New Roman" w:cs="Times New Roman" w:eastAsia="Times New Roman" w:hint="default"/>
          <w:spacing w:val="4"/>
        </w:rPr>
        <w:t>LTM </w:t>
      </w:r>
      <w:r>
        <w:rPr>
          <w:rFonts w:ascii="Times New Roman" w:hAnsi="Times New Roman" w:cs="Times New Roman" w:eastAsia="Times New Roman" w:hint="default"/>
        </w:rPr>
        <w:t>Fondo de Inversion Privado S.A.</w:t>
      </w:r>
      <w:r>
        <w:rPr/>
        <w:t>、</w:t>
      </w:r>
      <w:r>
        <w:rPr>
          <w:rFonts w:ascii="Times New Roman" w:hAnsi="Times New Roman" w:cs="Times New Roman" w:eastAsia="Times New Roman" w:hint="default"/>
        </w:rPr>
        <w:t>Comercial Invue Limitada</w:t>
      </w:r>
      <w:r>
        <w:rPr/>
        <w:t>和</w:t>
      </w:r>
      <w:r>
        <w:rPr>
          <w:rFonts w:ascii="Times New Roman" w:hAnsi="Times New Roman" w:cs="Times New Roman" w:eastAsia="Times New Roman" w:hint="default"/>
        </w:rPr>
        <w:t>Sociedad</w:t>
      </w:r>
      <w:r>
        <w:rPr>
          <w:rFonts w:ascii="Times New Roman" w:hAnsi="Times New Roman" w:cs="Times New Roman" w:eastAsia="Times New Roman" w:hint="default"/>
          <w:spacing w:val="4"/>
        </w:rPr>
        <w:t> </w:t>
      </w:r>
      <w:r>
        <w:rPr>
          <w:rFonts w:ascii="Times New Roman" w:hAnsi="Times New Roman" w:cs="Times New Roman" w:eastAsia="Times New Roman" w:hint="default"/>
        </w:rPr>
        <w:t>de</w:t>
      </w:r>
      <w:r>
        <w:rPr>
          <w:rFonts w:ascii="Times New Roman" w:hAnsi="Times New Roman" w:cs="Times New Roman" w:eastAsia="Times New Roman" w:hint="default"/>
        </w:rPr>
        <w:t> Inversiones</w:t>
      </w:r>
      <w:r>
        <w:rPr>
          <w:rFonts w:ascii="Times New Roman" w:hAnsi="Times New Roman" w:cs="Times New Roman" w:eastAsia="Times New Roman" w:hint="default"/>
          <w:spacing w:val="-27"/>
        </w:rPr>
        <w:t> </w:t>
      </w:r>
      <w:r>
        <w:rPr>
          <w:rFonts w:ascii="Times New Roman" w:hAnsi="Times New Roman" w:cs="Times New Roman" w:eastAsia="Times New Roman" w:hint="default"/>
        </w:rPr>
        <w:t>Mara</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Limitada</w:t>
      </w:r>
      <w:r>
        <w:rPr/>
        <w:t>持有的</w:t>
      </w:r>
      <w:r>
        <w:rPr>
          <w:rFonts w:ascii="Times New Roman" w:hAnsi="Times New Roman" w:cs="Times New Roman" w:eastAsia="Times New Roman" w:hint="default"/>
        </w:rPr>
        <w:t>GL</w:t>
      </w:r>
      <w:r>
        <w:rPr/>
        <w:t>公司</w:t>
      </w:r>
      <w:r>
        <w:rPr>
          <w:rFonts w:ascii="Times New Roman" w:hAnsi="Times New Roman" w:cs="Times New Roman" w:eastAsia="Times New Roman" w:hint="default"/>
        </w:rPr>
        <w:t>51%</w:t>
      </w:r>
      <w:r>
        <w:rPr/>
        <w:t>股权，合并成本</w:t>
      </w:r>
      <w:r>
        <w:rPr>
          <w:rFonts w:ascii="Times New Roman" w:hAnsi="Times New Roman" w:cs="Times New Roman" w:eastAsia="Times New Roman" w:hint="default"/>
        </w:rPr>
        <w:t>1,321.23</w:t>
      </w:r>
      <w:r>
        <w:rPr/>
        <w:t>万美元（折合人民币</w:t>
      </w:r>
      <w:r>
        <w:rPr>
          <w:rFonts w:ascii="Times New Roman" w:hAnsi="Times New Roman" w:cs="Times New Roman" w:eastAsia="Times New Roman" w:hint="default"/>
        </w:rPr>
        <w:t>80,553,881.73</w:t>
      </w:r>
      <w:r>
        <w:rPr/>
        <w:t>元，合并成本中的或 有对价按未来预计支出折现后的金额计算）与合并取得的</w:t>
      </w:r>
      <w:r>
        <w:rPr>
          <w:rFonts w:ascii="Times New Roman" w:hAnsi="Times New Roman" w:cs="Times New Roman" w:eastAsia="Times New Roman" w:hint="default"/>
        </w:rPr>
        <w:t>GL</w:t>
      </w:r>
      <w:r>
        <w:rPr/>
        <w:t>公司可辨认净资产公允价值份额</w:t>
      </w:r>
      <w:r>
        <w:rPr>
          <w:rFonts w:ascii="Times New Roman" w:hAnsi="Times New Roman" w:cs="Times New Roman" w:eastAsia="Times New Roman" w:hint="default"/>
        </w:rPr>
        <w:t>5,833,860.83</w:t>
      </w:r>
      <w:r>
        <w:rPr/>
        <w:t>元的差额。</w:t>
      </w:r>
    </w:p>
    <w:p>
      <w:pPr>
        <w:pStyle w:val="BodyText"/>
        <w:spacing w:line="300" w:lineRule="auto" w:before="13"/>
        <w:ind w:right="112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思创超讯公司商誉系</w:t>
      </w:r>
      <w:r>
        <w:rPr>
          <w:rFonts w:ascii="Times New Roman" w:hAnsi="Times New Roman" w:cs="Times New Roman" w:eastAsia="Times New Roman" w:hint="default"/>
        </w:rPr>
        <w:t>2014</w:t>
      </w:r>
      <w:r>
        <w:rPr/>
        <w:t>年本公司受让成都盛长泰投资公司和刘云等自然人持有的思创超讯公司</w:t>
      </w:r>
      <w:r>
        <w:rPr>
          <w:rFonts w:ascii="Times New Roman" w:hAnsi="Times New Roman" w:cs="Times New Roman" w:eastAsia="Times New Roman" w:hint="default"/>
        </w:rPr>
        <w:t>51%</w:t>
      </w:r>
      <w:r>
        <w:rPr/>
        <w:t>股权，合并成 本</w:t>
      </w:r>
      <w:r>
        <w:rPr>
          <w:rFonts w:ascii="Times New Roman" w:hAnsi="Times New Roman" w:cs="Times New Roman" w:eastAsia="Times New Roman" w:hint="default"/>
        </w:rPr>
        <w:t>7,701,000.00</w:t>
      </w:r>
      <w:r>
        <w:rPr/>
        <w:t>元与合并取得的思创超讯公司可辨认净资产公允价值份额</w:t>
      </w:r>
      <w:r>
        <w:rPr>
          <w:rFonts w:ascii="Times New Roman" w:hAnsi="Times New Roman" w:cs="Times New Roman" w:eastAsia="Times New Roman" w:hint="default"/>
        </w:rPr>
        <w:t>3,372,710.26</w:t>
      </w:r>
      <w:r>
        <w:rPr/>
        <w:t>元的差额。</w:t>
      </w:r>
    </w:p>
    <w:p>
      <w:pPr>
        <w:pStyle w:val="BodyText"/>
        <w:spacing w:line="240" w:lineRule="auto" w:before="13"/>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）医惠科技公司商誉系</w:t>
      </w:r>
      <w:r>
        <w:rPr>
          <w:rFonts w:ascii="Times New Roman" w:hAnsi="Times New Roman" w:cs="Times New Roman" w:eastAsia="Times New Roman" w:hint="default"/>
        </w:rPr>
        <w:t>2015</w:t>
      </w:r>
      <w:r>
        <w:rPr/>
        <w:t>年本公司受让上海医惠实业有限公司等公司及章笠中等自然人持有的医惠科技公司</w:t>
      </w:r>
      <w:r>
        <w:rPr>
          <w:rFonts w:ascii="Times New Roman" w:hAnsi="Times New Roman" w:cs="Times New Roman" w:eastAsia="Times New Roman" w:hint="default"/>
        </w:rPr>
        <w:t>100%</w:t>
      </w:r>
    </w:p>
    <w:p>
      <w:pPr>
        <w:pStyle w:val="BodyText"/>
        <w:spacing w:line="240" w:lineRule="auto" w:before="63"/>
        <w:ind w:right="1133"/>
        <w:jc w:val="left"/>
      </w:pPr>
      <w:r>
        <w:rPr/>
        <w:t>的股权，合并成本</w:t>
      </w:r>
      <w:r>
        <w:rPr>
          <w:rFonts w:ascii="Times New Roman" w:hAnsi="Times New Roman" w:cs="Times New Roman" w:eastAsia="Times New Roman" w:hint="default"/>
        </w:rPr>
        <w:t>1,087,240,000.00</w:t>
      </w:r>
      <w:r>
        <w:rPr/>
        <w:t>元与合并取得的医惠科技公司可辨认净资产公允价值份额</w:t>
      </w:r>
      <w:r>
        <w:rPr>
          <w:rFonts w:ascii="Times New Roman" w:hAnsi="Times New Roman" w:cs="Times New Roman" w:eastAsia="Times New Roman" w:hint="default"/>
        </w:rPr>
        <w:t>437,339,269.56</w:t>
      </w:r>
      <w:r>
        <w:rPr/>
        <w:t>元的差额。</w:t>
      </w:r>
    </w:p>
    <w:p>
      <w:pPr>
        <w:pStyle w:val="BodyText"/>
        <w:spacing w:line="240" w:lineRule="auto" w:before="63"/>
        <w:ind w:left="573" w:right="1133"/>
        <w:jc w:val="left"/>
      </w:pPr>
      <w:r>
        <w:rPr>
          <w:rFonts w:ascii="Times New Roman" w:hAnsi="Times New Roman" w:cs="Times New Roman" w:eastAsia="Times New Roman" w:hint="default"/>
          <w:spacing w:val="2"/>
        </w:rPr>
        <w:t>4</w:t>
      </w:r>
      <w:r>
        <w:rPr>
          <w:spacing w:val="2"/>
        </w:rPr>
        <w:t>）杭州华洁医疗科技有限公司商誉系</w:t>
      </w:r>
      <w:r>
        <w:rPr>
          <w:rFonts w:ascii="Times New Roman" w:hAnsi="Times New Roman" w:cs="Times New Roman" w:eastAsia="Times New Roman" w:hint="default"/>
          <w:spacing w:val="2"/>
        </w:rPr>
        <w:t>2017</w:t>
      </w:r>
      <w:r>
        <w:rPr>
          <w:spacing w:val="2"/>
        </w:rPr>
        <w:t>年本公司对杭州华洁医疗科技有限公司增资持有对方</w:t>
      </w:r>
      <w:r>
        <w:rPr>
          <w:rFonts w:ascii="Times New Roman" w:hAnsi="Times New Roman" w:cs="Times New Roman" w:eastAsia="Times New Roman" w:hint="default"/>
          <w:spacing w:val="2"/>
        </w:rPr>
        <w:t>75%</w:t>
      </w:r>
      <w:r>
        <w:rPr>
          <w:spacing w:val="2"/>
        </w:rPr>
        <w:t>股权，合并成本</w:t>
      </w:r>
    </w:p>
    <w:p>
      <w:pPr>
        <w:pStyle w:val="BodyText"/>
        <w:spacing w:line="240" w:lineRule="auto" w:before="63"/>
        <w:ind w:right="1133"/>
        <w:jc w:val="left"/>
      </w:pPr>
      <w:r>
        <w:rPr>
          <w:rFonts w:ascii="Times New Roman" w:hAnsi="Times New Roman" w:cs="Times New Roman" w:eastAsia="Times New Roman" w:hint="default"/>
        </w:rPr>
        <w:t>25,000,000.00</w:t>
      </w:r>
      <w:r>
        <w:rPr/>
        <w:t>元与合并取得的杭州华洁医疗科技有限公司可辨认净资产公允价值份额</w:t>
      </w:r>
      <w:r>
        <w:rPr>
          <w:rFonts w:ascii="Times New Roman" w:hAnsi="Times New Roman" w:cs="Times New Roman" w:eastAsia="Times New Roman" w:hint="default"/>
        </w:rPr>
        <w:t>17,172,190.34</w:t>
      </w:r>
      <w:r>
        <w:rPr/>
        <w:t>元的差额。</w:t>
      </w:r>
    </w:p>
    <w:p>
      <w:pPr>
        <w:pStyle w:val="BodyText"/>
        <w:spacing w:line="300" w:lineRule="auto" w:before="63"/>
        <w:ind w:right="1125" w:firstLine="420"/>
        <w:jc w:val="left"/>
      </w:pPr>
      <w:r>
        <w:rPr>
          <w:rFonts w:ascii="Times New Roman" w:hAnsi="Times New Roman" w:cs="Times New Roman" w:eastAsia="Times New Roman" w:hint="default"/>
          <w:spacing w:val="-1"/>
        </w:rPr>
        <w:t>5</w:t>
      </w:r>
      <w:r>
        <w:rPr>
          <w:spacing w:val="-1"/>
        </w:rPr>
        <w:t>）杭州琅玕科技有限公司商誉系</w:t>
      </w:r>
      <w:r>
        <w:rPr>
          <w:rFonts w:ascii="Times New Roman" w:hAnsi="Times New Roman" w:cs="Times New Roman" w:eastAsia="Times New Roman" w:hint="default"/>
          <w:spacing w:val="-1"/>
        </w:rPr>
        <w:t>2017</w:t>
      </w:r>
      <w:r>
        <w:rPr>
          <w:spacing w:val="-1"/>
        </w:rPr>
        <w:t>年本公司受让杭州智汇健康管理有限公司持有的杭州琅玕科技有限公司</w:t>
      </w:r>
      <w:r>
        <w:rPr>
          <w:rFonts w:ascii="Times New Roman" w:hAnsi="Times New Roman" w:cs="Times New Roman" w:eastAsia="Times New Roman" w:hint="default"/>
          <w:spacing w:val="-1"/>
        </w:rPr>
        <w:t>52%</w:t>
      </w:r>
      <w:r>
        <w:rPr>
          <w:spacing w:val="-1"/>
        </w:rPr>
        <w:t>的股</w:t>
      </w:r>
      <w:r>
        <w:rPr/>
        <w:t> 权，合并成本</w:t>
      </w:r>
      <w:r>
        <w:rPr>
          <w:rFonts w:ascii="Times New Roman" w:hAnsi="Times New Roman" w:cs="Times New Roman" w:eastAsia="Times New Roman" w:hint="default"/>
        </w:rPr>
        <w:t>31,200,000.00</w:t>
      </w:r>
      <w:r>
        <w:rPr/>
        <w:t>元与合并取得的杭州琅玕科技有限公司可辨认净资产公允价值份额</w:t>
      </w:r>
      <w:r>
        <w:rPr>
          <w:rFonts w:ascii="Times New Roman" w:hAnsi="Times New Roman" w:cs="Times New Roman" w:eastAsia="Times New Roman" w:hint="default"/>
        </w:rPr>
        <w:t>14,555,749.25</w:t>
      </w:r>
      <w:r>
        <w:rPr/>
        <w:t>元的差额。</w:t>
      </w:r>
    </w:p>
    <w:p>
      <w:pPr>
        <w:pStyle w:val="BodyText"/>
        <w:spacing w:line="300" w:lineRule="auto" w:before="13"/>
        <w:ind w:right="1130" w:firstLine="42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4"/>
        </w:rPr>
        <w:t>LIMITED</w:t>
      </w:r>
      <w:r>
        <w:rPr>
          <w:spacing w:val="4"/>
        </w:rPr>
        <w:t>商誉系</w:t>
      </w:r>
      <w:r>
        <w:rPr>
          <w:rFonts w:ascii="Times New Roman" w:hAnsi="Times New Roman" w:cs="Times New Roman" w:eastAsia="Times New Roman" w:hint="default"/>
          <w:spacing w:val="4"/>
        </w:rPr>
        <w:t>2017</w:t>
      </w:r>
      <w:r>
        <w:rPr>
          <w:spacing w:val="4"/>
        </w:rPr>
        <w:t>年子公司中瑞思创（香港）国际有限公司受让廖东华持有的</w:t>
      </w:r>
      <w:r>
        <w:rPr>
          <w:rFonts w:ascii="Times New Roman" w:hAnsi="Times New Roman" w:cs="Times New Roman" w:eastAsia="Times New Roman" w:hint="default"/>
          <w:spacing w:val="4"/>
        </w:rPr>
        <w:t>EWELL</w:t>
      </w:r>
      <w:r>
        <w:rPr>
          <w:rFonts w:ascii="Times New Roman" w:hAnsi="Times New Roman" w:cs="Times New Roman" w:eastAsia="Times New Roman" w:hint="default"/>
        </w:rPr>
        <w:t> HONGKONG LIMITED 30%</w:t>
      </w:r>
      <w:r>
        <w:rPr/>
        <w:t>股权，及股权转让后，以港币</w:t>
      </w:r>
      <w:r>
        <w:rPr>
          <w:rFonts w:ascii="Times New Roman" w:hAnsi="Times New Roman" w:cs="Times New Roman" w:eastAsia="Times New Roman" w:hint="default"/>
        </w:rPr>
        <w:t>14,000,000.00</w:t>
      </w:r>
      <w:r>
        <w:rPr/>
        <w:t>元认购</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40"/>
        </w:rPr>
        <w:t> </w:t>
      </w:r>
      <w:r>
        <w:rPr>
          <w:rFonts w:ascii="Times New Roman" w:hAnsi="Times New Roman" w:cs="Times New Roman" w:eastAsia="Times New Roman" w:hint="default"/>
        </w:rPr>
        <w:t>LIMITED300</w:t>
      </w:r>
      <w:r>
        <w:rPr/>
        <w:t>万股新发</w:t>
      </w:r>
    </w:p>
    <w:p>
      <w:pPr>
        <w:pStyle w:val="BodyText"/>
        <w:spacing w:line="240" w:lineRule="auto" w:before="13"/>
        <w:ind w:right="0"/>
        <w:jc w:val="left"/>
        <w:rPr>
          <w:rFonts w:ascii="Times New Roman" w:hAnsi="Times New Roman" w:cs="Times New Roman" w:eastAsia="Times New Roman" w:hint="default"/>
        </w:rPr>
      </w:pPr>
      <w:r>
        <w:rPr/>
        <w:t>行股份后，合计持有</w:t>
      </w:r>
      <w:r>
        <w:rPr>
          <w:rFonts w:ascii="Times New Roman" w:hAnsi="Times New Roman" w:cs="Times New Roman" w:eastAsia="Times New Roman" w:hint="default"/>
        </w:rPr>
        <w:t>EWELL HONGKONG LIMITED</w:t>
      </w:r>
      <w:r>
        <w:rPr>
          <w:rFonts w:ascii="Times New Roman" w:hAnsi="Times New Roman" w:cs="Times New Roman" w:eastAsia="Times New Roman" w:hint="default"/>
          <w:spacing w:val="22"/>
        </w:rPr>
        <w:t> </w:t>
      </w:r>
      <w:r>
        <w:rPr>
          <w:rFonts w:ascii="Times New Roman" w:hAnsi="Times New Roman" w:cs="Times New Roman" w:eastAsia="Times New Roman" w:hint="default"/>
        </w:rPr>
        <w:t>60%</w:t>
      </w:r>
      <w:r>
        <w:rPr/>
        <w:t>的股权，合并成本港币</w:t>
      </w:r>
      <w:r>
        <w:rPr>
          <w:rFonts w:ascii="Times New Roman" w:hAnsi="Times New Roman" w:cs="Times New Roman" w:eastAsia="Times New Roman" w:hint="default"/>
        </w:rPr>
        <w:t>20,000,000.00</w:t>
      </w:r>
      <w:r>
        <w:rPr/>
        <w:t>元（折合人民币</w:t>
      </w:r>
      <w:r>
        <w:rPr>
          <w:rFonts w:ascii="Times New Roman" w:hAnsi="Times New Roman" w:cs="Times New Roman" w:eastAsia="Times New Roman" w:hint="default"/>
        </w:rPr>
        <w:t>17,358,400.00</w:t>
      </w:r>
    </w:p>
    <w:p>
      <w:pPr>
        <w:pStyle w:val="BodyText"/>
        <w:spacing w:line="240" w:lineRule="auto" w:before="63"/>
        <w:ind w:right="1133"/>
        <w:jc w:val="left"/>
      </w:pPr>
      <w:r>
        <w:rPr/>
        <w:t>元）与合并取得的</w:t>
      </w:r>
      <w:r>
        <w:rPr>
          <w:rFonts w:ascii="Times New Roman" w:hAnsi="Times New Roman" w:cs="Times New Roman" w:eastAsia="Times New Roman" w:hint="default"/>
        </w:rPr>
        <w:t>EWELL HONGKONG  </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可辨认净资产公允价值份额</w:t>
      </w:r>
      <w:r>
        <w:rPr>
          <w:rFonts w:ascii="Times New Roman" w:hAnsi="Times New Roman" w:cs="Times New Roman" w:eastAsia="Times New Roman" w:hint="default"/>
        </w:rPr>
        <w:t>9,447,080.38</w:t>
      </w:r>
      <w:r>
        <w:rPr/>
        <w:t>元的差额。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6" w:lineRule="auto"/>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59"/>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商誉所在资产组或资产组组合相关信息</w:t>
      </w:r>
    </w:p>
    <w:p>
      <w:pPr>
        <w:pStyle w:val="BodyText"/>
        <w:spacing w:line="240" w:lineRule="auto" w:before="63"/>
        <w:ind w:left="573" w:right="1133"/>
        <w:jc w:val="left"/>
      </w:pPr>
      <w:r>
        <w:rPr/>
        <w:t>①</w:t>
      </w:r>
      <w:r>
        <w:rPr>
          <w:spacing w:val="-22"/>
        </w:rPr>
        <w:t> </w:t>
      </w:r>
      <w:r>
        <w:rPr>
          <w:rFonts w:ascii="Times New Roman" w:hAnsi="Times New Roman" w:cs="Times New Roman" w:eastAsia="Times New Roman" w:hint="default"/>
        </w:rPr>
        <w:t>GL</w:t>
      </w:r>
      <w:r>
        <w:rPr/>
        <w:t>公司</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29,849,506.66</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18,556,082.88</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48,405,589.54</w:t>
            </w:r>
          </w:p>
        </w:tc>
      </w:tr>
      <w:tr>
        <w:trPr>
          <w:trHeight w:val="660"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pPr>
      <w:r>
        <w:rPr/>
        <w:t>②</w:t>
      </w:r>
      <w:r>
        <w:rPr>
          <w:spacing w:val="-18"/>
        </w:rPr>
        <w:t> </w:t>
      </w:r>
      <w:r>
        <w:rPr/>
        <w:t>思创超讯公司</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9,759,959.73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6,182,387.86</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15,942,347.59</w:t>
            </w:r>
          </w:p>
        </w:tc>
      </w:tr>
      <w:tr>
        <w:trPr>
          <w:trHeight w:val="660"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pPr>
      <w:r>
        <w:rPr/>
        <w:t>③</w:t>
      </w:r>
      <w:r>
        <w:rPr>
          <w:spacing w:val="-18"/>
        </w:rPr>
        <w:t> </w:t>
      </w:r>
      <w:r>
        <w:rPr/>
        <w:t>医惠科技公司</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690,397,573.06</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649,900,730.44</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1,340,298,303.50</w:t>
            </w:r>
          </w:p>
        </w:tc>
      </w:tr>
      <w:tr>
        <w:trPr>
          <w:trHeight w:val="660"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pPr>
      <w:r>
        <w:rPr/>
        <w:t>④</w:t>
      </w:r>
      <w:r>
        <w:rPr>
          <w:spacing w:val="-18"/>
        </w:rPr>
        <w:t> </w:t>
      </w:r>
      <w:r>
        <w:rPr/>
        <w:t>杭州华洁医疗科技有限公司</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28,044,405.28</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10,437,079.55</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38,481,484.83</w:t>
            </w:r>
          </w:p>
        </w:tc>
      </w:tr>
      <w:tr>
        <w:trPr>
          <w:trHeight w:val="660"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pPr>
      <w:r>
        <w:rPr/>
        <w:t>⑤</w:t>
      </w:r>
      <w:r>
        <w:rPr>
          <w:spacing w:val="-18"/>
        </w:rPr>
        <w:t> </w:t>
      </w:r>
      <w:r>
        <w:rPr/>
        <w:t>杭州琅玕科技有限公司</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20,632,935.64</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32,008,174.52</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52,641,110.16</w:t>
            </w:r>
          </w:p>
        </w:tc>
      </w:tr>
      <w:tr>
        <w:trPr>
          <w:trHeight w:val="65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rPr>
          <w:rFonts w:ascii="Times New Roman" w:hAnsi="Times New Roman" w:cs="Times New Roman" w:eastAsia="Times New Roman" w:hint="default"/>
        </w:rPr>
      </w:pPr>
      <w:r>
        <w:rPr/>
        <w:t>⑥ </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245"/>
        <w:gridCol w:w="3279"/>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资产组或资产组组合包含的资产、负债</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47,250,881.18</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13,185,532.70</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60,436,413.88</w:t>
            </w:r>
          </w:p>
        </w:tc>
      </w:tr>
      <w:tr>
        <w:trPr>
          <w:trHeight w:val="661"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资产组或资产组组合是否与购买日、以前年度商誉减值测试时所确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定的资产组或资产组组合一致</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商誉减值测试的过程与方法、结论</w:t>
      </w:r>
    </w:p>
    <w:p>
      <w:pPr>
        <w:pStyle w:val="BodyText"/>
        <w:spacing w:line="300" w:lineRule="auto" w:before="63"/>
        <w:ind w:left="573" w:right="1123"/>
        <w:jc w:val="left"/>
      </w:pPr>
      <w:r>
        <w:rPr/>
        <w:t>①</w:t>
      </w:r>
      <w:r>
        <w:rPr>
          <w:spacing w:val="-19"/>
        </w:rPr>
        <w:t> </w:t>
      </w:r>
      <w:r>
        <w:rPr>
          <w:rFonts w:ascii="Times New Roman" w:hAnsi="Times New Roman" w:cs="Times New Roman" w:eastAsia="Times New Roman" w:hint="default"/>
        </w:rPr>
        <w:t>GL</w:t>
      </w:r>
      <w:r>
        <w:rPr/>
        <w:t>公司 </w:t>
      </w:r>
      <w:r>
        <w:rPr>
          <w:rFonts w:ascii="Times New Roman" w:hAnsi="Times New Roman" w:cs="Times New Roman" w:eastAsia="Times New Roman" w:hint="default"/>
        </w:rPr>
        <w:t>GL</w:t>
      </w:r>
      <w:r>
        <w:rPr/>
        <w:t>公司商誉的可收回金额按照预计未来现金流量的现值计算，其预计现金流量根据</w:t>
      </w:r>
      <w:r>
        <w:rPr>
          <w:rFonts w:ascii="Times New Roman" w:hAnsi="Times New Roman" w:cs="Times New Roman" w:eastAsia="Times New Roman" w:hint="default"/>
        </w:rPr>
        <w:t>GL</w:t>
      </w:r>
      <w:r>
        <w:rPr/>
        <w:t>公司批准的</w:t>
      </w:r>
      <w:r>
        <w:rPr>
          <w:rFonts w:ascii="Times New Roman" w:hAnsi="Times New Roman" w:cs="Times New Roman" w:eastAsia="Times New Roman" w:hint="default"/>
        </w:rPr>
        <w:t>5</w:t>
      </w:r>
      <w:r>
        <w:rPr/>
        <w:t>年期现金流量预测</w:t>
      </w:r>
    </w:p>
    <w:p>
      <w:pPr>
        <w:pStyle w:val="BodyText"/>
        <w:spacing w:line="300" w:lineRule="auto" w:before="13"/>
        <w:ind w:left="573" w:right="1133" w:hanging="421"/>
        <w:jc w:val="left"/>
      </w:pPr>
      <w:r>
        <w:rPr/>
        <w:t>为基础，现金流量预测使用的折现率</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），预测期以后的现金流量保持稳定。 减值测试中采用的其他关键数据包括：产品预计售价、销量、增长率、预计毛利率以及相关费用等。公司根据历史经</w:t>
      </w:r>
    </w:p>
    <w:p>
      <w:pPr>
        <w:pStyle w:val="BodyText"/>
        <w:spacing w:line="316" w:lineRule="auto" w:before="31"/>
        <w:ind w:right="1125"/>
        <w:jc w:val="left"/>
      </w:pP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300" w:lineRule="auto" w:before="19"/>
        <w:ind w:right="0" w:firstLine="420"/>
        <w:jc w:val="left"/>
      </w:pPr>
      <w:r>
        <w:rPr>
          <w:rFonts w:ascii="Times New Roman" w:hAnsi="Times New Roman" w:cs="Times New Roman" w:eastAsia="Times New Roman" w:hint="default"/>
          <w:spacing w:val="-2"/>
        </w:rPr>
        <w:t>2017</w:t>
      </w:r>
      <w:r>
        <w:rPr>
          <w:spacing w:val="-2"/>
        </w:rPr>
        <w:t>年度经执行减值测试，</w:t>
      </w:r>
      <w:r>
        <w:rPr>
          <w:rFonts w:ascii="Times New Roman" w:hAnsi="Times New Roman" w:cs="Times New Roman" w:eastAsia="Times New Roman" w:hint="default"/>
          <w:spacing w:val="-2"/>
        </w:rPr>
        <w:t>GL</w:t>
      </w:r>
      <w:r>
        <w:rPr>
          <w:spacing w:val="-2"/>
        </w:rPr>
        <w:t>公司可收回金额为</w:t>
      </w:r>
      <w:r>
        <w:rPr>
          <w:rFonts w:ascii="Times New Roman" w:hAnsi="Times New Roman" w:cs="Times New Roman" w:eastAsia="Times New Roman" w:hint="default"/>
          <w:spacing w:val="-2"/>
        </w:rPr>
        <w:t>45,721,762.65</w:t>
      </w:r>
      <w:r>
        <w:rPr>
          <w:spacing w:val="-2"/>
        </w:rPr>
        <w:t>元（可收回金额按未来预计现金流量的折现金额计算），</w:t>
      </w:r>
      <w:r>
        <w:rPr/>
        <w:t> </w:t>
      </w:r>
      <w:r>
        <w:rPr>
          <w:spacing w:val="13"/>
        </w:rPr>
        <w:t>账面价值（包括商誉）</w:t>
      </w:r>
      <w:r>
        <w:rPr>
          <w:spacing w:val="-74"/>
        </w:rPr>
        <w:t> </w:t>
      </w:r>
      <w:r>
        <w:rPr/>
        <w:t>为</w:t>
      </w:r>
      <w:r>
        <w:rPr>
          <w:spacing w:val="-74"/>
        </w:rPr>
        <w:t> </w:t>
      </w:r>
      <w:r>
        <w:rPr>
          <w:rFonts w:ascii="Times New Roman" w:hAnsi="Times New Roman" w:cs="Times New Roman" w:eastAsia="Times New Roman" w:hint="default"/>
        </w:rPr>
        <w:t>173,675,524.67</w:t>
      </w:r>
      <w:r>
        <w:rPr>
          <w:rFonts w:ascii="Times New Roman" w:hAnsi="Times New Roman" w:cs="Times New Roman" w:eastAsia="Times New Roman" w:hint="default"/>
          <w:spacing w:val="-28"/>
        </w:rPr>
        <w:t> </w:t>
      </w:r>
      <w:r>
        <w:rPr>
          <w:spacing w:val="4"/>
        </w:rPr>
        <w:t>元，发生减值</w:t>
      </w:r>
      <w:r>
        <w:rPr>
          <w:rFonts w:ascii="Times New Roman" w:hAnsi="Times New Roman" w:cs="Times New Roman" w:eastAsia="Times New Roman" w:hint="default"/>
          <w:spacing w:val="4"/>
        </w:rPr>
        <w:t>127,953,762.02</w:t>
      </w:r>
      <w:r>
        <w:rPr>
          <w:rFonts w:ascii="Times New Roman" w:hAnsi="Times New Roman" w:cs="Times New Roman" w:eastAsia="Times New Roman" w:hint="default"/>
          <w:spacing w:val="-28"/>
        </w:rPr>
        <w:t> </w:t>
      </w:r>
      <w:r>
        <w:rPr>
          <w:spacing w:val="12"/>
        </w:rPr>
        <w:t>元，按公司持股比例</w:t>
      </w:r>
      <w:r>
        <w:rPr>
          <w:spacing w:val="-74"/>
        </w:rPr>
        <w:t> </w:t>
      </w:r>
      <w:r>
        <w:rPr>
          <w:rFonts w:ascii="Times New Roman" w:hAnsi="Times New Roman" w:cs="Times New Roman" w:eastAsia="Times New Roman" w:hint="default"/>
          <w:spacing w:val="11"/>
        </w:rPr>
        <w:t>51%</w:t>
      </w:r>
      <w:r>
        <w:rPr>
          <w:spacing w:val="11"/>
        </w:rPr>
        <w:t>计算确认商誉减值准备</w:t>
      </w:r>
      <w:r>
        <w:rPr>
          <w:spacing w:val="-84"/>
        </w:rPr>
        <w:t> </w:t>
      </w:r>
      <w:r>
        <w:rPr>
          <w:spacing w:val="-84"/>
        </w:rPr>
      </w:r>
      <w:r>
        <w:rPr>
          <w:rFonts w:ascii="Times New Roman" w:hAnsi="Times New Roman" w:cs="Times New Roman" w:eastAsia="Times New Roman" w:hint="default"/>
        </w:rPr>
        <w:t>65,256,418.63</w:t>
      </w:r>
      <w:r>
        <w:rPr/>
        <w:t>元。</w:t>
      </w:r>
    </w:p>
    <w:p>
      <w:pPr>
        <w:spacing w:after="0" w:line="30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573" w:right="1133"/>
        <w:jc w:val="left"/>
      </w:pPr>
      <w:r>
        <w:rPr>
          <w:rFonts w:ascii="Times New Roman" w:hAnsi="Times New Roman" w:cs="Times New Roman" w:eastAsia="Times New Roman" w:hint="default"/>
        </w:rPr>
        <w:t>2018</w:t>
      </w:r>
      <w:r>
        <w:rPr/>
        <w:t>年度经执行减值测试，</w:t>
      </w:r>
      <w:r>
        <w:rPr>
          <w:rFonts w:ascii="Times New Roman" w:hAnsi="Times New Roman" w:cs="Times New Roman" w:eastAsia="Times New Roman" w:hint="default"/>
        </w:rPr>
        <w:t>GL</w:t>
      </w:r>
      <w:r>
        <w:rPr/>
        <w:t>公司未进一步发现减值迹象。</w:t>
      </w:r>
    </w:p>
    <w:p>
      <w:pPr>
        <w:pStyle w:val="BodyText"/>
        <w:spacing w:line="316" w:lineRule="auto" w:before="63"/>
        <w:ind w:left="573" w:right="1115"/>
        <w:jc w:val="left"/>
      </w:pPr>
      <w:r>
        <w:rPr/>
        <w:t>②</w:t>
      </w:r>
      <w:r>
        <w:rPr>
          <w:spacing w:val="-18"/>
        </w:rPr>
        <w:t> </w:t>
      </w:r>
      <w:r>
        <w:rPr/>
        <w:t>思创超讯公司</w:t>
      </w:r>
      <w:r>
        <w:rPr/>
        <w:t> </w:t>
      </w:r>
      <w:r>
        <w:rPr>
          <w:spacing w:val="-1"/>
        </w:rPr>
        <w:t>思创超讯公司商誉的可收回金额按照预计未来现金流量的现值计算，其预计现金流量根据思创超讯公司批准的</w:t>
      </w:r>
      <w:r>
        <w:rPr>
          <w:rFonts w:ascii="Times New Roman" w:hAnsi="Times New Roman" w:cs="Times New Roman" w:eastAsia="Times New Roman" w:hint="default"/>
          <w:spacing w:val="-1"/>
        </w:rPr>
        <w:t>5</w:t>
      </w:r>
      <w:r>
        <w:rPr>
          <w:spacing w:val="-1"/>
        </w:rPr>
        <w:t>年期现</w:t>
      </w:r>
    </w:p>
    <w:p>
      <w:pPr>
        <w:pStyle w:val="BodyText"/>
        <w:spacing w:line="300" w:lineRule="auto"/>
        <w:ind w:left="573" w:right="1133" w:hanging="421"/>
        <w:jc w:val="left"/>
      </w:pPr>
      <w:r>
        <w:rPr/>
        <w:t>金流量预测为基础，现金流量预测使用的折现率</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11.5%</w:t>
      </w:r>
      <w:r>
        <w:rPr/>
        <w:t>），预测期以后的现金流量保持稳定。 减值测试中采用的其他关键数据包括：产品预计售价、销量、增长率、预计毛利率以及相关费用等。公司根据历史经</w:t>
      </w:r>
    </w:p>
    <w:p>
      <w:pPr>
        <w:pStyle w:val="BodyText"/>
        <w:spacing w:line="316" w:lineRule="auto" w:before="31"/>
        <w:ind w:right="1125"/>
        <w:jc w:val="left"/>
      </w:pP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240" w:lineRule="auto" w:before="19"/>
        <w:ind w:left="573" w:right="1133"/>
        <w:jc w:val="left"/>
      </w:pPr>
      <w:r>
        <w:rPr/>
        <w:t>思创超讯公司可收回金额的预计表明商誉并未出现减值损失。</w:t>
      </w:r>
    </w:p>
    <w:p>
      <w:pPr>
        <w:pStyle w:val="BodyText"/>
        <w:spacing w:line="316" w:lineRule="auto" w:before="76"/>
        <w:ind w:left="573" w:right="1115"/>
        <w:jc w:val="left"/>
      </w:pPr>
      <w:r>
        <w:rPr/>
        <w:t>③</w:t>
      </w:r>
      <w:r>
        <w:rPr>
          <w:spacing w:val="-18"/>
        </w:rPr>
        <w:t> </w:t>
      </w:r>
      <w:r>
        <w:rPr/>
        <w:t>医惠科技公司</w:t>
      </w:r>
      <w:r>
        <w:rPr/>
        <w:t> </w:t>
      </w:r>
      <w:r>
        <w:rPr>
          <w:spacing w:val="-1"/>
        </w:rPr>
        <w:t>医惠科技公司商誉的可收回金额按照预计未来现金流量的现值计算，其预计现金流量根据医惠科技公司批准的</w:t>
      </w:r>
      <w:r>
        <w:rPr>
          <w:rFonts w:ascii="Times New Roman" w:hAnsi="Times New Roman" w:cs="Times New Roman" w:eastAsia="Times New Roman" w:hint="default"/>
          <w:spacing w:val="-1"/>
        </w:rPr>
        <w:t>5</w:t>
      </w:r>
      <w:r>
        <w:rPr>
          <w:spacing w:val="-1"/>
        </w:rPr>
        <w:t>年期现</w:t>
      </w:r>
    </w:p>
    <w:p>
      <w:pPr>
        <w:pStyle w:val="BodyText"/>
        <w:spacing w:line="300" w:lineRule="auto"/>
        <w:ind w:left="573" w:right="1133" w:hanging="421"/>
        <w:jc w:val="left"/>
      </w:pPr>
      <w:r>
        <w:rPr/>
        <w:t>金流量预测为基础，现金流量预测使用的折现率</w:t>
      </w:r>
      <w:r>
        <w:rPr>
          <w:rFonts w:ascii="Times New Roman" w:hAnsi="Times New Roman" w:cs="Times New Roman" w:eastAsia="Times New Roman" w:hint="default"/>
        </w:rPr>
        <w:t>12.71%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13.84%</w:t>
      </w:r>
      <w:r>
        <w:rPr/>
        <w:t>），预测期以后的现金流量保持稳定。 减值测试中采用的其他关键数据包括：产品预计售价、销量、增长率、预计毛利率以及相关费用等。公司根据历史经</w:t>
      </w:r>
    </w:p>
    <w:p>
      <w:pPr>
        <w:pStyle w:val="BodyText"/>
        <w:spacing w:line="316" w:lineRule="auto" w:before="32"/>
        <w:ind w:right="1125"/>
        <w:jc w:val="left"/>
      </w:pP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240" w:lineRule="auto" w:before="19"/>
        <w:ind w:left="573" w:right="1133"/>
        <w:jc w:val="left"/>
      </w:pPr>
      <w:r>
        <w:rPr/>
        <w:t>医惠科技公司可收回金额的预计表明商誉并未出现减值损失。</w:t>
      </w:r>
    </w:p>
    <w:p>
      <w:pPr>
        <w:pStyle w:val="BodyText"/>
        <w:spacing w:line="316" w:lineRule="auto" w:before="76"/>
        <w:ind w:left="573" w:right="1133"/>
        <w:jc w:val="left"/>
      </w:pPr>
      <w:r>
        <w:rPr/>
        <w:t>④</w:t>
      </w:r>
      <w:r>
        <w:rPr>
          <w:spacing w:val="-18"/>
        </w:rPr>
        <w:t> </w:t>
      </w:r>
      <w:r>
        <w:rPr/>
        <w:t>杭州华洁医疗科技有限公司</w:t>
      </w:r>
      <w:r>
        <w:rPr/>
        <w:t> 杭州华洁医疗科技有限公司商誉的可收回金额按照预计未来现金流量的现值计算，其预计现金流量根据杭州华洁医疗</w:t>
      </w:r>
    </w:p>
    <w:p>
      <w:pPr>
        <w:pStyle w:val="BodyText"/>
        <w:spacing w:line="300" w:lineRule="auto" w:before="19"/>
        <w:ind w:right="1125"/>
        <w:jc w:val="left"/>
      </w:pPr>
      <w:r>
        <w:rPr/>
        <w:t>科技有限公司批准的</w:t>
      </w:r>
      <w:r>
        <w:rPr>
          <w:rFonts w:ascii="Times New Roman" w:hAnsi="Times New Roman" w:cs="Times New Roman" w:eastAsia="Times New Roman" w:hint="default"/>
        </w:rPr>
        <w:t>5</w:t>
      </w:r>
      <w:r>
        <w:rPr/>
        <w:t>年期现金流量预测为基础，现金流量预测使用的折现率</w:t>
      </w:r>
      <w:r>
        <w:rPr>
          <w:rFonts w:ascii="Times New Roman" w:hAnsi="Times New Roman" w:cs="Times New Roman" w:eastAsia="Times New Roman" w:hint="default"/>
        </w:rPr>
        <w:t>12.71%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），预测期以后的现金</w:t>
      </w:r>
      <w:r>
        <w:rPr>
          <w:spacing w:val="-73"/>
        </w:rPr>
        <w:t> </w:t>
      </w:r>
      <w:r>
        <w:rPr>
          <w:spacing w:val="-73"/>
        </w:rPr>
      </w:r>
      <w:r>
        <w:rPr/>
        <w:t>流量保持稳定。</w:t>
      </w:r>
    </w:p>
    <w:p>
      <w:pPr>
        <w:pStyle w:val="BodyText"/>
        <w:spacing w:line="316" w:lineRule="auto" w:before="31"/>
        <w:ind w:right="1133" w:firstLine="420"/>
        <w:jc w:val="both"/>
      </w:pPr>
      <w:r>
        <w:rPr/>
        <w:t>减值测试中采用的其他关键数据包括：产品预计售价、销量、增长率、预计毛利率以及相关费用等。公司根据历史经 </w:t>
      </w: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240" w:lineRule="auto" w:before="19"/>
        <w:ind w:left="573" w:right="1133"/>
        <w:jc w:val="left"/>
      </w:pPr>
      <w:r>
        <w:rPr/>
        <w:t>杭州华洁医疗科技有限公司可收回金额的预计表明商誉并未出现减值损失。</w:t>
      </w:r>
    </w:p>
    <w:p>
      <w:pPr>
        <w:pStyle w:val="BodyText"/>
        <w:spacing w:line="316" w:lineRule="auto" w:before="77"/>
        <w:ind w:left="573" w:right="1133"/>
        <w:jc w:val="left"/>
      </w:pPr>
      <w:r>
        <w:rPr/>
        <w:t>⑤</w:t>
      </w:r>
      <w:r>
        <w:rPr>
          <w:spacing w:val="-18"/>
        </w:rPr>
        <w:t> </w:t>
      </w:r>
      <w:r>
        <w:rPr/>
        <w:t>杭州琅玕科技有限公司</w:t>
      </w:r>
      <w:r>
        <w:rPr/>
        <w:t> 杭州琅玕科技有限公司商誉的可收回金额按照预计未来现金流量的现值计算，其预计现金流量根据杭州琅玕科技有限</w:t>
      </w:r>
    </w:p>
    <w:p>
      <w:pPr>
        <w:pStyle w:val="BodyText"/>
        <w:spacing w:line="300" w:lineRule="auto" w:before="19"/>
        <w:ind w:right="1125"/>
        <w:jc w:val="left"/>
      </w:pPr>
      <w:r>
        <w:rPr/>
        <w:t>公司批准的</w:t>
      </w:r>
      <w:r>
        <w:rPr>
          <w:rFonts w:ascii="Times New Roman" w:hAnsi="Times New Roman" w:cs="Times New Roman" w:eastAsia="Times New Roman" w:hint="default"/>
        </w:rPr>
        <w:t>5</w:t>
      </w:r>
      <w:r>
        <w:rPr/>
        <w:t>年期现金流量预测为基础，现金流量预测使用的折现率</w:t>
      </w:r>
      <w:r>
        <w:rPr>
          <w:rFonts w:ascii="Times New Roman" w:hAnsi="Times New Roman" w:cs="Times New Roman" w:eastAsia="Times New Roman" w:hint="default"/>
        </w:rPr>
        <w:t>12.71%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），预测期以后的现金流量保持</w:t>
      </w:r>
      <w:r>
        <w:rPr>
          <w:spacing w:val="-71"/>
        </w:rPr>
        <w:t> </w:t>
      </w:r>
      <w:r>
        <w:rPr>
          <w:spacing w:val="-71"/>
        </w:rPr>
      </w:r>
      <w:r>
        <w:rPr/>
        <w:t>稳定。</w:t>
      </w:r>
    </w:p>
    <w:p>
      <w:pPr>
        <w:pStyle w:val="BodyText"/>
        <w:spacing w:line="316" w:lineRule="auto" w:before="31"/>
        <w:ind w:right="1133" w:firstLine="420"/>
        <w:jc w:val="both"/>
      </w:pPr>
      <w:r>
        <w:rPr/>
        <w:t>减值测试中采用的其他关键数据包括：产品预计售价、销量、增长率、预计毛利率以及相关费用等。公司根据历史经 </w:t>
      </w: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240" w:lineRule="auto" w:before="19"/>
        <w:ind w:left="573" w:right="1133"/>
        <w:jc w:val="left"/>
      </w:pPr>
      <w:r>
        <w:rPr/>
        <w:t>杭州琅玕科技有限公司可收回金额的预计表明商誉并未出现减值损失。</w:t>
      </w:r>
    </w:p>
    <w:p>
      <w:pPr>
        <w:pStyle w:val="BodyText"/>
        <w:spacing w:line="240" w:lineRule="auto" w:before="76"/>
        <w:ind w:left="573" w:right="1133"/>
        <w:jc w:val="left"/>
        <w:rPr>
          <w:rFonts w:ascii="Times New Roman" w:hAnsi="Times New Roman" w:cs="Times New Roman" w:eastAsia="Times New Roman" w:hint="default"/>
        </w:rPr>
      </w:pPr>
      <w:r>
        <w:rPr/>
        <w:t>⑥ </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p>
    <w:p>
      <w:pPr>
        <w:pStyle w:val="BodyText"/>
        <w:spacing w:line="300" w:lineRule="auto" w:before="63"/>
        <w:ind w:right="1131" w:firstLine="420"/>
        <w:jc w:val="both"/>
      </w:pPr>
      <w:r>
        <w:rPr>
          <w:rFonts w:ascii="Times New Roman" w:hAnsi="Times New Roman" w:cs="Times New Roman" w:eastAsia="Times New Roman" w:hint="default"/>
        </w:rPr>
        <w:t>EWELL HONGKONG</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
        </w:rPr>
        <w:t>LIMITED</w:t>
      </w:r>
      <w:r>
        <w:rPr>
          <w:spacing w:val="2"/>
        </w:rPr>
        <w:t>商誉的可收回金额按照预计未来现金流量的现值计算，其预计现金流量根据</w:t>
      </w:r>
      <w:r>
        <w:rPr>
          <w:rFonts w:ascii="Times New Roman" w:hAnsi="Times New Roman" w:cs="Times New Roman" w:eastAsia="Times New Roman" w:hint="default"/>
          <w:spacing w:val="2"/>
        </w:rPr>
        <w:t>EWELL</w:t>
      </w:r>
      <w:r>
        <w:rPr>
          <w:rFonts w:ascii="Times New Roman" w:hAnsi="Times New Roman" w:cs="Times New Roman" w:eastAsia="Times New Roman" w:hint="default"/>
        </w:rPr>
        <w:t> HONGKONG</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批准的</w:t>
      </w:r>
      <w:r>
        <w:rPr>
          <w:rFonts w:ascii="Times New Roman" w:hAnsi="Times New Roman" w:cs="Times New Roman" w:eastAsia="Times New Roman" w:hint="default"/>
        </w:rPr>
        <w:t>5</w:t>
      </w:r>
      <w:r>
        <w:rPr/>
        <w:t>年期现金流量预测为基础，现金流量预测使用的折现率</w:t>
      </w:r>
      <w:r>
        <w:rPr>
          <w:rFonts w:ascii="Times New Roman" w:hAnsi="Times New Roman" w:cs="Times New Roman" w:eastAsia="Times New Roman" w:hint="default"/>
        </w:rPr>
        <w:t>12.71%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），预测期以</w:t>
      </w:r>
      <w:r>
        <w:rPr>
          <w:w w:val="99"/>
        </w:rPr>
        <w:t> </w:t>
      </w:r>
      <w:r>
        <w:rPr/>
        <w:t>后的现金流量保持稳定。</w:t>
      </w:r>
    </w:p>
    <w:p>
      <w:pPr>
        <w:pStyle w:val="BodyText"/>
        <w:spacing w:line="316" w:lineRule="auto" w:before="31"/>
        <w:ind w:right="1133" w:firstLine="420"/>
        <w:jc w:val="both"/>
      </w:pPr>
      <w:r>
        <w:rPr/>
        <w:t>减值测试中采用的其他关键数据包括：产品预计售价、销量、增长率、预计毛利率以及相关费用等。公司根据历史经 </w:t>
      </w:r>
      <w:r>
        <w:rPr>
          <w:spacing w:val="-2"/>
        </w:rPr>
        <w:t>验及对市场发展的预测确定上述关键数据。公司采用的折现率是反映当前市场货币时间价值和相关资产组特定风险的税前利</w:t>
      </w:r>
      <w:r>
        <w:rPr>
          <w:spacing w:val="-64"/>
        </w:rPr>
        <w:t> </w:t>
      </w:r>
      <w:r>
        <w:rPr>
          <w:spacing w:val="-64"/>
        </w:rPr>
      </w:r>
      <w:r>
        <w:rPr/>
        <w:t>率。</w:t>
      </w:r>
    </w:p>
    <w:p>
      <w:pPr>
        <w:pStyle w:val="BodyText"/>
        <w:spacing w:line="240" w:lineRule="auto" w:before="19"/>
        <w:ind w:right="1133"/>
        <w:jc w:val="left"/>
      </w:pPr>
      <w:r>
        <w:rPr>
          <w:rFonts w:ascii="Times New Roman" w:hAnsi="Times New Roman" w:cs="Times New Roman" w:eastAsia="Times New Roman" w:hint="default"/>
        </w:rPr>
        <w:t>EWELL HONGKONG</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可收回金额的预计表明商誉并未出现减值损失。</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60" w:lineRule="auto"/>
        <w:ind w:right="9134"/>
        <w:jc w:val="left"/>
      </w:pPr>
      <w:r>
        <w:rPr/>
        <w:t>商誉减值测试的影响 其他说明</w:t>
      </w:r>
    </w:p>
    <w:p>
      <w:pPr>
        <w:spacing w:after="0" w:line="36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13,664,680.50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15,549,420.79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7,074,614.61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22,139,486.68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委外技术开发费用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499,999.92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2,501,932.72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708,016.05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1,793,916.67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14,664,680.46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18,051,353.51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8,282,630.70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24,433,403.27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117,428,253.51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17,753,793.78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93,680,527.36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12,361,768.38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420,508.26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113,537.23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3,167,845.50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791,961.38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117,848,761.77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17,867,331.01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96,848,372.86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13,153,729.76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5"/>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17,867,331.01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13,153,729.76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198,443,568.39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123,059,595.78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198,443,568.39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123,059,595.78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7,417,965.99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16,252,737.31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16,252,737.31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27,603,002.49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27,603,002.49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25,634,942.13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26,203,599.08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47,175,172.18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45,582,290.91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81,777,714.28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198,443,568.39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123,059,595.78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1,299,095.08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8,737,464.12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7,257,105.25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8,556,200.33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8,737,464.12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107,780,113.80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315,245,800.00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福费廷融资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保理借款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567,025,913.80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322,800,000.00</w:t>
            </w:r>
          </w:p>
        </w:tc>
      </w:tr>
    </w:tbl>
    <w:p>
      <w:pPr>
        <w:pStyle w:val="BodyText"/>
        <w:spacing w:line="357" w:lineRule="auto" w:before="49"/>
        <w:ind w:left="513" w:right="1125" w:hanging="361"/>
        <w:jc w:val="left"/>
      </w:pPr>
      <w:r>
        <w:rPr/>
        <w:t>短期借款分类的说明： </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月，本公司与宁波银行股份有限公司杭州分行签订《开立保函协议》，宁波银行股份有限公司杭州分行为</w:t>
      </w:r>
    </w:p>
    <w:p>
      <w:pPr>
        <w:pStyle w:val="BodyText"/>
        <w:spacing w:line="214" w:lineRule="exact"/>
        <w:ind w:right="1133"/>
        <w:jc w:val="left"/>
      </w:pPr>
      <w:r>
        <w:rPr/>
        <w:t>本公司提供保函，本公司向凯基商业银行股份有限公司取得</w:t>
      </w:r>
      <w:r>
        <w:rPr>
          <w:rFonts w:ascii="Times New Roman" w:hAnsi="Times New Roman" w:cs="Times New Roman" w:eastAsia="Times New Roman" w:hint="default"/>
        </w:rPr>
        <w:t>582.60</w:t>
      </w:r>
      <w:r>
        <w:rPr/>
        <w:t>万欧元的借款。截至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p>
    <w:p>
      <w:pPr>
        <w:pStyle w:val="BodyText"/>
        <w:spacing w:line="240" w:lineRule="auto" w:before="63"/>
        <w:ind w:right="1133"/>
        <w:jc w:val="left"/>
      </w:pPr>
      <w:r>
        <w:rPr>
          <w:rFonts w:ascii="Times New Roman" w:hAnsi="Times New Roman" w:cs="Times New Roman" w:eastAsia="Times New Roman" w:hint="default"/>
        </w:rPr>
        <w:t>45,718,369.80</w:t>
      </w:r>
      <w:r>
        <w:rPr/>
        <w:t>元。</w:t>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月，本公司与宁波银行股份有限公司杭州分行签订《开立保函协议》，宁波银行股份有限公司杭州分行为本公</w:t>
      </w:r>
      <w:r>
        <w:rPr/>
        <w:t> </w:t>
      </w:r>
      <w:r>
        <w:rPr>
          <w:spacing w:val="-1"/>
        </w:rPr>
        <w:t>司提供保函，本公司向凯基商业银行股份有限公司取得</w:t>
      </w:r>
      <w:r>
        <w:rPr>
          <w:rFonts w:ascii="Times New Roman" w:hAnsi="Times New Roman" w:cs="Times New Roman" w:eastAsia="Times New Roman" w:hint="default"/>
          <w:spacing w:val="-1"/>
        </w:rPr>
        <w:t>642</w:t>
      </w:r>
      <w:r>
        <w:rPr>
          <w:spacing w:val="-1"/>
        </w:rPr>
        <w:t>万美元的借款。截至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w:t>
      </w:r>
      <w:r>
        <w:rPr>
          <w:rFonts w:ascii="Times New Roman" w:hAnsi="Times New Roman" w:cs="Times New Roman" w:eastAsia="Times New Roman" w:hint="default"/>
          <w:spacing w:val="-1"/>
        </w:rPr>
        <w:t>44,061,744.00</w:t>
      </w:r>
      <w:r>
        <w:rPr>
          <w:spacing w:val="-1"/>
        </w:rPr>
        <w:t>元。</w:t>
      </w:r>
      <w:r>
        <w:rPr/>
      </w:r>
    </w:p>
    <w:p>
      <w:pPr>
        <w:pStyle w:val="BodyText"/>
        <w:spacing w:line="240" w:lineRule="auto" w:before="13"/>
        <w:ind w:left="513" w:right="1133"/>
        <w:jc w:val="left"/>
      </w:pPr>
      <w:r>
        <w:rPr/>
        <w:t>注</w:t>
      </w:r>
      <w:r>
        <w:rPr>
          <w:rFonts w:ascii="Times New Roman" w:hAnsi="Times New Roman" w:cs="Times New Roman" w:eastAsia="Times New Roman" w:hint="default"/>
        </w:rPr>
        <w:t>2</w:t>
      </w:r>
      <w:r>
        <w:rPr/>
        <w:t>：系应收账款质押借款。</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本期末已逾期未偿还的短期借款总额为元，其中重要的已逾期未偿还的短期借款情况如下：</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1571"/>
        <w:gridCol w:w="3190"/>
      </w:tblGrid>
      <w:tr>
        <w:trPr>
          <w:trHeight w:val="40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指定为以公允价值计量且其变动计入当期损益的金融负债</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4,293,047.58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4,293,047.58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4,293,047.58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4,293,047.58</w:t>
            </w:r>
          </w:p>
        </w:tc>
      </w:tr>
    </w:tbl>
    <w:p>
      <w:pPr>
        <w:pStyle w:val="BodyText"/>
        <w:spacing w:line="240" w:lineRule="auto" w:before="49"/>
        <w:ind w:right="1133"/>
        <w:jc w:val="left"/>
      </w:pPr>
      <w:r>
        <w:rPr/>
        <w:t>其他说明：</w:t>
      </w:r>
    </w:p>
    <w:p>
      <w:pPr>
        <w:pStyle w:val="BodyText"/>
        <w:spacing w:line="304" w:lineRule="auto" w:before="115"/>
        <w:ind w:right="1131" w:firstLine="420"/>
        <w:jc w:val="both"/>
      </w:pPr>
      <w:r>
        <w:rPr/>
        <w:t>根据本公司与杭州华洁医疗科技有限公司、李明华、郝江签订的《增资协议之补充协议》，在对杭州华洁医疗科技有 </w:t>
      </w:r>
      <w:r>
        <w:rPr>
          <w:spacing w:val="-2"/>
        </w:rPr>
        <w:t>限公司增资完成后，杭州华洁医疗科技有限公司将投入一至两条自动化洗涤设备，如杭州华洁医疗科技有限公司在第一条自</w:t>
      </w:r>
      <w:r>
        <w:rPr>
          <w:spacing w:val="-64"/>
        </w:rPr>
        <w:t> </w:t>
      </w:r>
      <w:r>
        <w:rPr>
          <w:spacing w:val="-64"/>
        </w:rPr>
      </w:r>
      <w:r>
        <w:rPr/>
        <w:t>动化洗涤设备投产后第</w:t>
      </w:r>
      <w:r>
        <w:rPr>
          <w:rFonts w:ascii="Times New Roman" w:hAnsi="Times New Roman" w:cs="Times New Roman" w:eastAsia="Times New Roman" w:hint="default"/>
        </w:rPr>
        <w:t>11-12</w:t>
      </w:r>
      <w:r>
        <w:rPr/>
        <w:t>月月均营业收入达到</w:t>
      </w:r>
      <w:r>
        <w:rPr>
          <w:rFonts w:ascii="Times New Roman" w:hAnsi="Times New Roman" w:cs="Times New Roman" w:eastAsia="Times New Roman" w:hint="default"/>
        </w:rPr>
        <w:t>125</w:t>
      </w:r>
      <w:r>
        <w:rPr/>
        <w:t>万元人民币，则本公司同意将本次增资后杭州华洁医疗科技有限公司</w:t>
      </w:r>
      <w:r>
        <w:rPr>
          <w:spacing w:val="18"/>
        </w:rPr>
        <w:t> </w:t>
      </w:r>
      <w:r>
        <w:rPr>
          <w:spacing w:val="18"/>
        </w:rPr>
      </w:r>
      <w:r>
        <w:rPr>
          <w:rFonts w:ascii="Times New Roman" w:hAnsi="Times New Roman" w:cs="Times New Roman" w:eastAsia="Times New Roman" w:hint="default"/>
        </w:rPr>
        <w:t>5%</w:t>
      </w:r>
      <w:r>
        <w:rPr/>
        <w:t>的股权无偿转让给郝江；如杭州华洁医疗科技有限公司在第一条自动化洗涤设备投产后第</w:t>
      </w:r>
      <w:r>
        <w:rPr>
          <w:rFonts w:ascii="Times New Roman" w:hAnsi="Times New Roman" w:cs="Times New Roman" w:eastAsia="Times New Roman" w:hint="default"/>
        </w:rPr>
        <w:t>11-12</w:t>
      </w:r>
      <w:r>
        <w:rPr/>
        <w:t>月月均营业收入达到</w:t>
      </w:r>
      <w:r>
        <w:rPr>
          <w:rFonts w:ascii="Times New Roman" w:hAnsi="Times New Roman" w:cs="Times New Roman" w:eastAsia="Times New Roman" w:hint="default"/>
        </w:rPr>
        <w:t>180</w:t>
      </w:r>
      <w:r>
        <w:rPr>
          <w:rFonts w:ascii="Times New Roman" w:hAnsi="Times New Roman" w:cs="Times New Roman" w:eastAsia="Times New Roman" w:hint="default"/>
          <w:spacing w:val="9"/>
        </w:rPr>
        <w:t> </w:t>
      </w:r>
      <w:r>
        <w:rPr>
          <w:spacing w:val="-1"/>
        </w:rPr>
        <w:t>万元人民币，则本公司同意将本次增资后杭州华洁医疗科技有限公司</w:t>
      </w:r>
      <w:r>
        <w:rPr>
          <w:rFonts w:ascii="Times New Roman" w:hAnsi="Times New Roman" w:cs="Times New Roman" w:eastAsia="Times New Roman" w:hint="default"/>
          <w:spacing w:val="-1"/>
        </w:rPr>
        <w:t>10%</w:t>
      </w:r>
      <w:r>
        <w:rPr>
          <w:spacing w:val="-1"/>
        </w:rPr>
        <w:t>的股权无偿转让给郝江；如杭州华洁医疗科技有限</w:t>
      </w:r>
      <w:r>
        <w:rPr>
          <w:spacing w:val="-88"/>
        </w:rPr>
        <w:t> </w:t>
      </w:r>
      <w:r>
        <w:rPr>
          <w:spacing w:val="-88"/>
        </w:rPr>
      </w:r>
      <w:r>
        <w:rPr>
          <w:spacing w:val="-1"/>
        </w:rPr>
        <w:t>公司在第一条自动化洗涤设备投产后第</w:t>
      </w:r>
      <w:r>
        <w:rPr>
          <w:rFonts w:ascii="Times New Roman" w:hAnsi="Times New Roman" w:cs="Times New Roman" w:eastAsia="Times New Roman" w:hint="default"/>
          <w:spacing w:val="-1"/>
        </w:rPr>
        <w:t>23-24</w:t>
      </w:r>
      <w:r>
        <w:rPr>
          <w:spacing w:val="-1"/>
        </w:rPr>
        <w:t>月月均营业收入达到</w:t>
      </w:r>
      <w:r>
        <w:rPr>
          <w:rFonts w:ascii="Times New Roman" w:hAnsi="Times New Roman" w:cs="Times New Roman" w:eastAsia="Times New Roman" w:hint="default"/>
          <w:spacing w:val="-1"/>
        </w:rPr>
        <w:t>250</w:t>
      </w:r>
      <w:r>
        <w:rPr>
          <w:spacing w:val="-1"/>
        </w:rPr>
        <w:t>万元人民币，则本公司同意将本次增资后杭州华洁医疗</w:t>
      </w:r>
      <w:r>
        <w:rPr>
          <w:spacing w:val="-86"/>
        </w:rPr>
        <w:t> </w:t>
      </w:r>
      <w:r>
        <w:rPr>
          <w:spacing w:val="-86"/>
        </w:rPr>
      </w:r>
      <w:r>
        <w:rPr>
          <w:spacing w:val="-1"/>
        </w:rPr>
        <w:t>科技有限公司</w:t>
      </w:r>
      <w:r>
        <w:rPr>
          <w:rFonts w:ascii="Times New Roman" w:hAnsi="Times New Roman" w:cs="Times New Roman" w:eastAsia="Times New Roman" w:hint="default"/>
          <w:spacing w:val="-1"/>
        </w:rPr>
        <w:t>15%</w:t>
      </w:r>
      <w:r>
        <w:rPr>
          <w:spacing w:val="-1"/>
        </w:rPr>
        <w:t>（包含前述股权的累计比例）的股权无偿转让给郝江；如杭州华洁医疗科技有限公司在第一条自动化洗涤</w:t>
      </w:r>
      <w:r>
        <w:rPr>
          <w:spacing w:val="-87"/>
        </w:rPr>
        <w:t> </w:t>
      </w:r>
      <w:r>
        <w:rPr>
          <w:spacing w:val="-87"/>
        </w:rPr>
      </w:r>
      <w:r>
        <w:rPr/>
        <w:t>设备投产后第</w:t>
      </w:r>
      <w:r>
        <w:rPr>
          <w:rFonts w:ascii="Times New Roman" w:hAnsi="Times New Roman" w:cs="Times New Roman" w:eastAsia="Times New Roman" w:hint="default"/>
        </w:rPr>
        <w:t>23-24</w:t>
      </w:r>
      <w:r>
        <w:rPr/>
        <w:t>月月均营业收入超过</w:t>
      </w:r>
      <w:r>
        <w:rPr>
          <w:rFonts w:ascii="Times New Roman" w:hAnsi="Times New Roman" w:cs="Times New Roman" w:eastAsia="Times New Roman" w:hint="default"/>
        </w:rPr>
        <w:t>180</w:t>
      </w:r>
      <w:r>
        <w:rPr/>
        <w:t>万元但未达到</w:t>
      </w:r>
      <w:r>
        <w:rPr>
          <w:rFonts w:ascii="Times New Roman" w:hAnsi="Times New Roman" w:cs="Times New Roman" w:eastAsia="Times New Roman" w:hint="default"/>
        </w:rPr>
        <w:t>250</w:t>
      </w:r>
      <w:r>
        <w:rPr/>
        <w:t>万，按比例折算本公司累计需无偿转让给郝江的股权数量。</w:t>
      </w:r>
    </w:p>
    <w:p>
      <w:pPr>
        <w:spacing w:line="240" w:lineRule="auto" w:before="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22,396,727.46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152,900.28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131,560,783.91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132,424,866.13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153,957,511.37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132,577,766.41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22,396,727.46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22,396,727.46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152,900.28</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127,076,919.97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126,597,179.64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4,483,863.94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5,827,686.49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131,560,783.91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132,424,866.13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15,305,449.37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21,913,811.87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15,305,449.37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21,913,811.87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38,769,358.74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288,925,055.05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278,648,030.46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49,046,383.33</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647,723.08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13,180,628.73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13,092,987.85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735,363.96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431,574.30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431,574.30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39,417,081.82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302,537,258.08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292,172,592.61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49,781,747.29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37,387,534.40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263,406,574.56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253,493,678.97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47,300,429.99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484,913.61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6,095,943.99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5,898,855.02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682,002.58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466,923.48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9,806,490.18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9,773,034.34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500,379.32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425,846.51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8,606,202.31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8,588,387.99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443,660.83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11,705.83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407,943.99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401,753.06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17,896.76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792,343.88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782,893.29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38,821.73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8,139,603.17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8,067,683.21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97,346.25</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404,560.96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1,476,443.15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1,414,778.92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466,225.19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38,769,358.74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288,925,055.05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278,648,030.46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49,046,383.33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635,661.78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12,649,132.08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12,566,666.47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718,127.39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531,496.65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526,321.38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17,236.57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647,723.08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13,180,628.73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13,092,987.85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735,363.96</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49,741,333.41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39,873,440.08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18,436,340.13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17,991,908.10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12,690,304.58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1,069,381.80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413,326.25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458,734.52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268,245.47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305,109.65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238,925.05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42,074.22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70,945,146.01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73,083,204.25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3,407,792.13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636,667.82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22,328,366.32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22,334,612.69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25,736,158.45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22,971,280.51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246,736.11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3,050,500.93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389,931.71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3,407,792.13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636,667.82</w:t>
            </w:r>
          </w:p>
        </w:tc>
      </w:tr>
    </w:tbl>
    <w:p>
      <w:pPr>
        <w:pStyle w:val="BodyText"/>
        <w:spacing w:line="240" w:lineRule="auto" w:before="49"/>
        <w:ind w:right="1133"/>
        <w:jc w:val="left"/>
      </w:pPr>
      <w:r>
        <w:rPr/>
        <w:t>重要的已逾期未支付的利息情况：</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1,757,694.29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2,713,956.62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9,395,869.08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6,762,427.03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应付费用类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1,845,384.31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4,375,481.35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9,329,418.64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8,482,747.69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22,328,366.32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22,334,612.69</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95,935,080.00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95,935,080.00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t>短期应付债券的增减变动：</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5"/>
        <w:gridCol w:w="876"/>
        <w:gridCol w:w="877"/>
        <w:gridCol w:w="876"/>
        <w:gridCol w:w="876"/>
        <w:gridCol w:w="876"/>
        <w:gridCol w:w="876"/>
        <w:gridCol w:w="878"/>
        <w:gridCol w:w="877"/>
        <w:gridCol w:w="876"/>
        <w:gridCol w:w="876"/>
      </w:tblGrid>
      <w:tr>
        <w:trPr>
          <w:trHeight w:val="715" w:hRule="exact"/>
        </w:trPr>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1" w:hanging="89"/>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bl>
    <w:p>
      <w:pPr>
        <w:pStyle w:val="BodyText"/>
        <w:spacing w:line="240" w:lineRule="auto" w:before="49"/>
        <w:ind w:right="1133"/>
        <w:jc w:val="left"/>
      </w:pPr>
      <w:r>
        <w:rPr/>
        <w:t>长期借款分类的说明：</w:t>
      </w:r>
    </w:p>
    <w:p>
      <w:pPr>
        <w:pStyle w:val="BodyText"/>
        <w:spacing w:line="300" w:lineRule="auto" w:before="115"/>
        <w:ind w:right="1128"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日，本公司与中国银行股份有限公司浙江省分行签订《质押合同》，将本公司持有医惠科技公司</w:t>
      </w:r>
      <w:r>
        <w:rPr>
          <w:rFonts w:ascii="Times New Roman" w:hAnsi="Times New Roman" w:cs="Times New Roman" w:eastAsia="Times New Roman" w:hint="default"/>
        </w:rPr>
        <w:t>69.1417% </w:t>
      </w:r>
      <w:r>
        <w:rPr>
          <w:spacing w:val="-1"/>
        </w:rPr>
        <w:t>的股权质押，取得</w:t>
      </w:r>
      <w:r>
        <w:rPr>
          <w:rFonts w:ascii="Times New Roman" w:hAnsi="Times New Roman" w:cs="Times New Roman" w:eastAsia="Times New Roman" w:hint="default"/>
          <w:spacing w:val="-1"/>
        </w:rPr>
        <w:t>3</w:t>
      </w:r>
      <w:r>
        <w:rPr>
          <w:spacing w:val="-1"/>
        </w:rPr>
        <w:t>亿元并购借款，借款期限为</w:t>
      </w:r>
      <w:r>
        <w:rPr>
          <w:rFonts w:ascii="Times New Roman" w:hAnsi="Times New Roman" w:cs="Times New Roman" w:eastAsia="Times New Roman" w:hint="default"/>
          <w:spacing w:val="-1"/>
        </w:rPr>
        <w:t>5</w:t>
      </w:r>
      <w:r>
        <w:rPr>
          <w:spacing w:val="-1"/>
        </w:rPr>
        <w:t>年。截至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w:t>
      </w:r>
      <w:r>
        <w:rPr>
          <w:rFonts w:ascii="Times New Roman" w:hAnsi="Times New Roman" w:cs="Times New Roman" w:eastAsia="Times New Roman" w:hint="default"/>
          <w:spacing w:val="-1"/>
        </w:rPr>
        <w:t>0.16</w:t>
      </w:r>
      <w:r>
        <w:rPr>
          <w:spacing w:val="-1"/>
        </w:rPr>
        <w:t>亿元。期末将按借款合同约定需在</w:t>
      </w:r>
      <w:r>
        <w:rPr>
          <w:spacing w:val="-74"/>
        </w:rPr>
        <w:t> </w:t>
      </w:r>
      <w:r>
        <w:rPr>
          <w:spacing w:val="-74"/>
        </w:rPr>
      </w:r>
      <w:r>
        <w:rPr>
          <w:rFonts w:ascii="Times New Roman" w:hAnsi="Times New Roman" w:cs="Times New Roman" w:eastAsia="Times New Roman" w:hint="default"/>
        </w:rPr>
        <w:t>2019</w:t>
      </w:r>
      <w:r>
        <w:rPr/>
        <w:t>年度支付的长期借款</w:t>
      </w:r>
      <w:r>
        <w:rPr>
          <w:rFonts w:ascii="Times New Roman" w:hAnsi="Times New Roman" w:cs="Times New Roman" w:eastAsia="Times New Roman" w:hint="default"/>
        </w:rPr>
        <w:t>200</w:t>
      </w:r>
      <w:r>
        <w:rPr/>
        <w:t>万元列示于一年内到期的非流动负债。</w:t>
      </w:r>
    </w:p>
    <w:p>
      <w:pPr>
        <w:pStyle w:val="BodyText"/>
        <w:spacing w:line="300" w:lineRule="auto" w:before="13"/>
        <w:ind w:right="1128"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日，本公司与中国银行股份有限公司浙江省分行签订《质押合同》，将本公司持有医惠科技公司</w:t>
      </w:r>
      <w:r>
        <w:rPr>
          <w:rFonts w:ascii="Times New Roman" w:hAnsi="Times New Roman" w:cs="Times New Roman" w:eastAsia="Times New Roman" w:hint="default"/>
          <w:spacing w:val="-2"/>
        </w:rPr>
        <w:t>30.8583%</w:t>
      </w:r>
      <w:r>
        <w:rPr>
          <w:rFonts w:ascii="Times New Roman" w:hAnsi="Times New Roman" w:cs="Times New Roman" w:eastAsia="Times New Roman" w:hint="default"/>
        </w:rPr>
        <w:t> </w:t>
      </w:r>
      <w:r>
        <w:rPr>
          <w:spacing w:val="-5"/>
        </w:rPr>
        <w:t>的股权质押，取得</w:t>
      </w:r>
      <w:r>
        <w:rPr>
          <w:rFonts w:ascii="Times New Roman" w:hAnsi="Times New Roman" w:cs="Times New Roman" w:eastAsia="Times New Roman" w:hint="default"/>
          <w:spacing w:val="-5"/>
        </w:rPr>
        <w:t>2</w:t>
      </w:r>
      <w:r>
        <w:rPr>
          <w:spacing w:val="-5"/>
        </w:rPr>
        <w:t>亿元并购借款</w:t>
      </w:r>
      <w:r>
        <w:rPr>
          <w:rFonts w:ascii="Times New Roman" w:hAnsi="Times New Roman" w:cs="Times New Roman" w:eastAsia="Times New Roman" w:hint="default"/>
          <w:spacing w:val="-5"/>
        </w:rPr>
        <w:t>,</w:t>
      </w:r>
      <w:r>
        <w:rPr>
          <w:spacing w:val="-5"/>
        </w:rPr>
        <w:t>借款期限为</w:t>
      </w:r>
      <w:r>
        <w:rPr>
          <w:rFonts w:ascii="Times New Roman" w:hAnsi="Times New Roman" w:cs="Times New Roman" w:eastAsia="Times New Roman" w:hint="default"/>
          <w:spacing w:val="-5"/>
        </w:rPr>
        <w:t>5</w:t>
      </w:r>
      <w:r>
        <w:rPr>
          <w:spacing w:val="-5"/>
        </w:rPr>
        <w:t>年。截至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日借款余额为</w:t>
      </w:r>
      <w:r>
        <w:rPr>
          <w:rFonts w:ascii="Times New Roman" w:hAnsi="Times New Roman" w:cs="Times New Roman" w:eastAsia="Times New Roman" w:hint="default"/>
          <w:spacing w:val="-5"/>
        </w:rPr>
        <w:t>1.14</w:t>
      </w:r>
      <w:r>
        <w:rPr>
          <w:spacing w:val="-5"/>
        </w:rPr>
        <w:t>亿元。期末将按借款合同约定需在</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年度支付的长期借款</w:t>
      </w:r>
      <w:r>
        <w:rPr>
          <w:rFonts w:ascii="Times New Roman" w:hAnsi="Times New Roman" w:cs="Times New Roman" w:eastAsia="Times New Roman" w:hint="default"/>
        </w:rPr>
        <w:t>3,800</w:t>
      </w:r>
      <w:r>
        <w:rPr/>
        <w:t>万元列示于一年内到期的非流动负债。</w:t>
      </w:r>
    </w:p>
    <w:p>
      <w:pPr>
        <w:pStyle w:val="BodyText"/>
        <w:spacing w:line="300" w:lineRule="auto" w:before="13"/>
        <w:ind w:right="1131"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日，本公司与招商银行股份有限公司杭州凤起支行签订《担保协议》，招商银行股份有限公司杭州凤起支</w:t>
      </w:r>
      <w:r>
        <w:rPr/>
        <w:t> 行为本公司提供担保，本公司向招商银行股份有限公司新加坡分行取得</w:t>
      </w:r>
      <w:r>
        <w:rPr>
          <w:rFonts w:ascii="Times New Roman" w:hAnsi="Times New Roman" w:cs="Times New Roman" w:eastAsia="Times New Roman" w:hint="default"/>
        </w:rPr>
        <w:t>815</w:t>
      </w:r>
      <w:r>
        <w:rPr/>
        <w:t>万美元的借款。截至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spacing w:val="-86"/>
        </w:rPr>
        <w:t> </w:t>
      </w:r>
      <w:r>
        <w:rPr>
          <w:spacing w:val="-86"/>
        </w:rPr>
      </w:r>
      <w:r>
        <w:rPr>
          <w:rFonts w:ascii="Times New Roman" w:hAnsi="Times New Roman" w:cs="Times New Roman" w:eastAsia="Times New Roman" w:hint="default"/>
        </w:rPr>
        <w:t>55,935,080.00</w:t>
      </w:r>
      <w:r>
        <w:rPr/>
        <w:t>元。期末将按借款合同约定需在</w:t>
      </w:r>
      <w:r>
        <w:rPr>
          <w:rFonts w:ascii="Times New Roman" w:hAnsi="Times New Roman" w:cs="Times New Roman" w:eastAsia="Times New Roman" w:hint="default"/>
        </w:rPr>
        <w:t>2019</w:t>
      </w:r>
      <w:r>
        <w:rPr/>
        <w:t>年度支付的长期借款</w:t>
      </w:r>
      <w:r>
        <w:rPr>
          <w:rFonts w:ascii="Times New Roman" w:hAnsi="Times New Roman" w:cs="Times New Roman" w:eastAsia="Times New Roman" w:hint="default"/>
        </w:rPr>
        <w:t>55,935,080.00</w:t>
      </w:r>
      <w:r>
        <w:rPr/>
        <w:t>元列示于一年内到期的非流动负债。</w:t>
      </w:r>
    </w:p>
    <w:p>
      <w:pPr>
        <w:pStyle w:val="BodyText"/>
        <w:spacing w:line="300" w:lineRule="auto" w:before="13"/>
        <w:ind w:right="1128"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日，本公司与中国工商银行股份有限公司杭州拱宸支行签订《开立融资类保函</w:t>
      </w:r>
      <w:r>
        <w:rPr>
          <w:rFonts w:ascii="Times New Roman" w:hAnsi="Times New Roman" w:cs="Times New Roman" w:eastAsia="Times New Roman" w:hint="default"/>
        </w:rPr>
        <w:t>/</w:t>
      </w:r>
      <w:r>
        <w:rPr/>
        <w:t>备用信用证协议》，中国 工商银行股份有限公司杭州拱宸支行为本公司提供担保，本公司向中国工商银行新加坡分行取得</w:t>
      </w:r>
      <w:r>
        <w:rPr>
          <w:rFonts w:ascii="Times New Roman" w:hAnsi="Times New Roman" w:cs="Times New Roman" w:eastAsia="Times New Roman" w:hint="default"/>
        </w:rPr>
        <w:t>1,500</w:t>
      </w:r>
      <w:r>
        <w:rPr/>
        <w:t>万美元的借款。截至</w:t>
      </w:r>
      <w:r>
        <w:rPr>
          <w:spacing w:val="-39"/>
        </w:rPr>
        <w:t> </w:t>
      </w:r>
      <w:r>
        <w:rPr>
          <w:spacing w:val="-39"/>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102,948,000.00</w:t>
      </w:r>
      <w:r>
        <w:rPr/>
        <w:t>元。</w:t>
      </w:r>
    </w:p>
    <w:p>
      <w:pPr>
        <w:pStyle w:val="BodyText"/>
        <w:spacing w:line="240" w:lineRule="auto" w:before="53"/>
        <w:ind w:right="1133"/>
        <w:jc w:val="left"/>
      </w:pPr>
      <w:r>
        <w:rPr/>
        <w:t>其他说明，包括利率区间：</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4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单位：人民币元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设定受益计划义务现值：</w:t>
      </w:r>
    </w:p>
    <w:p>
      <w:pPr>
        <w:spacing w:after="0" w:line="240" w:lineRule="auto"/>
        <w:jc w:val="left"/>
        <w:sectPr>
          <w:type w:val="continuous"/>
          <w:pgSz w:w="11910" w:h="16840"/>
          <w:pgMar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343,662.00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质量保证</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319,500.00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343,662.00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2,222,222.22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2,095,238.10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1,126,984.12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2,222,222.22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2,095,238.10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1,126,984.12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4"/>
        <w:gridCol w:w="1063"/>
        <w:gridCol w:w="1063"/>
      </w:tblGrid>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本期计入其 他收益金额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医用超高频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标签的 研发及产业 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2,222,222.22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2,095,238.10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1,126,984.12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pStyle w:val="BodyText"/>
        <w:spacing w:line="240" w:lineRule="auto" w:before="117"/>
        <w:ind w:left="573" w:right="1133"/>
        <w:jc w:val="left"/>
      </w:pPr>
      <w:r>
        <w:rPr/>
        <w:t>注：政府补助本期计入当期损益情况详见本财务报表附注合并财务报表项目注释其他之政府补助说明。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807,885,334.00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807,885,334.00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794,712,176.35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431,260.87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7,811,866.71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787,331,570.51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5,457,145.43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7,513,439.84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12,970,585.27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800,169,321.78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7,944,700.71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7,811,866.71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800,302,155.78</w:t>
            </w:r>
          </w:p>
        </w:tc>
      </w:tr>
    </w:tbl>
    <w:p>
      <w:pPr>
        <w:pStyle w:val="BodyText"/>
        <w:spacing w:line="240" w:lineRule="auto" w:before="49"/>
        <w:ind w:right="1133"/>
        <w:jc w:val="left"/>
      </w:pPr>
      <w:r>
        <w:rPr/>
        <w:t>其他说明，包括本期增减变动情况、变动原因说明：</w:t>
      </w:r>
    </w:p>
    <w:p>
      <w:pPr>
        <w:pStyle w:val="BodyText"/>
        <w:spacing w:line="307" w:lineRule="auto" w:before="117"/>
        <w:ind w:right="1120" w:firstLine="420"/>
        <w:jc w:val="both"/>
      </w:pPr>
      <w:r>
        <w:rPr/>
        <w:t>本期资本公积增加系：</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本期公司将子公司杭州思创宣道信息技术有限公司</w:t>
      </w:r>
      <w:r>
        <w:rPr>
          <w:rFonts w:ascii="Times New Roman" w:hAnsi="Times New Roman" w:cs="Times New Roman" w:eastAsia="Times New Roman" w:hint="default"/>
        </w:rPr>
        <w:t>20.91%</w:t>
      </w:r>
      <w:r>
        <w:rPr/>
        <w:t>股权以</w:t>
      </w:r>
      <w:r>
        <w:rPr>
          <w:rFonts w:ascii="Times New Roman" w:hAnsi="Times New Roman" w:cs="Times New Roman" w:eastAsia="Times New Roman" w:hint="default"/>
        </w:rPr>
        <w:t>0</w:t>
      </w:r>
      <w:r>
        <w:rPr/>
        <w:t>元对价转让赵哲，按照转 </w:t>
      </w:r>
      <w:r>
        <w:rPr>
          <w:spacing w:val="8"/>
        </w:rPr>
        <w:t>让后本公司按持股比例享有的该公司净资产份额与本次转让前本公司按照原持股比例享有的该公司净资产份额的差额</w:t>
      </w:r>
      <w:r>
        <w:rPr>
          <w:spacing w:val="-56"/>
        </w:rPr>
        <w:t> </w:t>
      </w:r>
      <w:r>
        <w:rPr>
          <w:spacing w:val="-56"/>
        </w:rPr>
      </w:r>
      <w:r>
        <w:rPr>
          <w:rFonts w:ascii="Times New Roman" w:hAnsi="Times New Roman" w:cs="Times New Roman" w:eastAsia="Times New Roman" w:hint="default"/>
        </w:rPr>
        <w:t>410,739.32</w:t>
      </w:r>
      <w:r>
        <w:rPr/>
        <w:t>元计入资本公积； </w:t>
      </w:r>
      <w:r>
        <w:rPr>
          <w:rFonts w:ascii="Times New Roman" w:hAnsi="Times New Roman" w:cs="Times New Roman" w:eastAsia="Times New Roman" w:hint="default"/>
        </w:rPr>
        <w:t>2) </w:t>
      </w:r>
      <w:r>
        <w:rPr/>
        <w:t>本期子公司医惠科技公司和股东杨生鹏分别以</w:t>
      </w:r>
      <w:r>
        <w:rPr>
          <w:rFonts w:ascii="Times New Roman" w:hAnsi="Times New Roman" w:cs="Times New Roman" w:eastAsia="Times New Roman" w:hint="default"/>
        </w:rPr>
        <w:t>204</w:t>
      </w:r>
      <w:r>
        <w:rPr/>
        <w:t>万元、</w:t>
      </w:r>
      <w:r>
        <w:rPr>
          <w:rFonts w:ascii="Times New Roman" w:hAnsi="Times New Roman" w:cs="Times New Roman" w:eastAsia="Times New Roman" w:hint="default"/>
        </w:rPr>
        <w:t>176</w:t>
      </w:r>
      <w:r>
        <w:rPr/>
        <w:t>万元对子公司杭州睿杰信息技</w:t>
      </w:r>
      <w:r>
        <w:rPr>
          <w:spacing w:val="-66"/>
        </w:rPr>
        <w:t> </w:t>
      </w:r>
      <w:r>
        <w:rPr>
          <w:spacing w:val="-66"/>
        </w:rPr>
      </w:r>
      <w:r>
        <w:rPr>
          <w:spacing w:val="-2"/>
        </w:rPr>
        <w:t>术有限公司非同比例增资，医惠科技公司增资款与增资后新增的应享有子公司自购买日开始持续计算的可辨认净资产份额的</w:t>
      </w:r>
      <w:r>
        <w:rPr>
          <w:spacing w:val="-64"/>
        </w:rPr>
        <w:t> </w:t>
      </w:r>
      <w:r>
        <w:rPr>
          <w:spacing w:val="-64"/>
        </w:rPr>
      </w:r>
      <w:r>
        <w:rPr>
          <w:spacing w:val="-1"/>
        </w:rPr>
        <w:t>差额</w:t>
      </w:r>
      <w:r>
        <w:rPr>
          <w:rFonts w:ascii="Times New Roman" w:hAnsi="Times New Roman" w:cs="Times New Roman" w:eastAsia="Times New Roman" w:hint="default"/>
          <w:spacing w:val="-1"/>
        </w:rPr>
        <w:t>20,521.55</w:t>
      </w:r>
      <w:r>
        <w:rPr>
          <w:spacing w:val="-1"/>
        </w:rPr>
        <w:t>元计入资本公积；</w:t>
      </w:r>
      <w:r>
        <w:rPr>
          <w:rFonts w:ascii="Times New Roman" w:hAnsi="Times New Roman" w:cs="Times New Roman" w:eastAsia="Times New Roman" w:hint="default"/>
          <w:spacing w:val="-1"/>
        </w:rPr>
        <w:t>3)</w:t>
      </w:r>
      <w:r>
        <w:rPr>
          <w:spacing w:val="-1"/>
        </w:rPr>
        <w:t>联营企业江苏钜芯除净损益以外其他因素导致的所有者权益变动，本公司按投资比例确认</w:t>
      </w:r>
      <w:r>
        <w:rPr>
          <w:spacing w:val="-86"/>
        </w:rPr>
        <w:t> </w:t>
      </w:r>
      <w:r>
        <w:rPr>
          <w:spacing w:val="-86"/>
        </w:rPr>
      </w:r>
      <w:r>
        <w:rPr/>
        <w:t>资本公积</w:t>
      </w:r>
      <w:r>
        <w:rPr>
          <w:rFonts w:ascii="Times New Roman" w:hAnsi="Times New Roman" w:cs="Times New Roman" w:eastAsia="Times New Roman" w:hint="default"/>
        </w:rPr>
        <w:t>7,513,439.84</w:t>
      </w:r>
      <w:r>
        <w:rPr/>
        <w:t>元。</w:t>
      </w:r>
    </w:p>
    <w:p>
      <w:pPr>
        <w:spacing w:after="0" w:line="307" w:lineRule="auto"/>
        <w:jc w:val="both"/>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4" w:lineRule="auto" w:before="44"/>
        <w:ind w:right="1031" w:firstLine="420"/>
        <w:jc w:val="left"/>
      </w:pPr>
      <w:r>
        <w:rPr>
          <w:spacing w:val="-3"/>
        </w:rPr>
        <w:t>本期资本公积减少系：</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4"/>
        </w:rPr>
        <w:t> </w:t>
      </w:r>
      <w:r>
        <w:rPr/>
        <w:t>本期公司出资</w:t>
      </w:r>
      <w:r>
        <w:rPr>
          <w:rFonts w:ascii="Times New Roman" w:hAnsi="Times New Roman" w:cs="Times New Roman" w:eastAsia="Times New Roman" w:hint="default"/>
        </w:rPr>
        <w:t>140</w:t>
      </w:r>
      <w:r>
        <w:rPr/>
        <w:t>万元收购子公司杭州医惠医用织物管理有限公司少数股东</w:t>
      </w:r>
      <w:r>
        <w:rPr>
          <w:rFonts w:ascii="Times New Roman" w:hAnsi="Times New Roman" w:cs="Times New Roman" w:eastAsia="Times New Roman" w:hint="default"/>
        </w:rPr>
        <w:t>40%</w:t>
      </w:r>
      <w:r>
        <w:rPr/>
        <w:t>股权，新增长 期股权投资与按照新增持股比例享有该子公司自购买日开始持续计算的可辨认净资产份额之间的差额</w:t>
      </w:r>
      <w:r>
        <w:rPr>
          <w:rFonts w:ascii="Times New Roman" w:hAnsi="Times New Roman" w:cs="Times New Roman" w:eastAsia="Times New Roman" w:hint="default"/>
        </w:rPr>
        <w:t>1,439,149.60</w:t>
      </w:r>
      <w:r>
        <w:rPr/>
        <w:t>元冲减资</w:t>
      </w:r>
      <w:r>
        <w:rPr>
          <w:spacing w:val="-42"/>
        </w:rPr>
        <w:t> </w:t>
      </w:r>
      <w:r>
        <w:rPr/>
        <w:t>本公积；</w:t>
      </w:r>
      <w:r>
        <w:rPr>
          <w:rFonts w:ascii="Times New Roman" w:hAnsi="Times New Roman" w:cs="Times New Roman" w:eastAsia="Times New Roman" w:hint="default"/>
        </w:rPr>
        <w:t>2) </w:t>
      </w:r>
      <w:r>
        <w:rPr/>
        <w:t>本期子公司中瑞思创（香港）国际有限公司出资</w:t>
      </w:r>
      <w:r>
        <w:rPr>
          <w:rFonts w:ascii="Times New Roman" w:hAnsi="Times New Roman" w:cs="Times New Roman" w:eastAsia="Times New Roman" w:hint="default"/>
        </w:rPr>
        <w:t>3,000</w:t>
      </w:r>
      <w:r>
        <w:rPr/>
        <w:t>万元对</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进行非同比例增资， </w:t>
      </w:r>
      <w:r>
        <w:rPr>
          <w:spacing w:val="4"/>
        </w:rPr>
        <w:t>中瑞思创（香港）国际有限公司增资款与增资后新增的应享有子公司自购买日开始持续计算的可辨认净资产份额的差额</w:t>
      </w:r>
      <w:r>
        <w:rPr>
          <w:spacing w:val="-53"/>
        </w:rPr>
        <w:t> </w:t>
      </w:r>
      <w:r>
        <w:rPr>
          <w:spacing w:val="-53"/>
        </w:rPr>
      </w:r>
      <w:r>
        <w:rPr>
          <w:rFonts w:ascii="Times New Roman" w:hAnsi="Times New Roman" w:cs="Times New Roman" w:eastAsia="Times New Roman" w:hint="default"/>
        </w:rPr>
        <w:t>6,372,717.11</w:t>
      </w:r>
      <w:r>
        <w:rPr/>
        <w:t>元冲减资本公积。</w:t>
      </w:r>
    </w:p>
    <w:p>
      <w:pPr>
        <w:spacing w:line="240" w:lineRule="auto" w:before="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-2,743,229.73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154,046.32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760,086.82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-606,040.50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-1,983,14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2.91</w:t>
            </w:r>
          </w:p>
        </w:tc>
      </w:tr>
      <w:tr>
        <w:trPr>
          <w:trHeight w:val="71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-73,556.00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-22,978.78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-22,978.78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-2,669,673.73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177,025.10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783,065.60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-606,040.50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-1,886,60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-2,743,229.73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154,046.32</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760,086.82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-606,040.50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-1,983,14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2.91</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72,020,866.99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579,166.73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72,600,033.72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72,020,866.99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579,166.73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72,600,033.72</w:t>
            </w:r>
          </w:p>
        </w:tc>
      </w:tr>
    </w:tbl>
    <w:p>
      <w:pPr>
        <w:pStyle w:val="BodyText"/>
        <w:spacing w:line="357" w:lineRule="auto" w:before="49"/>
        <w:ind w:right="5744"/>
        <w:jc w:val="left"/>
      </w:pPr>
      <w:r>
        <w:rPr/>
        <w:t>盈余公积说明，包括本期增减变动情况、变动原因说明： 本期增加系按本期母公司实现净利润的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384,785,003.30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371,170,411.85</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143,472,605.91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130,262,340.03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579,166.73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4,441,452.08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14,541,936.01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112,206,296.50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513,136,506.47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384,785,003.30</w:t>
            </w:r>
          </w:p>
        </w:tc>
      </w:tr>
    </w:tbl>
    <w:p>
      <w:pPr>
        <w:spacing w:line="240" w:lineRule="auto" w:before="5"/>
        <w:rPr>
          <w:rFonts w:ascii="宋体" w:hAnsi="宋体" w:cs="宋体" w:eastAsia="宋体" w:hint="default"/>
          <w:sz w:val="6"/>
          <w:szCs w:val="6"/>
        </w:rPr>
      </w:pPr>
    </w:p>
    <w:p>
      <w:pPr>
        <w:pStyle w:val="BodyText"/>
        <w:spacing w:line="240" w:lineRule="auto" w:before="44"/>
        <w:ind w:left="513" w:right="1133"/>
        <w:jc w:val="left"/>
      </w:pPr>
      <w:r>
        <w:rPr>
          <w:rFonts w:ascii="宋体" w:hAnsi="宋体" w:cs="宋体" w:eastAsia="宋体" w:hint="default"/>
        </w:rPr>
        <w:t>(2)</w:t>
      </w:r>
      <w:r>
        <w:rPr>
          <w:rFonts w:ascii="宋体" w:hAnsi="宋体" w:cs="宋体" w:eastAsia="宋体" w:hint="default"/>
          <w:spacing w:val="2"/>
        </w:rPr>
        <w:t> </w:t>
      </w:r>
      <w:r>
        <w:rPr/>
        <w:t>其他说明</w:t>
      </w:r>
    </w:p>
    <w:p>
      <w:pPr>
        <w:spacing w:line="240" w:lineRule="auto" w:before="11"/>
        <w:rPr>
          <w:rFonts w:ascii="宋体" w:hAnsi="宋体" w:cs="宋体" w:eastAsia="宋体" w:hint="default"/>
          <w:sz w:val="14"/>
          <w:szCs w:val="14"/>
        </w:rPr>
      </w:pPr>
    </w:p>
    <w:p>
      <w:pPr>
        <w:pStyle w:val="BodyText"/>
        <w:spacing w:line="240" w:lineRule="auto"/>
        <w:ind w:left="0" w:right="1131"/>
        <w:jc w:val="right"/>
      </w:pPr>
      <w:r>
        <w:rPr/>
        <w:t>经公司 </w:t>
      </w:r>
      <w:r>
        <w:rPr>
          <w:rFonts w:ascii="宋体" w:hAnsi="宋体" w:cs="宋体" w:eastAsia="宋体" w:hint="default"/>
        </w:rPr>
        <w:t>2017</w:t>
      </w:r>
      <w:r>
        <w:rPr>
          <w:rFonts w:ascii="宋体" w:hAnsi="宋体" w:cs="宋体" w:eastAsia="宋体" w:hint="default"/>
          <w:spacing w:val="-44"/>
        </w:rPr>
        <w:t> </w:t>
      </w:r>
      <w:r>
        <w:rPr>
          <w:spacing w:val="-4"/>
        </w:rPr>
        <w:t>年年度股东大会审议通过，以总股本</w:t>
      </w:r>
      <w:r>
        <w:rPr>
          <w:spacing w:val="-45"/>
        </w:rPr>
        <w:t> </w:t>
      </w:r>
      <w:r>
        <w:rPr>
          <w:rFonts w:ascii="宋体" w:hAnsi="宋体" w:cs="宋体" w:eastAsia="宋体" w:hint="default"/>
        </w:rPr>
        <w:t>807,885,334</w:t>
      </w:r>
      <w:r>
        <w:rPr>
          <w:rFonts w:ascii="宋体" w:hAnsi="宋体" w:cs="宋体" w:eastAsia="宋体" w:hint="default"/>
          <w:spacing w:val="-43"/>
        </w:rPr>
        <w:t> </w:t>
      </w:r>
      <w:r>
        <w:rPr>
          <w:spacing w:val="-9"/>
        </w:rPr>
        <w:t>股为基数，按每</w:t>
      </w:r>
      <w:r>
        <w:rPr>
          <w:spacing w:val="-3"/>
        </w:rPr>
        <w:t> </w:t>
      </w:r>
      <w:r>
        <w:rPr>
          <w:rFonts w:ascii="宋体" w:hAnsi="宋体" w:cs="宋体" w:eastAsia="宋体" w:hint="default"/>
        </w:rPr>
        <w:t>10</w:t>
      </w:r>
      <w:r>
        <w:rPr>
          <w:rFonts w:ascii="宋体" w:hAnsi="宋体" w:cs="宋体" w:eastAsia="宋体" w:hint="default"/>
          <w:spacing w:val="1"/>
        </w:rPr>
        <w:t> </w:t>
      </w:r>
      <w:r>
        <w:rPr/>
        <w:t>股派发现金股利人民币</w:t>
      </w:r>
      <w:r>
        <w:rPr>
          <w:spacing w:val="-45"/>
        </w:rPr>
        <w:t> </w:t>
      </w:r>
      <w:r>
        <w:rPr>
          <w:rFonts w:ascii="宋体" w:hAnsi="宋体" w:cs="宋体" w:eastAsia="宋体" w:hint="default"/>
        </w:rPr>
        <w:t>0.18</w:t>
      </w:r>
      <w:r>
        <w:rPr>
          <w:rFonts w:ascii="宋体" w:hAnsi="宋体" w:cs="宋体" w:eastAsia="宋体" w:hint="default"/>
          <w:spacing w:val="-1"/>
        </w:rPr>
        <w:t> </w:t>
      </w:r>
      <w:r>
        <w:rPr>
          <w:spacing w:val="-20"/>
        </w:rPr>
        <w:t>元（含</w:t>
      </w:r>
    </w:p>
    <w:p>
      <w:pPr>
        <w:pStyle w:val="BodyText"/>
        <w:spacing w:line="338" w:lineRule="auto" w:before="76"/>
        <w:ind w:right="8373"/>
        <w:jc w:val="left"/>
      </w:pPr>
      <w:r>
        <w:rPr/>
        <w:t>税）</w:t>
      </w:r>
      <w:r>
        <w:rPr>
          <w:rFonts w:ascii="Times New Roman" w:hAnsi="Times New Roman" w:cs="Times New Roman" w:eastAsia="Times New Roman" w:hint="default"/>
        </w:rPr>
        <w:t>,</w:t>
      </w:r>
      <w:r>
        <w:rPr/>
        <w:t>共计</w:t>
      </w:r>
      <w:r>
        <w:rPr>
          <w:spacing w:val="-48"/>
        </w:rPr>
        <w:t> </w:t>
      </w:r>
      <w:r>
        <w:rPr>
          <w:rFonts w:ascii="宋体" w:hAnsi="宋体" w:cs="宋体" w:eastAsia="宋体" w:hint="default"/>
        </w:rPr>
        <w:t>14,541,936.01</w:t>
      </w:r>
      <w:r>
        <w:rPr>
          <w:rFonts w:ascii="宋体" w:hAnsi="宋体" w:cs="宋体" w:eastAsia="宋体" w:hint="default"/>
          <w:spacing w:val="-46"/>
        </w:rPr>
        <w:t> </w:t>
      </w:r>
      <w:r>
        <w:rPr/>
        <w:t>元。 调整期初未分配利润明细：</w:t>
      </w:r>
    </w:p>
    <w:p>
      <w:pPr>
        <w:pStyle w:val="BodyText"/>
        <w:spacing w:line="240" w:lineRule="auto" w:before="43"/>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4"/>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1,271,305,049.38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721,503,248.42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1,090,891,974.49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620,840,162.01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23,328,506.17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20,192,600.04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21,359,745.85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15,390,779.57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1,294,633,555.55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741,695,848.46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1,112,251,720.34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636,230,941.58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5,544,455.89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4,759,468.64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2,371,641.01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2,039,277.42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1,526,221.25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2,187,888.61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477,679.62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45,475.26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545,321.94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438,448.75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1,590,705.02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1,359,515.97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11,680,417.19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11,307,754.27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29,386,857.06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24,924,922.04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18,054,595.75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14,545,816.79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8,488,617.95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6,061,012.66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9,303,958.64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9,927,310.05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9,973,968.67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6,053,803.42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2,744,959.31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2,832,153.68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1,700,123.11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2,796,279.25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835,132.80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165,267.19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5,889,383.22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7,277,404.63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86,377,596.51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74,583,969.71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70,085,994.18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53,128,301.82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25,872,683.62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24,556,571.62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25,216,704.11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16,708,083.17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9,312,659.22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6,540,710.40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3,249,452.76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4,085,416.99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647,001.42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671,519.97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10,585,553.85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10,786,607.76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144,970,049.16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7" w:right="0"/>
              <w:jc w:val="left"/>
              <w:rPr>
                <w:rFonts w:ascii="Times New Roman" w:hAnsi="Times New Roman" w:cs="Times New Roman" w:eastAsia="Times New Roman" w:hint="default"/>
                <w:sz w:val="18"/>
                <w:szCs w:val="18"/>
              </w:rPr>
            </w:pPr>
            <w:r>
              <w:rPr>
                <w:rFonts w:ascii="Times New Roman"/>
                <w:sz w:val="18"/>
              </w:rPr>
              <w:t>116,477,211.73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75,724,175.39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69,148,777.63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13,654,500.78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12,580,121.04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7,152,891.68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2,969,295.25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5,832,647.26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5,832,455.82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1,291,100.79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3,028,059.71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4,352,932.00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106,214,943.06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96,174,682.53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24,016,378.44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15,743,930.26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-2,171,568.06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-4,765,801.80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8,465,176.17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4,473,741.72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福费廷融资费用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4,541,288.89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4,149,096.66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763,546.02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39,000,372.10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16,215,416.20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40,854,331.15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32,785,608.85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2,378,823.76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31,498,520.20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40,919,336.46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66,662,952.81</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14,904,674.74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19,342,394.78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25,592,687.77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31,487,432.56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294,693.30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40,792,055.81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50,829,827.34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-2,173,297.05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5,061,676.02</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1,425,883.86</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8,301,882.37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555,107.31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1,480,155.63</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-1,618,189.74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16,269,597.88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-8,301,882.37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-8,301,882.37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285,194.95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285,194.95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687,348.81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2,721,948.82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687,348.81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73,776.03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501,733.58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73,776.03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761,124.84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3,223,682.40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761,124.84</w:t>
            </w:r>
          </w:p>
        </w:tc>
      </w:tr>
    </w:tbl>
    <w:p>
      <w:pPr>
        <w:pStyle w:val="BodyText"/>
        <w:spacing w:line="240" w:lineRule="auto" w:before="49"/>
        <w:ind w:right="1133"/>
        <w:jc w:val="left"/>
      </w:pPr>
      <w:r>
        <w:rPr/>
        <w:t>计入当期损益的政府补助：</w:t>
      </w:r>
    </w:p>
    <w:p>
      <w:pPr>
        <w:pStyle w:val="BodyText"/>
        <w:spacing w:line="240" w:lineRule="auto" w:before="117"/>
        <w:ind w:left="0" w:right="1222"/>
        <w:jc w:val="right"/>
      </w:pPr>
      <w:r>
        <w:rPr/>
        <w:pict>
          <v:group style="position:absolute;margin-left:56.400002pt;margin-top:22.721731pt;width:479.05pt;height:514.2pt;mso-position-horizontal-relative:page;mso-position-vertical-relative:paragraph;z-index:-1079536" coordorigin="1128,454" coordsize="9581,10284">
            <v:group style="position:absolute;left:1140;top:471;width:1055;height:157" coordorigin="1140,471" coordsize="1055,157">
              <v:shape style="position:absolute;left:1140;top:471;width:1055;height:157" coordorigin="1140,471" coordsize="1055,157" path="m1140,628l2194,628,2194,471,1140,471,1140,628xe" filled="true" fillcolor="#d2d2d2" stroked="false">
                <v:path arrowok="t"/>
                <v:fill type="solid"/>
              </v:shape>
            </v:group>
            <v:group style="position:absolute;left:1151;top:628;width:2;height:392" coordorigin="1151,628" coordsize="2,392">
              <v:shape style="position:absolute;left:1151;top:628;width:2;height:392" coordorigin="1151,628" coordsize="0,392" path="m1151,628l1151,1019e" filled="false" stroked="true" strokeweight="1.08pt" strokecolor="#d2d2d2">
                <v:path arrowok="t"/>
              </v:shape>
            </v:group>
            <v:group style="position:absolute;left:2183;top:628;width:2;height:392" coordorigin="2183,628" coordsize="2,392">
              <v:shape style="position:absolute;left:2183;top:628;width:2;height:392" coordorigin="2183,628" coordsize="0,392" path="m2183,628l2183,1019e" filled="false" stroked="true" strokeweight="1.08pt" strokecolor="#d2d2d2">
                <v:path arrowok="t"/>
              </v:shape>
            </v:group>
            <v:group style="position:absolute;left:1140;top:1019;width:1055;height:156" coordorigin="1140,1019" coordsize="1055,156">
              <v:shape style="position:absolute;left:1140;top:1019;width:1055;height:156" coordorigin="1140,1019" coordsize="1055,156" path="m1140,1175l2194,1175,2194,1019,1140,1019,1140,1175xe" filled="true" fillcolor="#d2d2d2" stroked="false">
                <v:path arrowok="t"/>
                <v:fill type="solid"/>
              </v:shape>
            </v:group>
            <v:group style="position:absolute;left:1162;top:628;width:1011;height:392" coordorigin="1162,628" coordsize="1011,392">
              <v:shape style="position:absolute;left:1162;top:628;width:1011;height:392" coordorigin="1162,628" coordsize="1011,392" path="m1162,1019l2172,1019,2172,628,1162,628,1162,1019xe" filled="true" fillcolor="#d2d2d2" stroked="false">
                <v:path arrowok="t"/>
                <v:fill type="solid"/>
              </v:shape>
            </v:group>
            <v:group style="position:absolute;left:2204;top:471;width:1054;height:157" coordorigin="2204,471" coordsize="1054,157">
              <v:shape style="position:absolute;left:2204;top:471;width:1054;height:157" coordorigin="2204,471" coordsize="1054,157" path="m2204,628l3257,628,3257,471,2204,471,2204,628xe" filled="true" fillcolor="#d2d2d2" stroked="false">
                <v:path arrowok="t"/>
                <v:fill type="solid"/>
              </v:shape>
            </v:group>
            <v:group style="position:absolute;left:2216;top:628;width:2;height:392" coordorigin="2216,628" coordsize="2,392">
              <v:shape style="position:absolute;left:2216;top:628;width:2;height:392" coordorigin="2216,628" coordsize="0,392" path="m2216,628l2216,1019e" filled="false" stroked="true" strokeweight="1.2pt" strokecolor="#d2d2d2">
                <v:path arrowok="t"/>
              </v:shape>
            </v:group>
            <v:group style="position:absolute;left:3245;top:628;width:2;height:392" coordorigin="3245,628" coordsize="2,392">
              <v:shape style="position:absolute;left:3245;top:628;width:2;height:392" coordorigin="3245,628" coordsize="0,392" path="m3245,628l3245,1019e" filled="false" stroked="true" strokeweight="1.2pt" strokecolor="#d2d2d2">
                <v:path arrowok="t"/>
              </v:shape>
            </v:group>
            <v:group style="position:absolute;left:2204;top:1019;width:1054;height:156" coordorigin="2204,1019" coordsize="1054,156">
              <v:shape style="position:absolute;left:2204;top:1019;width:1054;height:156" coordorigin="2204,1019" coordsize="1054,156" path="m2204,1175l3257,1175,3257,1019,2204,1019,2204,1175xe" filled="true" fillcolor="#d2d2d2" stroked="false">
                <v:path arrowok="t"/>
                <v:fill type="solid"/>
              </v:shape>
            </v:group>
            <v:group style="position:absolute;left:2228;top:628;width:1006;height:392" coordorigin="2228,628" coordsize="1006,392">
              <v:shape style="position:absolute;left:2228;top:628;width:1006;height:392" coordorigin="2228,628" coordsize="1006,392" path="m2228,1019l3233,1019,3233,628,2228,628,2228,1019xe" filled="true" fillcolor="#d2d2d2" stroked="false">
                <v:path arrowok="t"/>
                <v:fill type="solid"/>
              </v:shape>
            </v:group>
            <v:group style="position:absolute;left:3267;top:471;width:1055;height:157" coordorigin="3267,471" coordsize="1055,157">
              <v:shape style="position:absolute;left:3267;top:471;width:1055;height:157" coordorigin="3267,471" coordsize="1055,157" path="m3267,628l4321,628,4321,471,3267,471,3267,628xe" filled="true" fillcolor="#d2d2d2" stroked="false">
                <v:path arrowok="t"/>
                <v:fill type="solid"/>
              </v:shape>
            </v:group>
            <v:group style="position:absolute;left:3279;top:628;width:2;height:392" coordorigin="3279,628" coordsize="2,392">
              <v:shape style="position:absolute;left:3279;top:628;width:2;height:392" coordorigin="3279,628" coordsize="0,392" path="m3279,628l3279,1019e" filled="false" stroked="true" strokeweight="1.2pt" strokecolor="#d2d2d2">
                <v:path arrowok="t"/>
              </v:shape>
            </v:group>
            <v:group style="position:absolute;left:4309;top:628;width:2;height:392" coordorigin="4309,628" coordsize="2,392">
              <v:shape style="position:absolute;left:4309;top:628;width:2;height:392" coordorigin="4309,628" coordsize="0,392" path="m4309,628l4309,1019e" filled="false" stroked="true" strokeweight="1.2pt" strokecolor="#d2d2d2">
                <v:path arrowok="t"/>
              </v:shape>
            </v:group>
            <v:group style="position:absolute;left:3267;top:1019;width:1055;height:156" coordorigin="3267,1019" coordsize="1055,156">
              <v:shape style="position:absolute;left:3267;top:1019;width:1055;height:156" coordorigin="3267,1019" coordsize="1055,156" path="m3267,1175l4321,1175,4321,1019,3267,1019,3267,1175xe" filled="true" fillcolor="#d2d2d2" stroked="false">
                <v:path arrowok="t"/>
                <v:fill type="solid"/>
              </v:shape>
            </v:group>
            <v:group style="position:absolute;left:3291;top:628;width:1007;height:392" coordorigin="3291,628" coordsize="1007,392">
              <v:shape style="position:absolute;left:3291;top:628;width:1007;height:392" coordorigin="3291,628" coordsize="1007,392" path="m3291,1019l4297,1019,4297,628,3291,628,3291,1019xe" filled="true" fillcolor="#d2d2d2" stroked="false">
                <v:path arrowok="t"/>
                <v:fill type="solid"/>
              </v:shape>
            </v:group>
            <v:group style="position:absolute;left:4331;top:471;width:1054;height:157" coordorigin="4331,471" coordsize="1054,157">
              <v:shape style="position:absolute;left:4331;top:471;width:1054;height:157" coordorigin="4331,471" coordsize="1054,157" path="m4331,628l5384,628,5384,471,4331,471,4331,628xe" filled="true" fillcolor="#d2d2d2" stroked="false">
                <v:path arrowok="t"/>
                <v:fill type="solid"/>
              </v:shape>
            </v:group>
            <v:group style="position:absolute;left:4343;top:628;width:2;height:392" coordorigin="4343,628" coordsize="2,392">
              <v:shape style="position:absolute;left:4343;top:628;width:2;height:392" coordorigin="4343,628" coordsize="0,392" path="m4343,628l4343,1019e" filled="false" stroked="true" strokeweight="1.2pt" strokecolor="#d2d2d2">
                <v:path arrowok="t"/>
              </v:shape>
            </v:group>
            <v:group style="position:absolute;left:5372;top:628;width:2;height:392" coordorigin="5372,628" coordsize="2,392">
              <v:shape style="position:absolute;left:5372;top:628;width:2;height:392" coordorigin="5372,628" coordsize="0,392" path="m5372,628l5372,1019e" filled="false" stroked="true" strokeweight="1.2pt" strokecolor="#d2d2d2">
                <v:path arrowok="t"/>
              </v:shape>
            </v:group>
            <v:group style="position:absolute;left:4331;top:1019;width:1054;height:156" coordorigin="4331,1019" coordsize="1054,156">
              <v:shape style="position:absolute;left:4331;top:1019;width:1054;height:156" coordorigin="4331,1019" coordsize="1054,156" path="m4331,1175l5384,1175,5384,1019,4331,1019,4331,1175xe" filled="true" fillcolor="#d2d2d2" stroked="false">
                <v:path arrowok="t"/>
                <v:fill type="solid"/>
              </v:shape>
            </v:group>
            <v:group style="position:absolute;left:4355;top:628;width:1006;height:392" coordorigin="4355,628" coordsize="1006,392">
              <v:shape style="position:absolute;left:4355;top:628;width:1006;height:392" coordorigin="4355,628" coordsize="1006,392" path="m4355,1019l5360,1019,5360,628,4355,628,4355,1019xe" filled="true" fillcolor="#d2d2d2" stroked="false">
                <v:path arrowok="t"/>
                <v:fill type="solid"/>
              </v:shape>
            </v:group>
            <v:group style="position:absolute;left:5406;top:471;width:2;height:704" coordorigin="5406,471" coordsize="2,704">
              <v:shape style="position:absolute;left:5406;top:471;width:2;height:704" coordorigin="5406,471" coordsize="0,704" path="m5406,471l5406,1175e" filled="false" stroked="true" strokeweight="1.2pt" strokecolor="#d2d2d2">
                <v:path arrowok="t"/>
              </v:shape>
            </v:group>
            <v:group style="position:absolute;left:6436;top:471;width:2;height:704" coordorigin="6436,471" coordsize="2,704">
              <v:shape style="position:absolute;left:6436;top:471;width:2;height:704" coordorigin="6436,471" coordsize="0,704" path="m6436,471l6436,1175e" filled="false" stroked="true" strokeweight="1.2pt" strokecolor="#d2d2d2">
                <v:path arrowok="t"/>
              </v:shape>
            </v:group>
            <v:group style="position:absolute;left:5418;top:471;width:1007;height:351" coordorigin="5418,471" coordsize="1007,351">
              <v:shape style="position:absolute;left:5418;top:471;width:1007;height:351" coordorigin="5418,471" coordsize="1007,351" path="m5418,822l6424,822,6424,471,5418,471,5418,822xe" filled="true" fillcolor="#d2d2d2" stroked="false">
                <v:path arrowok="t"/>
                <v:fill type="solid"/>
              </v:shape>
            </v:group>
            <v:group style="position:absolute;left:5418;top:822;width:1007;height:353" coordorigin="5418,822" coordsize="1007,353">
              <v:shape style="position:absolute;left:5418;top:822;width:1007;height:353" coordorigin="5418,822" coordsize="1007,353" path="m5418,1175l6424,1175,6424,822,5418,822,5418,1175xe" filled="true" fillcolor="#d2d2d2" stroked="false">
                <v:path arrowok="t"/>
                <v:fill type="solid"/>
              </v:shape>
            </v:group>
            <v:group style="position:absolute;left:6469;top:471;width:2;height:704" coordorigin="6469,471" coordsize="2,704">
              <v:shape style="position:absolute;left:6469;top:471;width:2;height:704" coordorigin="6469,471" coordsize="0,704" path="m6469,471l6469,1175e" filled="false" stroked="true" strokeweight="1.2pt" strokecolor="#d2d2d2">
                <v:path arrowok="t"/>
              </v:shape>
            </v:group>
            <v:group style="position:absolute;left:7499;top:471;width:2;height:704" coordorigin="7499,471" coordsize="2,704">
              <v:shape style="position:absolute;left:7499;top:471;width:2;height:704" coordorigin="7499,471" coordsize="0,704" path="m7499,471l7499,1175e" filled="false" stroked="true" strokeweight="1.2pt" strokecolor="#d2d2d2">
                <v:path arrowok="t"/>
              </v:shape>
            </v:group>
            <v:group style="position:absolute;left:6481;top:471;width:1006;height:351" coordorigin="6481,471" coordsize="1006,351">
              <v:shape style="position:absolute;left:6481;top:471;width:1006;height:351" coordorigin="6481,471" coordsize="1006,351" path="m6481,822l7487,822,7487,471,6481,471,6481,822xe" filled="true" fillcolor="#d2d2d2" stroked="false">
                <v:path arrowok="t"/>
                <v:fill type="solid"/>
              </v:shape>
            </v:group>
            <v:group style="position:absolute;left:6481;top:822;width:1006;height:353" coordorigin="6481,822" coordsize="1006,353">
              <v:shape style="position:absolute;left:6481;top:822;width:1006;height:353" coordorigin="6481,822" coordsize="1006,353" path="m6481,1175l7487,1175,7487,822,6481,822,6481,1175xe" filled="true" fillcolor="#d2d2d2" stroked="false">
                <v:path arrowok="t"/>
                <v:fill type="solid"/>
              </v:shape>
            </v:group>
            <v:group style="position:absolute;left:7531;top:471;width:2;height:704" coordorigin="7531,471" coordsize="2,704">
              <v:shape style="position:absolute;left:7531;top:471;width:2;height:704" coordorigin="7531,471" coordsize="0,704" path="m7531,471l7531,1175e" filled="false" stroked="true" strokeweight="1.08pt" strokecolor="#d2d2d2">
                <v:path arrowok="t"/>
              </v:shape>
            </v:group>
            <v:group style="position:absolute;left:8563;top:471;width:2;height:704" coordorigin="8563,471" coordsize="2,704">
              <v:shape style="position:absolute;left:8563;top:471;width:2;height:704" coordorigin="8563,471" coordsize="0,704" path="m8563,471l8563,1175e" filled="false" stroked="true" strokeweight="1.2pt" strokecolor="#d2d2d2">
                <v:path arrowok="t"/>
              </v:shape>
            </v:group>
            <v:group style="position:absolute;left:7542;top:471;width:1009;height:351" coordorigin="7542,471" coordsize="1009,351">
              <v:shape style="position:absolute;left:7542;top:471;width:1009;height:351" coordorigin="7542,471" coordsize="1009,351" path="m7542,822l8551,822,8551,471,7542,471,7542,822xe" filled="true" fillcolor="#d2d2d2" stroked="false">
                <v:path arrowok="t"/>
                <v:fill type="solid"/>
              </v:shape>
            </v:group>
            <v:group style="position:absolute;left:7542;top:822;width:1009;height:353" coordorigin="7542,822" coordsize="1009,353">
              <v:shape style="position:absolute;left:7542;top:822;width:1009;height:353" coordorigin="7542,822" coordsize="1009,353" path="m7542,1175l8551,1175,8551,822,7542,822,7542,1175xe" filled="true" fillcolor="#d2d2d2" stroked="false">
                <v:path arrowok="t"/>
                <v:fill type="solid"/>
              </v:shape>
            </v:group>
            <v:group style="position:absolute;left:8595;top:471;width:2;height:704" coordorigin="8595,471" coordsize="2,704">
              <v:shape style="position:absolute;left:8595;top:471;width:2;height:704" coordorigin="8595,471" coordsize="0,704" path="m8595,471l8595,1175e" filled="false" stroked="true" strokeweight="1.08pt" strokecolor="#d2d2d2">
                <v:path arrowok="t"/>
              </v:shape>
            </v:group>
            <v:group style="position:absolute;left:9626;top:471;width:2;height:704" coordorigin="9626,471" coordsize="2,704">
              <v:shape style="position:absolute;left:9626;top:471;width:2;height:704" coordorigin="9626,471" coordsize="0,704" path="m9626,471l9626,1175e" filled="false" stroked="true" strokeweight="1.2pt" strokecolor="#d2d2d2">
                <v:path arrowok="t"/>
              </v:shape>
            </v:group>
            <v:group style="position:absolute;left:8606;top:471;width:1008;height:351" coordorigin="8606,471" coordsize="1008,351">
              <v:shape style="position:absolute;left:8606;top:471;width:1008;height:351" coordorigin="8606,471" coordsize="1008,351" path="m8606,822l9614,822,9614,471,8606,471,8606,822xe" filled="true" fillcolor="#d2d2d2" stroked="false">
                <v:path arrowok="t"/>
                <v:fill type="solid"/>
              </v:shape>
            </v:group>
            <v:group style="position:absolute;left:8606;top:822;width:1008;height:353" coordorigin="8606,822" coordsize="1008,353">
              <v:shape style="position:absolute;left:8606;top:822;width:1008;height:353" coordorigin="8606,822" coordsize="1008,353" path="m8606,1175l9614,1175,9614,822,8606,822,8606,1175xe" filled="true" fillcolor="#d2d2d2" stroked="false">
                <v:path arrowok="t"/>
                <v:fill type="solid"/>
              </v:shape>
            </v:group>
            <v:group style="position:absolute;left:9658;top:471;width:2;height:704" coordorigin="9658,471" coordsize="2,704">
              <v:shape style="position:absolute;left:9658;top:471;width:2;height:704" coordorigin="9658,471" coordsize="0,704" path="m9658,471l9658,1175e" filled="false" stroked="true" strokeweight="1.08pt" strokecolor="#d2d2d2">
                <v:path arrowok="t"/>
              </v:shape>
            </v:group>
            <v:group style="position:absolute;left:10688;top:471;width:2;height:704" coordorigin="10688,471" coordsize="2,704">
              <v:shape style="position:absolute;left:10688;top:471;width:2;height:704" coordorigin="10688,471" coordsize="0,704" path="m10688,471l10688,1175e" filled="false" stroked="true" strokeweight="1.08pt" strokecolor="#d2d2d2">
                <v:path arrowok="t"/>
              </v:shape>
            </v:group>
            <v:group style="position:absolute;left:9669;top:471;width:1008;height:351" coordorigin="9669,471" coordsize="1008,351">
              <v:shape style="position:absolute;left:9669;top:471;width:1008;height:351" coordorigin="9669,471" coordsize="1008,351" path="m9669,822l10677,822,10677,471,9669,471,9669,822xe" filled="true" fillcolor="#d2d2d2" stroked="false">
                <v:path arrowok="t"/>
                <v:fill type="solid"/>
              </v:shape>
            </v:group>
            <v:group style="position:absolute;left:9669;top:822;width:1008;height:353" coordorigin="9669,822" coordsize="1008,353">
              <v:shape style="position:absolute;left:9669;top:822;width:1008;height:353" coordorigin="9669,822" coordsize="1008,353" path="m9669,1175l10677,1175,10677,822,9669,822,9669,1175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pt" strokecolor="#000000">
                <v:path arrowok="t"/>
              </v:shape>
            </v:group>
            <v:group style="position:absolute;left:6455;top:464;width:1054;height:2" coordorigin="6455,464" coordsize="1054,2">
              <v:shape style="position:absolute;left:6455;top:464;width:1054;height:2" coordorigin="6455,464" coordsize="1054,0" path="m6455,464l7509,464e" filled="false" stroked="true" strokeweight=".48pt" strokecolor="#000000">
                <v:path arrowok="t"/>
              </v:shape>
            </v:group>
            <v:group style="position:absolute;left:7518;top:464;width:1055;height:2" coordorigin="7518,464" coordsize="1055,2">
              <v:shape style="position:absolute;left:7518;top:464;width:1055;height:2" coordorigin="7518,464" coordsize="1055,0" path="m7518,464l8572,464e" filled="false" stroked="true" strokeweight=".48pt" strokecolor="#000000">
                <v:path arrowok="t"/>
              </v:shape>
            </v:group>
            <v:group style="position:absolute;left:8582;top:464;width:1054;height:2" coordorigin="8582,464" coordsize="1054,2">
              <v:shape style="position:absolute;left:8582;top:464;width:1054;height:2" coordorigin="8582,464" coordsize="1054,0" path="m8582,464l9636,464e" filled="false" stroked="true" strokeweight=".48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pt" strokecolor="#000000">
                <v:path arrowok="t"/>
              </v:shape>
            </v:group>
            <v:group style="position:absolute;left:5394;top:1185;width:1055;height:468" coordorigin="5394,1185" coordsize="1055,468">
              <v:shape style="position:absolute;left:5394;top:1185;width:1055;height:468" coordorigin="5394,1185" coordsize="1055,468" path="m5394,1653l6448,1653,6448,1185,5394,1185,5394,1653xe" filled="true" fillcolor="#ffffff" stroked="false">
                <v:path arrowok="t"/>
                <v:fill type="solid"/>
              </v:shape>
            </v:group>
            <v:group style="position:absolute;left:1138;top:1180;width:1057;height:2" coordorigin="1138,1180" coordsize="1057,2">
              <v:shape style="position:absolute;left:1138;top:1180;width:1057;height:2" coordorigin="1138,1180" coordsize="1057,0" path="m1138,1180l2194,1180e" filled="false" stroked="true" strokeweight=".48001pt" strokecolor="#000000">
                <v:path arrowok="t"/>
              </v:shape>
            </v:group>
            <v:group style="position:absolute;left:2204;top:1180;width:1054;height:2" coordorigin="2204,1180" coordsize="1054,2">
              <v:shape style="position:absolute;left:2204;top:1180;width:1054;height:2" coordorigin="2204,1180" coordsize="1054,0" path="m2204,1180l3257,1180e" filled="false" stroked="true" strokeweight=".48001pt" strokecolor="#000000">
                <v:path arrowok="t"/>
              </v:shape>
            </v:group>
            <v:group style="position:absolute;left:3267;top:1180;width:1055;height:2" coordorigin="3267,1180" coordsize="1055,2">
              <v:shape style="position:absolute;left:3267;top:1180;width:1055;height:2" coordorigin="3267,1180" coordsize="1055,0" path="m3267,1180l4321,1180e" filled="false" stroked="true" strokeweight=".48001pt" strokecolor="#000000">
                <v:path arrowok="t"/>
              </v:shape>
            </v:group>
            <v:group style="position:absolute;left:4331;top:1180;width:1054;height:2" coordorigin="4331,1180" coordsize="1054,2">
              <v:shape style="position:absolute;left:4331;top:1180;width:1054;height:2" coordorigin="4331,1180" coordsize="1054,0" path="m4331,1180l5384,1180e" filled="false" stroked="true" strokeweight=".48001pt" strokecolor="#000000">
                <v:path arrowok="t"/>
              </v:shape>
            </v:group>
            <v:group style="position:absolute;left:5394;top:1180;width:1052;height:2" coordorigin="5394,1180" coordsize="1052,2">
              <v:shape style="position:absolute;left:5394;top:1180;width:1052;height:2" coordorigin="5394,1180" coordsize="1052,0" path="m5394,1180l6445,1180e" filled="false" stroked="true" strokeweight=".48001pt" strokecolor="#000000">
                <v:path arrowok="t"/>
              </v:shape>
            </v:group>
            <v:group style="position:absolute;left:6455;top:1180;width:1054;height:2" coordorigin="6455,1180" coordsize="1054,2">
              <v:shape style="position:absolute;left:6455;top:1180;width:1054;height:2" coordorigin="6455,1180" coordsize="1054,0" path="m6455,1180l7509,1180e" filled="false" stroked="true" strokeweight=".48001pt" strokecolor="#000000">
                <v:path arrowok="t"/>
              </v:shape>
            </v:group>
            <v:group style="position:absolute;left:7518;top:1180;width:1055;height:2" coordorigin="7518,1180" coordsize="1055,2">
              <v:shape style="position:absolute;left:7518;top:1180;width:1055;height:2" coordorigin="7518,1180" coordsize="1055,0" path="m7518,1180l8572,1180e" filled="false" stroked="true" strokeweight=".48001pt" strokecolor="#000000">
                <v:path arrowok="t"/>
              </v:shape>
            </v:group>
            <v:group style="position:absolute;left:8582;top:1180;width:1054;height:2" coordorigin="8582,1180" coordsize="1054,2">
              <v:shape style="position:absolute;left:8582;top:1180;width:1054;height:2" coordorigin="8582,1180" coordsize="1054,0" path="m8582,1180l9636,1180e" filled="false" stroked="true" strokeweight=".48001pt" strokecolor="#000000">
                <v:path arrowok="t"/>
              </v:shape>
            </v:group>
            <v:group style="position:absolute;left:9645;top:1180;width:1054;height:2" coordorigin="9645,1180" coordsize="1054,2">
              <v:shape style="position:absolute;left:9645;top:1180;width:1054;height:2" coordorigin="9645,1180" coordsize="1054,0" path="m9645,1180l10699,1180e" filled="false" stroked="true" strokeweight=".48001pt" strokecolor="#000000">
                <v:path arrowok="t"/>
              </v:shape>
            </v:group>
            <v:group style="position:absolute;left:5394;top:2524;width:1055;height:1248" coordorigin="5394,2524" coordsize="1055,1248">
              <v:shape style="position:absolute;left:5394;top:2524;width:1055;height:1248" coordorigin="5394,2524" coordsize="1055,1248" path="m5394,3772l6448,3772,6448,2524,5394,2524,5394,3772xe" filled="true" fillcolor="#ffffff" stroked="false">
                <v:path arrowok="t"/>
                <v:fill type="solid"/>
              </v:shape>
            </v:group>
            <v:group style="position:absolute;left:1138;top:2517;width:1057;height:2" coordorigin="1138,2517" coordsize="1057,2">
              <v:shape style="position:absolute;left:1138;top:2517;width:1057;height:2" coordorigin="1138,2517" coordsize="1057,0" path="m1138,2517l2194,2517e" filled="false" stroked="true" strokeweight=".48001pt" strokecolor="#000000">
                <v:path arrowok="t"/>
              </v:shape>
            </v:group>
            <v:group style="position:absolute;left:2204;top:2517;width:1054;height:2" coordorigin="2204,2517" coordsize="1054,2">
              <v:shape style="position:absolute;left:2204;top:2517;width:1054;height:2" coordorigin="2204,2517" coordsize="1054,0" path="m2204,2517l3257,2517e" filled="false" stroked="true" strokeweight=".48001pt" strokecolor="#000000">
                <v:path arrowok="t"/>
              </v:shape>
            </v:group>
            <v:group style="position:absolute;left:3267;top:2517;width:1055;height:2" coordorigin="3267,2517" coordsize="1055,2">
              <v:shape style="position:absolute;left:3267;top:2517;width:1055;height:2" coordorigin="3267,2517" coordsize="1055,0" path="m3267,2517l4321,2517e" filled="false" stroked="true" strokeweight=".48001pt" strokecolor="#000000">
                <v:path arrowok="t"/>
              </v:shape>
            </v:group>
            <v:group style="position:absolute;left:4331;top:2517;width:1054;height:2" coordorigin="4331,2517" coordsize="1054,2">
              <v:shape style="position:absolute;left:4331;top:2517;width:1054;height:2" coordorigin="4331,2517" coordsize="1054,0" path="m4331,2517l5384,2517e" filled="false" stroked="true" strokeweight=".48001pt" strokecolor="#000000">
                <v:path arrowok="t"/>
              </v:shape>
            </v:group>
            <v:group style="position:absolute;left:5394;top:2517;width:1052;height:2" coordorigin="5394,2517" coordsize="1052,2">
              <v:shape style="position:absolute;left:5394;top:2517;width:1052;height:2" coordorigin="5394,2517" coordsize="1052,0" path="m5394,2517l6445,2517e" filled="false" stroked="true" strokeweight=".48001pt" strokecolor="#000000">
                <v:path arrowok="t"/>
              </v:shape>
            </v:group>
            <v:group style="position:absolute;left:6455;top:2517;width:1054;height:2" coordorigin="6455,2517" coordsize="1054,2">
              <v:shape style="position:absolute;left:6455;top:2517;width:1054;height:2" coordorigin="6455,2517" coordsize="1054,0" path="m6455,2517l7509,2517e" filled="false" stroked="true" strokeweight=".48001pt" strokecolor="#000000">
                <v:path arrowok="t"/>
              </v:shape>
            </v:group>
            <v:group style="position:absolute;left:7518;top:2517;width:1055;height:2" coordorigin="7518,2517" coordsize="1055,2">
              <v:shape style="position:absolute;left:7518;top:2517;width:1055;height:2" coordorigin="7518,2517" coordsize="1055,0" path="m7518,2517l8572,2517e" filled="false" stroked="true" strokeweight=".48001pt" strokecolor="#000000">
                <v:path arrowok="t"/>
              </v:shape>
            </v:group>
            <v:group style="position:absolute;left:8582;top:2517;width:1054;height:2" coordorigin="8582,2517" coordsize="1054,2">
              <v:shape style="position:absolute;left:8582;top:2517;width:1054;height:2" coordorigin="8582,2517" coordsize="1054,0" path="m8582,2517l9636,2517e" filled="false" stroked="true" strokeweight=".48001pt" strokecolor="#000000">
                <v:path arrowok="t"/>
              </v:shape>
            </v:group>
            <v:group style="position:absolute;left:9645;top:2517;width:1054;height:2" coordorigin="9645,2517" coordsize="1054,2">
              <v:shape style="position:absolute;left:9645;top:2517;width:1054;height:2" coordorigin="9645,2517" coordsize="1054,0" path="m9645,2517l10699,2517e" filled="false" stroked="true" strokeweight=".48001pt" strokecolor="#000000">
                <v:path arrowok="t"/>
              </v:shape>
            </v:group>
            <v:group style="position:absolute;left:5394;top:5421;width:1055;height:468" coordorigin="5394,5421" coordsize="1055,468">
              <v:shape style="position:absolute;left:5394;top:5421;width:1055;height:468" coordorigin="5394,5421" coordsize="1055,468" path="m5394,5889l6448,5889,6448,5421,5394,5421,5394,5889xe" filled="true" fillcolor="#ffffff" stroked="false">
                <v:path arrowok="t"/>
                <v:fill type="solid"/>
              </v:shape>
            </v:group>
            <v:group style="position:absolute;left:1138;top:5416;width:1057;height:2" coordorigin="1138,5416" coordsize="1057,2">
              <v:shape style="position:absolute;left:1138;top:5416;width:1057;height:2" coordorigin="1138,5416" coordsize="1057,0" path="m1138,5416l2194,5416e" filled="false" stroked="true" strokeweight=".48001pt" strokecolor="#000000">
                <v:path arrowok="t"/>
              </v:shape>
            </v:group>
            <v:group style="position:absolute;left:2204;top:5416;width:1054;height:2" coordorigin="2204,5416" coordsize="1054,2">
              <v:shape style="position:absolute;left:2204;top:5416;width:1054;height:2" coordorigin="2204,5416" coordsize="1054,0" path="m2204,5416l3257,5416e" filled="false" stroked="true" strokeweight=".48001pt" strokecolor="#000000">
                <v:path arrowok="t"/>
              </v:shape>
            </v:group>
            <v:group style="position:absolute;left:3267;top:5416;width:1055;height:2" coordorigin="3267,5416" coordsize="1055,2">
              <v:shape style="position:absolute;left:3267;top:5416;width:1055;height:2" coordorigin="3267,5416" coordsize="1055,0" path="m3267,5416l4321,5416e" filled="false" stroked="true" strokeweight=".48001pt" strokecolor="#000000">
                <v:path arrowok="t"/>
              </v:shape>
            </v:group>
            <v:group style="position:absolute;left:4331;top:5416;width:1054;height:2" coordorigin="4331,5416" coordsize="1054,2">
              <v:shape style="position:absolute;left:4331;top:5416;width:1054;height:2" coordorigin="4331,5416" coordsize="1054,0" path="m4331,5416l5384,5416e" filled="false" stroked="true" strokeweight=".48001pt" strokecolor="#000000">
                <v:path arrowok="t"/>
              </v:shape>
            </v:group>
            <v:group style="position:absolute;left:5394;top:5416;width:1052;height:2" coordorigin="5394,5416" coordsize="1052,2">
              <v:shape style="position:absolute;left:5394;top:5416;width:1052;height:2" coordorigin="5394,5416" coordsize="1052,0" path="m5394,5416l6445,5416e" filled="false" stroked="true" strokeweight=".48001pt" strokecolor="#000000">
                <v:path arrowok="t"/>
              </v:shape>
            </v:group>
            <v:group style="position:absolute;left:6455;top:5416;width:1054;height:2" coordorigin="6455,5416" coordsize="1054,2">
              <v:shape style="position:absolute;left:6455;top:5416;width:1054;height:2" coordorigin="6455,5416" coordsize="1054,0" path="m6455,5416l7509,5416e" filled="false" stroked="true" strokeweight=".48001pt" strokecolor="#000000">
                <v:path arrowok="t"/>
              </v:shape>
            </v:group>
            <v:group style="position:absolute;left:7518;top:5416;width:1055;height:2" coordorigin="7518,5416" coordsize="1055,2">
              <v:shape style="position:absolute;left:7518;top:5416;width:1055;height:2" coordorigin="7518,5416" coordsize="1055,0" path="m7518,5416l8572,5416e" filled="false" stroked="true" strokeweight=".48001pt" strokecolor="#000000">
                <v:path arrowok="t"/>
              </v:shape>
            </v:group>
            <v:group style="position:absolute;left:8582;top:5416;width:1054;height:2" coordorigin="8582,5416" coordsize="1054,2">
              <v:shape style="position:absolute;left:8582;top:5416;width:1054;height:2" coordorigin="8582,5416" coordsize="1054,0" path="m8582,5416l9636,5416e" filled="false" stroked="true" strokeweight=".48001pt" strokecolor="#000000">
                <v:path arrowok="t"/>
              </v:shape>
            </v:group>
            <v:group style="position:absolute;left:9645;top:5416;width:1054;height:2" coordorigin="9645,5416" coordsize="1054,2">
              <v:shape style="position:absolute;left:9645;top:5416;width:1054;height:2" coordorigin="9645,5416" coordsize="1054,0" path="m9645,5416l10699,5416e" filled="false" stroked="true" strokeweight=".48001pt" strokecolor="#000000">
                <v:path arrowok="t"/>
              </v:shape>
            </v:group>
            <v:group style="position:absolute;left:5394;top:6760;width:1055;height:468" coordorigin="5394,6760" coordsize="1055,468">
              <v:shape style="position:absolute;left:5394;top:6760;width:1055;height:468" coordorigin="5394,6760" coordsize="1055,468" path="m5394,7228l6448,7228,6448,6760,5394,6760,5394,7228xe" filled="true" fillcolor="#ffffff" stroked="false">
                <v:path arrowok="t"/>
                <v:fill type="solid"/>
              </v:shape>
            </v:group>
            <v:group style="position:absolute;left:1138;top:6753;width:1057;height:2" coordorigin="1138,6753" coordsize="1057,2">
              <v:shape style="position:absolute;left:1138;top:6753;width:1057;height:2" coordorigin="1138,6753" coordsize="1057,0" path="m1138,6753l2194,6753e" filled="false" stroked="true" strokeweight=".47998pt" strokecolor="#000000">
                <v:path arrowok="t"/>
              </v:shape>
            </v:group>
            <v:group style="position:absolute;left:2204;top:6753;width:1054;height:2" coordorigin="2204,6753" coordsize="1054,2">
              <v:shape style="position:absolute;left:2204;top:6753;width:1054;height:2" coordorigin="2204,6753" coordsize="1054,0" path="m2204,6753l3257,6753e" filled="false" stroked="true" strokeweight=".47998pt" strokecolor="#000000">
                <v:path arrowok="t"/>
              </v:shape>
            </v:group>
            <v:group style="position:absolute;left:3267;top:6753;width:1055;height:2" coordorigin="3267,6753" coordsize="1055,2">
              <v:shape style="position:absolute;left:3267;top:6753;width:1055;height:2" coordorigin="3267,6753" coordsize="1055,0" path="m3267,6753l4321,6753e" filled="false" stroked="true" strokeweight=".47998pt" strokecolor="#000000">
                <v:path arrowok="t"/>
              </v:shape>
            </v:group>
            <v:group style="position:absolute;left:4331;top:6753;width:1054;height:2" coordorigin="4331,6753" coordsize="1054,2">
              <v:shape style="position:absolute;left:4331;top:6753;width:1054;height:2" coordorigin="4331,6753" coordsize="1054,0" path="m4331,6753l5384,6753e" filled="false" stroked="true" strokeweight=".47998pt" strokecolor="#000000">
                <v:path arrowok="t"/>
              </v:shape>
            </v:group>
            <v:group style="position:absolute;left:5394;top:6753;width:1052;height:2" coordorigin="5394,6753" coordsize="1052,2">
              <v:shape style="position:absolute;left:5394;top:6753;width:1052;height:2" coordorigin="5394,6753" coordsize="1052,0" path="m5394,6753l6445,6753e" filled="false" stroked="true" strokeweight=".47998pt" strokecolor="#000000">
                <v:path arrowok="t"/>
              </v:shape>
            </v:group>
            <v:group style="position:absolute;left:6455;top:6753;width:1054;height:2" coordorigin="6455,6753" coordsize="1054,2">
              <v:shape style="position:absolute;left:6455;top:6753;width:1054;height:2" coordorigin="6455,6753" coordsize="1054,0" path="m6455,6753l7509,6753e" filled="false" stroked="true" strokeweight=".47998pt" strokecolor="#000000">
                <v:path arrowok="t"/>
              </v:shape>
            </v:group>
            <v:group style="position:absolute;left:7518;top:6753;width:1055;height:2" coordorigin="7518,6753" coordsize="1055,2">
              <v:shape style="position:absolute;left:7518;top:6753;width:1055;height:2" coordorigin="7518,6753" coordsize="1055,0" path="m7518,6753l8572,6753e" filled="false" stroked="true" strokeweight=".47998pt" strokecolor="#000000">
                <v:path arrowok="t"/>
              </v:shape>
            </v:group>
            <v:group style="position:absolute;left:8582;top:6753;width:1054;height:2" coordorigin="8582,6753" coordsize="1054,2">
              <v:shape style="position:absolute;left:8582;top:6753;width:1054;height:2" coordorigin="8582,6753" coordsize="1054,0" path="m8582,6753l9636,6753e" filled="false" stroked="true" strokeweight=".47998pt" strokecolor="#000000">
                <v:path arrowok="t"/>
              </v:shape>
            </v:group>
            <v:group style="position:absolute;left:9645;top:6753;width:1054;height:2" coordorigin="9645,6753" coordsize="1054,2">
              <v:shape style="position:absolute;left:9645;top:6753;width:1054;height:2" coordorigin="9645,6753" coordsize="1054,0" path="m9645,6753l10699,6753e" filled="false" stroked="true" strokeweight=".47998pt" strokecolor="#000000">
                <v:path arrowok="t"/>
              </v:shape>
            </v:group>
            <v:group style="position:absolute;left:5394;top:8098;width:1055;height:468" coordorigin="5394,8098" coordsize="1055,468">
              <v:shape style="position:absolute;left:5394;top:8098;width:1055;height:468" coordorigin="5394,8098" coordsize="1055,468" path="m5394,8566l6448,8566,6448,8098,5394,8098,5394,8566xe" filled="true" fillcolor="#ffffff" stroked="false">
                <v:path arrowok="t"/>
                <v:fill type="solid"/>
              </v:shape>
            </v:group>
            <v:group style="position:absolute;left:1138;top:8093;width:1057;height:2" coordorigin="1138,8093" coordsize="1057,2">
              <v:shape style="position:absolute;left:1138;top:8093;width:1057;height:2" coordorigin="1138,8093" coordsize="1057,0" path="m1138,8093l2194,8093e" filled="false" stroked="true" strokeweight=".48004pt" strokecolor="#000000">
                <v:path arrowok="t"/>
              </v:shape>
            </v:group>
            <v:group style="position:absolute;left:2204;top:8093;width:1054;height:2" coordorigin="2204,8093" coordsize="1054,2">
              <v:shape style="position:absolute;left:2204;top:8093;width:1054;height:2" coordorigin="2204,8093" coordsize="1054,0" path="m2204,8093l3257,8093e" filled="false" stroked="true" strokeweight=".48004pt" strokecolor="#000000">
                <v:path arrowok="t"/>
              </v:shape>
            </v:group>
            <v:group style="position:absolute;left:3267;top:8093;width:1055;height:2" coordorigin="3267,8093" coordsize="1055,2">
              <v:shape style="position:absolute;left:3267;top:8093;width:1055;height:2" coordorigin="3267,8093" coordsize="1055,0" path="m3267,8093l4321,8093e" filled="false" stroked="true" strokeweight=".48004pt" strokecolor="#000000">
                <v:path arrowok="t"/>
              </v:shape>
            </v:group>
            <v:group style="position:absolute;left:4331;top:8093;width:1054;height:2" coordorigin="4331,8093" coordsize="1054,2">
              <v:shape style="position:absolute;left:4331;top:8093;width:1054;height:2" coordorigin="4331,8093" coordsize="1054,0" path="m4331,8093l5384,8093e" filled="false" stroked="true" strokeweight=".48004pt" strokecolor="#000000">
                <v:path arrowok="t"/>
              </v:shape>
            </v:group>
            <v:group style="position:absolute;left:5394;top:8093;width:1052;height:2" coordorigin="5394,8093" coordsize="1052,2">
              <v:shape style="position:absolute;left:5394;top:8093;width:1052;height:2" coordorigin="5394,8093" coordsize="1052,0" path="m5394,8093l6445,8093e" filled="false" stroked="true" strokeweight=".48004pt" strokecolor="#000000">
                <v:path arrowok="t"/>
              </v:shape>
            </v:group>
            <v:group style="position:absolute;left:6455;top:8093;width:1054;height:2" coordorigin="6455,8093" coordsize="1054,2">
              <v:shape style="position:absolute;left:6455;top:8093;width:1054;height:2" coordorigin="6455,8093" coordsize="1054,0" path="m6455,8093l7509,8093e" filled="false" stroked="true" strokeweight=".48004pt" strokecolor="#000000">
                <v:path arrowok="t"/>
              </v:shape>
            </v:group>
            <v:group style="position:absolute;left:7518;top:8093;width:1055;height:2" coordorigin="7518,8093" coordsize="1055,2">
              <v:shape style="position:absolute;left:7518;top:8093;width:1055;height:2" coordorigin="7518,8093" coordsize="1055,0" path="m7518,8093l8572,8093e" filled="false" stroked="true" strokeweight=".48004pt" strokecolor="#000000">
                <v:path arrowok="t"/>
              </v:shape>
            </v:group>
            <v:group style="position:absolute;left:8582;top:8093;width:1054;height:2" coordorigin="8582,8093" coordsize="1054,2">
              <v:shape style="position:absolute;left:8582;top:8093;width:1054;height:2" coordorigin="8582,8093" coordsize="1054,0" path="m8582,8093l9636,8093e" filled="false" stroked="true" strokeweight=".48004pt" strokecolor="#000000">
                <v:path arrowok="t"/>
              </v:shape>
            </v:group>
            <v:group style="position:absolute;left:9645;top:8093;width:1054;height:2" coordorigin="9645,8093" coordsize="1054,2">
              <v:shape style="position:absolute;left:9645;top:8093;width:1054;height:2" coordorigin="9645,8093" coordsize="1054,0" path="m9645,8093l10699,8093e" filled="false" stroked="true" strokeweight=".48004pt" strokecolor="#000000">
                <v:path arrowok="t"/>
              </v:shape>
            </v:group>
            <v:group style="position:absolute;left:1138;top:9430;width:1057;height:2" coordorigin="1138,9430" coordsize="1057,2">
              <v:shape style="position:absolute;left:1138;top:9430;width:1057;height:2" coordorigin="1138,9430" coordsize="1057,0" path="m1138,9430l2194,9430e" filled="false" stroked="true" strokeweight=".47998pt" strokecolor="#000000">
                <v:path arrowok="t"/>
              </v:shape>
            </v:group>
            <v:group style="position:absolute;left:2204;top:9430;width:1054;height:2" coordorigin="2204,9430" coordsize="1054,2">
              <v:shape style="position:absolute;left:2204;top:9430;width:1054;height:2" coordorigin="2204,9430" coordsize="1054,0" path="m2204,9430l3257,9430e" filled="false" stroked="true" strokeweight=".47998pt" strokecolor="#000000">
                <v:path arrowok="t"/>
              </v:shape>
            </v:group>
            <v:group style="position:absolute;left:3267;top:9430;width:1055;height:2" coordorigin="3267,9430" coordsize="1055,2">
              <v:shape style="position:absolute;left:3267;top:9430;width:1055;height:2" coordorigin="3267,9430" coordsize="1055,0" path="m3267,9430l4321,9430e" filled="false" stroked="true" strokeweight=".47998pt" strokecolor="#000000">
                <v:path arrowok="t"/>
              </v:shape>
            </v:group>
            <v:group style="position:absolute;left:4331;top:9430;width:1054;height:2" coordorigin="4331,9430" coordsize="1054,2">
              <v:shape style="position:absolute;left:4331;top:9430;width:1054;height:2" coordorigin="4331,9430" coordsize="1054,0" path="m4331,9430l5384,9430e" filled="false" stroked="true" strokeweight=".47998pt" strokecolor="#000000">
                <v:path arrowok="t"/>
              </v:shape>
            </v:group>
            <v:group style="position:absolute;left:5394;top:9430;width:1052;height:2" coordorigin="5394,9430" coordsize="1052,2">
              <v:shape style="position:absolute;left:5394;top:9430;width:1052;height:2" coordorigin="5394,9430" coordsize="1052,0" path="m5394,9430l6445,9430e" filled="false" stroked="true" strokeweight=".47998pt" strokecolor="#000000">
                <v:path arrowok="t"/>
              </v:shape>
            </v:group>
            <v:group style="position:absolute;left:6455;top:9430;width:1054;height:2" coordorigin="6455,9430" coordsize="1054,2">
              <v:shape style="position:absolute;left:6455;top:9430;width:1054;height:2" coordorigin="6455,9430" coordsize="1054,0" path="m6455,9430l7509,9430e" filled="false" stroked="true" strokeweight=".47998pt" strokecolor="#000000">
                <v:path arrowok="t"/>
              </v:shape>
            </v:group>
            <v:group style="position:absolute;left:7518;top:9430;width:1055;height:2" coordorigin="7518,9430" coordsize="1055,2">
              <v:shape style="position:absolute;left:7518;top:9430;width:1055;height:2" coordorigin="7518,9430" coordsize="1055,0" path="m7518,9430l8572,9430e" filled="false" stroked="true" strokeweight=".47998pt" strokecolor="#000000">
                <v:path arrowok="t"/>
              </v:shape>
            </v:group>
            <v:group style="position:absolute;left:8582;top:9430;width:1054;height:2" coordorigin="8582,9430" coordsize="1054,2">
              <v:shape style="position:absolute;left:8582;top:9430;width:1054;height:2" coordorigin="8582,9430" coordsize="1054,0" path="m8582,9430l9636,9430e" filled="false" stroked="true" strokeweight=".47998pt" strokecolor="#000000">
                <v:path arrowok="t"/>
              </v:shape>
            </v:group>
            <v:group style="position:absolute;left:9645;top:9430;width:1054;height:2" coordorigin="9645,9430" coordsize="1054,2">
              <v:shape style="position:absolute;left:9645;top:9430;width:1054;height:2" coordorigin="9645,9430" coordsize="1054,0" path="m9645,9430l10699,9430e" filled="false" stroked="true" strokeweight=".47998pt" strokecolor="#000000">
                <v:path arrowok="t"/>
              </v:shape>
            </v:group>
            <v:group style="position:absolute;left:1133;top:459;width:2;height:10274" coordorigin="1133,459" coordsize="2,10274">
              <v:shape style="position:absolute;left:1133;top:459;width:2;height:10274" coordorigin="1133,459" coordsize="0,10274" path="m1133,459l1133,10733e" filled="false" stroked="true" strokeweight=".48pt" strokecolor="#000000">
                <v:path arrowok="t"/>
              </v:shape>
            </v:group>
            <v:group style="position:absolute;left:1138;top:10728;width:1057;height:2" coordorigin="1138,10728" coordsize="1057,2">
              <v:shape style="position:absolute;left:1138;top:10728;width:1057;height:2" coordorigin="1138,10728" coordsize="1057,0" path="m1138,10728l2194,10728e" filled="false" stroked="true" strokeweight=".48004pt" strokecolor="#000000">
                <v:path arrowok="t"/>
              </v:shape>
            </v:group>
            <v:group style="position:absolute;left:2204;top:10728;width:1054;height:2" coordorigin="2204,10728" coordsize="1054,2">
              <v:shape style="position:absolute;left:2204;top:10728;width:1054;height:2" coordorigin="2204,10728" coordsize="1054,0" path="m2204,10728l3257,10728e" filled="false" stroked="true" strokeweight=".48004pt" strokecolor="#000000">
                <v:path arrowok="t"/>
              </v:shape>
            </v:group>
            <v:group style="position:absolute;left:3267;top:10728;width:1055;height:2" coordorigin="3267,10728" coordsize="1055,2">
              <v:shape style="position:absolute;left:3267;top:10728;width:1055;height:2" coordorigin="3267,10728" coordsize="1055,0" path="m3267,10728l4321,10728e" filled="false" stroked="true" strokeweight=".48004pt" strokecolor="#000000">
                <v:path arrowok="t"/>
              </v:shape>
            </v:group>
            <v:group style="position:absolute;left:4331;top:10728;width:1054;height:2" coordorigin="4331,10728" coordsize="1054,2">
              <v:shape style="position:absolute;left:4331;top:10728;width:1054;height:2" coordorigin="4331,10728" coordsize="1054,0" path="m4331,10728l5384,10728e" filled="false" stroked="true" strokeweight=".48004pt" strokecolor="#000000">
                <v:path arrowok="t"/>
              </v:shape>
            </v:group>
            <v:group style="position:absolute;left:5389;top:459;width:2;height:10274" coordorigin="5389,459" coordsize="2,10274">
              <v:shape style="position:absolute;left:5389;top:459;width:2;height:10274" coordorigin="5389,459" coordsize="0,10274" path="m5389,459l5389,10733e" filled="false" stroked="true" strokeweight=".47998pt" strokecolor="#000000">
                <v:path arrowok="t"/>
              </v:shape>
            </v:group>
            <v:group style="position:absolute;left:5394;top:10728;width:1052;height:2" coordorigin="5394,10728" coordsize="1052,2">
              <v:shape style="position:absolute;left:5394;top:10728;width:1052;height:2" coordorigin="5394,10728" coordsize="1052,0" path="m5394,10728l6445,10728e" filled="false" stroked="true" strokeweight=".48004pt" strokecolor="#000000">
                <v:path arrowok="t"/>
              </v:shape>
            </v:group>
            <v:group style="position:absolute;left:6450;top:459;width:2;height:10274" coordorigin="6450,459" coordsize="2,10274">
              <v:shape style="position:absolute;left:6450;top:459;width:2;height:10274" coordorigin="6450,459" coordsize="0,10274" path="m6450,459l6450,10733e" filled="false" stroked="true" strokeweight=".48001pt" strokecolor="#000000">
                <v:path arrowok="t"/>
              </v:shape>
            </v:group>
            <v:group style="position:absolute;left:6455;top:10728;width:1054;height:2" coordorigin="6455,10728" coordsize="1054,2">
              <v:shape style="position:absolute;left:6455;top:10728;width:1054;height:2" coordorigin="6455,10728" coordsize="1054,0" path="m6455,10728l7509,10728e" filled="false" stroked="true" strokeweight=".48004pt" strokecolor="#000000">
                <v:path arrowok="t"/>
              </v:shape>
            </v:group>
            <v:group style="position:absolute;left:7513;top:459;width:2;height:10274" coordorigin="7513,459" coordsize="2,10274">
              <v:shape style="position:absolute;left:7513;top:459;width:2;height:10274" coordorigin="7513,459" coordsize="0,10274" path="m7513,459l7513,10733e" filled="false" stroked="true" strokeweight=".48001pt" strokecolor="#000000">
                <v:path arrowok="t"/>
              </v:shape>
            </v:group>
            <v:group style="position:absolute;left:7518;top:10728;width:1055;height:2" coordorigin="7518,10728" coordsize="1055,2">
              <v:shape style="position:absolute;left:7518;top:10728;width:1055;height:2" coordorigin="7518,10728" coordsize="1055,0" path="m7518,10728l8572,10728e" filled="false" stroked="true" strokeweight=".48004pt" strokecolor="#000000">
                <v:path arrowok="t"/>
              </v:shape>
            </v:group>
            <v:group style="position:absolute;left:8577;top:459;width:2;height:10274" coordorigin="8577,459" coordsize="2,10274">
              <v:shape style="position:absolute;left:8577;top:459;width:2;height:10274" coordorigin="8577,459" coordsize="0,10274" path="m8577,459l8577,10733e" filled="false" stroked="true" strokeweight=".48001pt" strokecolor="#000000">
                <v:path arrowok="t"/>
              </v:shape>
            </v:group>
            <v:group style="position:absolute;left:8582;top:10728;width:1054;height:2" coordorigin="8582,10728" coordsize="1054,2">
              <v:shape style="position:absolute;left:8582;top:10728;width:1054;height:2" coordorigin="8582,10728" coordsize="1054,0" path="m8582,10728l9636,10728e" filled="false" stroked="true" strokeweight=".48004pt" strokecolor="#000000">
                <v:path arrowok="t"/>
              </v:shape>
            </v:group>
            <v:group style="position:absolute;left:9645;top:10728;width:1054;height:2" coordorigin="9645,10728" coordsize="1054,2">
              <v:shape style="position:absolute;left:9645;top:10728;width:1054;height:2" coordorigin="9645,10728" coordsize="1054,0" path="m9645,10728l10699,10728e" filled="false" stroked="true" strokeweight=".48004pt" strokecolor="#000000">
                <v:path arrowok="t"/>
              </v:shape>
            </v:group>
            <v:group style="position:absolute;left:10704;top:459;width:2;height:10274" coordorigin="10704,459" coordsize="2,10274">
              <v:shape style="position:absolute;left:10704;top:459;width:2;height:10274" coordorigin="10704,459" coordsize="0,10274" path="m10704,459l10704,10733e" filled="false" stroked="true" strokeweight=".47998pt" strokecolor="#000000">
                <v:path arrowok="t"/>
              </v:shape>
              <v:shape style="position:absolute;left:9698;top:576;width:950;height:490" type="#_x0000_t202" filled="false" stroked="false">
                <v:textbox inset="0,0,0,0">
                  <w:txbxContent>
                    <w:p>
                      <w:pPr>
                        <w:spacing w:line="194" w:lineRule="exact" w:before="0"/>
                        <w:ind w:left="24" w:right="0" w:hanging="24"/>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p>
                      <w:pPr>
                        <w:spacing w:before="60"/>
                        <w:ind w:left="24"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175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387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599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733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867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9669;top:998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group>
            <w10:wrap type="none"/>
          </v:group>
        </w:pict>
      </w:r>
      <w:r>
        <w:rPr/>
        <w:t>单位：元</w:t>
      </w:r>
    </w:p>
    <w:p>
      <w:pPr>
        <w:spacing w:line="240" w:lineRule="auto" w:before="8"/>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066"/>
        <w:gridCol w:w="1063"/>
        <w:gridCol w:w="1064"/>
        <w:gridCol w:w="1063"/>
        <w:gridCol w:w="1061"/>
        <w:gridCol w:w="1063"/>
        <w:gridCol w:w="2127"/>
      </w:tblGrid>
      <w:tr>
        <w:trPr>
          <w:trHeight w:val="715" w:hRule="exact"/>
        </w:trPr>
        <w:tc>
          <w:tcPr>
            <w:tcW w:w="106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196" w:lineRule="exact" w:before="55"/>
              <w:ind w:right="-4175"/>
              <w:jc w:val="right"/>
              <w:rPr>
                <w:rFonts w:ascii="宋体" w:hAnsi="宋体" w:cs="宋体" w:eastAsia="宋体" w:hint="default"/>
                <w:sz w:val="18"/>
                <w:szCs w:val="18"/>
              </w:rPr>
            </w:pPr>
            <w:r>
              <w:rPr>
                <w:rFonts w:ascii="宋体" w:hAnsi="宋体" w:cs="宋体" w:eastAsia="宋体" w:hint="default"/>
                <w:sz w:val="18"/>
                <w:szCs w:val="18"/>
              </w:rPr>
              <w:t>补贴是否影  是否特殊补  本期发生金</w:t>
            </w:r>
            <w:r>
              <w:rPr>
                <w:rFonts w:ascii="宋体" w:hAnsi="宋体" w:cs="宋体" w:eastAsia="宋体" w:hint="default"/>
                <w:spacing w:val="36"/>
                <w:sz w:val="18"/>
                <w:szCs w:val="18"/>
              </w:rPr>
              <w:t> </w:t>
            </w:r>
            <w:r>
              <w:rPr>
                <w:rFonts w:ascii="宋体" w:hAnsi="宋体" w:cs="宋体" w:eastAsia="宋体" w:hint="default"/>
                <w:sz w:val="18"/>
                <w:szCs w:val="18"/>
              </w:rPr>
              <w:t>上期发生金</w:t>
            </w:r>
          </w:p>
          <w:p>
            <w:pPr>
              <w:pStyle w:val="TableParagraph"/>
              <w:spacing w:line="155" w:lineRule="exact"/>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p>
            <w:pPr>
              <w:pStyle w:val="TableParagraph"/>
              <w:tabs>
                <w:tab w:pos="1423" w:val="left" w:leader="none"/>
                <w:tab w:pos="2484" w:val="left" w:leader="none"/>
                <w:tab w:pos="3548" w:val="left" w:leader="none"/>
              </w:tabs>
              <w:spacing w:line="195" w:lineRule="exact"/>
              <w:ind w:right="-3815"/>
              <w:jc w:val="right"/>
              <w:rPr>
                <w:rFonts w:ascii="宋体" w:hAnsi="宋体" w:cs="宋体" w:eastAsia="宋体" w:hint="default"/>
                <w:sz w:val="18"/>
                <w:szCs w:val="18"/>
              </w:rPr>
            </w:pPr>
            <w:r>
              <w:rPr>
                <w:rFonts w:ascii="宋体" w:hAnsi="宋体" w:cs="宋体" w:eastAsia="宋体" w:hint="default"/>
                <w:sz w:val="18"/>
                <w:szCs w:val="18"/>
              </w:rPr>
              <w:t>响当年盈亏</w:t>
              <w:tab/>
              <w:t>贴</w:t>
              <w:tab/>
              <w:t>额</w:t>
              <w:tab/>
              <w:t>额</w:t>
            </w:r>
          </w:p>
        </w:tc>
        <w:tc>
          <w:tcPr>
            <w:tcW w:w="1061" w:type="dxa"/>
            <w:tcBorders>
              <w:top w:val="nil" w:sz="6" w:space="0" w:color="auto"/>
              <w:left w:val="single" w:sz="4" w:space="0" w:color="000000"/>
              <w:bottom w:val="nil" w:sz="6" w:space="0" w:color="auto"/>
              <w:right w:val="nil" w:sz="6" w:space="0" w:color="auto"/>
            </w:tcBorders>
            <w:shd w:val="clear" w:color="auto" w:fill="D2D2D2"/>
          </w:tcPr>
          <w:p>
            <w:pPr/>
          </w:p>
        </w:tc>
        <w:tc>
          <w:tcPr>
            <w:tcW w:w="1063" w:type="dxa"/>
            <w:tcBorders>
              <w:top w:val="nil" w:sz="6" w:space="0" w:color="auto"/>
              <w:left w:val="nil" w:sz="6" w:space="0" w:color="auto"/>
              <w:bottom w:val="nil" w:sz="6" w:space="0" w:color="auto"/>
              <w:right w:val="nil" w:sz="6" w:space="0" w:color="auto"/>
            </w:tcBorders>
            <w:shd w:val="clear" w:color="auto" w:fill="D2D2D2"/>
          </w:tcPr>
          <w:p>
            <w:pPr/>
          </w:p>
        </w:tc>
        <w:tc>
          <w:tcPr>
            <w:tcW w:w="2127" w:type="dxa"/>
            <w:tcBorders>
              <w:top w:val="nil" w:sz="6" w:space="0" w:color="auto"/>
              <w:left w:val="nil" w:sz="6" w:space="0" w:color="auto"/>
              <w:bottom w:val="nil" w:sz="6" w:space="0" w:color="auto"/>
              <w:right w:val="nil" w:sz="6" w:space="0" w:color="auto"/>
            </w:tcBorders>
          </w:tcPr>
          <w:p>
            <w:pPr/>
          </w:p>
        </w:tc>
      </w:tr>
      <w:tr>
        <w:trPr>
          <w:trHeight w:val="1337"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 w:right="130"/>
              <w:jc w:val="both"/>
              <w:rPr>
                <w:rFonts w:ascii="宋体" w:hAnsi="宋体" w:cs="宋体" w:eastAsia="宋体" w:hint="default"/>
                <w:sz w:val="18"/>
                <w:szCs w:val="18"/>
              </w:rPr>
            </w:pPr>
            <w:r>
              <w:rPr>
                <w:rFonts w:ascii="宋体" w:hAnsi="宋体" w:cs="宋体" w:eastAsia="宋体" w:hint="default"/>
                <w:sz w:val="18"/>
                <w:szCs w:val="18"/>
              </w:rPr>
              <w:t>天河区产业 发展专项资 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2" w:lineRule="exact" w:before="14"/>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328" w:val="left" w:leader="none"/>
                <w:tab w:pos="3564" w:val="left" w:leader="none"/>
              </w:tabs>
              <w:spacing w:line="86" w:lineRule="exact"/>
              <w:ind w:right="-4231"/>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110,000.00</w:t>
              <w:tab/>
            </w:r>
            <w:r>
              <w:rPr>
                <w:rFonts w:ascii="Times New Roman" w:hAnsi="Times New Roman" w:cs="Times New Roman" w:eastAsia="Times New Roman" w:hint="default"/>
                <w:w w:val="95"/>
                <w:sz w:val="18"/>
                <w:szCs w:val="18"/>
              </w:rPr>
              <w:t>2,000.00</w:t>
            </w:r>
          </w:p>
          <w:p>
            <w:pPr>
              <w:pStyle w:val="TableParagraph"/>
              <w:spacing w:line="189"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2900"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314" w:lineRule="auto" w:before="56"/>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年杭州 市十八届中 </w:t>
            </w:r>
            <w:r>
              <w:rPr>
                <w:rFonts w:ascii="宋体" w:hAnsi="宋体" w:cs="宋体" w:eastAsia="宋体" w:hint="default"/>
                <w:spacing w:val="-12"/>
                <w:sz w:val="18"/>
                <w:szCs w:val="18"/>
              </w:rPr>
              <w:t>国专利奖、国</w:t>
            </w:r>
            <w:r>
              <w:rPr>
                <w:rFonts w:ascii="宋体" w:hAnsi="宋体" w:cs="宋体" w:eastAsia="宋体" w:hint="default"/>
                <w:sz w:val="18"/>
                <w:szCs w:val="18"/>
              </w:rPr>
              <w:t> 家知识产权 示范优势企 业、企业贯 </w:t>
            </w:r>
            <w:r>
              <w:rPr>
                <w:rFonts w:ascii="宋体" w:hAnsi="宋体" w:cs="宋体" w:eastAsia="宋体" w:hint="default"/>
                <w:spacing w:val="-12"/>
                <w:sz w:val="18"/>
                <w:szCs w:val="18"/>
              </w:rPr>
              <w:t>标、企业数据</w:t>
            </w:r>
            <w:r>
              <w:rPr>
                <w:rFonts w:ascii="宋体" w:hAnsi="宋体" w:cs="宋体" w:eastAsia="宋体" w:hint="default"/>
                <w:sz w:val="18"/>
                <w:szCs w:val="18"/>
              </w:rPr>
              <w:t> 政策兑现资 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杭州市上城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0" w:lineRule="atLeast"/>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s>
              <w:spacing w:line="125" w:lineRule="exact"/>
              <w:ind w:right="-3167"/>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70,000.00</w:t>
            </w:r>
          </w:p>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1337"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 w:right="130"/>
              <w:jc w:val="both"/>
              <w:rPr>
                <w:rFonts w:ascii="宋体" w:hAnsi="宋体" w:cs="宋体" w:eastAsia="宋体" w:hint="default"/>
                <w:sz w:val="18"/>
                <w:szCs w:val="18"/>
              </w:rPr>
            </w:pPr>
            <w:r>
              <w:rPr>
                <w:rFonts w:ascii="宋体" w:hAnsi="宋体" w:cs="宋体" w:eastAsia="宋体" w:hint="default"/>
                <w:sz w:val="18"/>
                <w:szCs w:val="18"/>
              </w:rPr>
              <w:t>上城区知识 产权专项资 金资助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7"/>
              <w:jc w:val="left"/>
              <w:rPr>
                <w:rFonts w:ascii="宋体" w:hAnsi="宋体" w:cs="宋体" w:eastAsia="宋体" w:hint="default"/>
                <w:sz w:val="18"/>
                <w:szCs w:val="18"/>
              </w:rPr>
            </w:pPr>
            <w:r>
              <w:rPr>
                <w:rFonts w:ascii="宋体" w:hAnsi="宋体" w:cs="宋体" w:eastAsia="宋体" w:hint="default"/>
                <w:sz w:val="18"/>
                <w:szCs w:val="18"/>
              </w:rPr>
              <w:t>杭州市上城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2" w:lineRule="exact" w:before="14"/>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 w:pos="3476" w:val="left" w:leader="none"/>
              </w:tabs>
              <w:spacing w:line="86" w:lineRule="exact"/>
              <w:ind w:right="-4231"/>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45,000.00</w:t>
              <w:tab/>
              <w:t>35,000.00</w:t>
            </w:r>
          </w:p>
          <w:p>
            <w:pPr>
              <w:pStyle w:val="TableParagraph"/>
              <w:spacing w:line="189"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1340"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312" w:lineRule="auto" w:before="56"/>
              <w:ind w:left="28"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年广陵 区汤汪乡专 利资助奖励 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127"/>
              <w:jc w:val="left"/>
              <w:rPr>
                <w:rFonts w:ascii="宋体" w:hAnsi="宋体" w:cs="宋体" w:eastAsia="宋体" w:hint="default"/>
                <w:sz w:val="18"/>
                <w:szCs w:val="18"/>
              </w:rPr>
            </w:pPr>
            <w:r>
              <w:rPr>
                <w:rFonts w:ascii="宋体" w:hAnsi="宋体" w:cs="宋体" w:eastAsia="宋体" w:hint="default"/>
                <w:sz w:val="18"/>
                <w:szCs w:val="18"/>
              </w:rPr>
              <w:t>扬州市汤汪 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0" w:lineRule="exact" w:before="18"/>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s>
              <w:spacing w:line="88" w:lineRule="exact"/>
              <w:ind w:right="-3167"/>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17,400.00</w:t>
            </w:r>
          </w:p>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1337"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316" w:lineRule="auto" w:before="53"/>
              <w:ind w:left="28" w:right="130"/>
              <w:jc w:val="both"/>
              <w:rPr>
                <w:rFonts w:ascii="宋体" w:hAnsi="宋体" w:cs="宋体" w:eastAsia="宋体" w:hint="default"/>
                <w:sz w:val="18"/>
                <w:szCs w:val="18"/>
              </w:rPr>
            </w:pPr>
            <w:r>
              <w:rPr>
                <w:rFonts w:ascii="宋体" w:hAnsi="宋体" w:cs="宋体" w:eastAsia="宋体" w:hint="default"/>
                <w:sz w:val="18"/>
                <w:szCs w:val="18"/>
              </w:rPr>
              <w:t>浙江省级科 技型中小企 业和科技发 展专项资金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7"/>
              <w:jc w:val="left"/>
              <w:rPr>
                <w:rFonts w:ascii="宋体" w:hAnsi="宋体" w:cs="宋体" w:eastAsia="宋体" w:hint="default"/>
                <w:sz w:val="18"/>
                <w:szCs w:val="18"/>
              </w:rPr>
            </w:pPr>
            <w:r>
              <w:rPr>
                <w:rFonts w:ascii="宋体" w:hAnsi="宋体" w:cs="宋体" w:eastAsia="宋体" w:hint="default"/>
                <w:sz w:val="18"/>
                <w:szCs w:val="18"/>
              </w:rPr>
              <w:t>杭州市上城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2" w:lineRule="exact" w:before="14"/>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s>
              <w:spacing w:line="86" w:lineRule="exact"/>
              <w:ind w:right="-3167"/>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12,000.00</w:t>
            </w:r>
          </w:p>
          <w:p>
            <w:pPr>
              <w:pStyle w:val="TableParagraph"/>
              <w:spacing w:line="189"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1298" w:hRule="exact"/>
        </w:trPr>
        <w:tc>
          <w:tcPr>
            <w:tcW w:w="1066"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8" w:right="130"/>
              <w:jc w:val="both"/>
              <w:rPr>
                <w:rFonts w:ascii="宋体" w:hAnsi="宋体" w:cs="宋体" w:eastAsia="宋体" w:hint="default"/>
                <w:sz w:val="18"/>
                <w:szCs w:val="18"/>
              </w:rPr>
            </w:pPr>
            <w:r>
              <w:rPr>
                <w:rFonts w:ascii="宋体" w:hAnsi="宋体" w:cs="宋体" w:eastAsia="宋体" w:hint="default"/>
                <w:sz w:val="18"/>
                <w:szCs w:val="18"/>
              </w:rPr>
              <w:t>广陵区工业 和信息化先 进企业补助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扬州市广陵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2" w:lineRule="exact" w:before="14"/>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p>
            <w:pPr>
              <w:pStyle w:val="TableParagraph"/>
              <w:tabs>
                <w:tab w:pos="1063" w:val="left" w:leader="none"/>
                <w:tab w:pos="2412" w:val="left" w:leader="none"/>
              </w:tabs>
              <w:spacing w:line="76" w:lineRule="exact"/>
              <w:ind w:right="-3167"/>
              <w:jc w:val="right"/>
              <w:rPr>
                <w:rFonts w:ascii="Times New Roman" w:hAnsi="Times New Roman" w:cs="Times New Roman" w:eastAsia="Times New Roman" w:hint="default"/>
                <w:sz w:val="18"/>
                <w:szCs w:val="18"/>
              </w:rPr>
            </w:pPr>
            <w:r>
              <w:rPr>
                <w:rFonts w:ascii="宋体" w:hAnsi="宋体" w:cs="宋体" w:eastAsia="宋体" w:hint="default"/>
                <w:sz w:val="18"/>
                <w:szCs w:val="18"/>
              </w:rPr>
              <w:t>是</w:t>
              <w:tab/>
              <w:t>是</w:t>
              <w:tab/>
            </w:r>
            <w:r>
              <w:rPr>
                <w:rFonts w:ascii="Times New Roman" w:hAnsi="Times New Roman" w:cs="Times New Roman" w:eastAsia="Times New Roman" w:hint="default"/>
                <w:spacing w:val="-1"/>
                <w:sz w:val="18"/>
                <w:szCs w:val="18"/>
              </w:rPr>
              <w:t>10,000.00</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7"/>
          <w:szCs w:val="27"/>
        </w:rPr>
      </w:pPr>
    </w:p>
    <w:p>
      <w:pPr>
        <w:pStyle w:val="BodyText"/>
        <w:spacing w:line="240" w:lineRule="auto" w:before="44"/>
        <w:ind w:left="3374" w:right="1133"/>
        <w:jc w:val="left"/>
      </w:pPr>
      <w:r>
        <w:rPr/>
        <w:t>获得的补助</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40" w:bottom="1160" w:left="980" w:right="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年扬州 市专利资助 奖励资金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扬州市汤汪</w:t>
      </w:r>
    </w:p>
    <w:p>
      <w:pPr>
        <w:pStyle w:val="BodyText"/>
        <w:spacing w:line="156" w:lineRule="exact"/>
        <w:ind w:left="0" w:right="0"/>
        <w:jc w:val="right"/>
      </w:pPr>
      <w:r>
        <w:rPr/>
        <w:t>奖励</w:t>
      </w:r>
    </w:p>
    <w:p>
      <w:pPr>
        <w:pStyle w:val="BodyText"/>
        <w:spacing w:line="196" w:lineRule="exact"/>
        <w:ind w:left="77" w:right="0"/>
        <w:jc w:val="left"/>
      </w:pPr>
      <w:r>
        <w:rPr/>
        <w:t>财政局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3745" w:val="left" w:leader="none"/>
          <w:tab w:pos="5496" w:val="left" w:leader="none"/>
        </w:tabs>
        <w:spacing w:line="86" w:lineRule="exact"/>
        <w:ind w:left="1244" w:right="0"/>
        <w:jc w:val="left"/>
      </w:pPr>
      <w:r>
        <w:rPr/>
        <w:t>是</w:t>
        <w:tab/>
        <w:t>否</w:t>
        <w:tab/>
      </w:r>
      <w:r>
        <w:rPr>
          <w:rFonts w:ascii="Times New Roman" w:hAnsi="Times New Roman" w:cs="Times New Roman" w:eastAsia="Times New Roman" w:hint="default"/>
        </w:rPr>
        <w:t>8,000.00</w:t>
        <w:tab/>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131" w:space="40"/>
            <w:col w:w="1501"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瞪羚企业资 助资金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0"/>
        <w:jc w:val="left"/>
      </w:pPr>
      <w:r>
        <w:rPr/>
        <w:t>杭州市滨江</w:t>
      </w:r>
    </w:p>
    <w:p>
      <w:pPr>
        <w:pStyle w:val="BodyText"/>
        <w:spacing w:line="156" w:lineRule="exact"/>
        <w:ind w:left="0" w:right="0"/>
        <w:jc w:val="right"/>
      </w:pPr>
      <w:r>
        <w:rPr/>
        <w:t>补助</w:t>
      </w:r>
    </w:p>
    <w:p>
      <w:pPr>
        <w:pStyle w:val="BodyText"/>
        <w:spacing w:line="196" w:lineRule="exact"/>
        <w:ind w:left="125" w:right="0"/>
        <w:jc w:val="left"/>
      </w:pPr>
      <w:r>
        <w:rPr/>
        <w:t>区财政局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是</w:t>
        <w:tab/>
        <w:t>否</w:t>
        <w:tab/>
      </w:r>
      <w:r>
        <w:rPr>
          <w:rFonts w:ascii="Times New Roman" w:hAnsi="Times New Roman" w:cs="Times New Roman" w:eastAsia="Times New Roman" w:hint="default"/>
        </w:rPr>
        <w:t>990,200.00</w:t>
      </w:r>
      <w:r>
        <w:rPr>
          <w:rFonts w:ascii="Times New Roman" w:hAnsi="Times New Roman" w:cs="Times New Roman" w:eastAsia="Times New Roman" w:hint="default"/>
          <w:spacing w:val="8"/>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082" w:space="40"/>
            <w:col w:w="1550"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980" w:right="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年高新 技术企业认 定补贴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广州市天河</w:t>
      </w:r>
    </w:p>
    <w:p>
      <w:pPr>
        <w:pStyle w:val="BodyText"/>
        <w:spacing w:line="156" w:lineRule="exact"/>
        <w:ind w:left="0" w:right="0"/>
        <w:jc w:val="right"/>
      </w:pPr>
      <w:r>
        <w:rPr/>
        <w:t>补助</w:t>
      </w:r>
    </w:p>
    <w:p>
      <w:pPr>
        <w:pStyle w:val="BodyText"/>
        <w:spacing w:line="196" w:lineRule="exact"/>
        <w:ind w:left="77" w:right="0"/>
        <w:jc w:val="left"/>
      </w:pPr>
      <w:r>
        <w:rPr/>
        <w:t>区财政局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4629" w:val="left" w:leader="none"/>
        </w:tabs>
        <w:spacing w:line="87" w:lineRule="exact"/>
        <w:ind w:left="1244" w:right="0"/>
        <w:jc w:val="left"/>
      </w:pPr>
      <w:r>
        <w:rPr/>
        <w:t>是</w:t>
        <w:tab/>
        <w:t>否</w:t>
        <w:tab/>
      </w:r>
      <w:r>
        <w:rPr>
          <w:rFonts w:ascii="Times New Roman" w:hAnsi="Times New Roman" w:cs="Times New Roman" w:eastAsia="Times New Roman" w:hint="default"/>
        </w:rPr>
        <w:t>400,000.00</w:t>
      </w:r>
      <w:r>
        <w:rPr>
          <w:rFonts w:ascii="Times New Roman" w:hAnsi="Times New Roman" w:cs="Times New Roman" w:eastAsia="Times New Roman" w:hint="default"/>
          <w:spacing w:val="8"/>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131" w:space="40"/>
            <w:col w:w="1501"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980" w:right="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年上城 区政府质量 奖励</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杭州上城区</w:t>
      </w:r>
    </w:p>
    <w:p>
      <w:pPr>
        <w:pStyle w:val="BodyText"/>
        <w:spacing w:line="156" w:lineRule="exact"/>
        <w:ind w:left="0" w:right="0"/>
        <w:jc w:val="right"/>
      </w:pPr>
      <w:r>
        <w:rPr/>
        <w:t>奖励</w:t>
      </w:r>
    </w:p>
    <w:p>
      <w:pPr>
        <w:pStyle w:val="BodyText"/>
        <w:spacing w:line="196" w:lineRule="exact"/>
        <w:ind w:left="77" w:right="0"/>
        <w:jc w:val="left"/>
      </w:pPr>
      <w:r>
        <w:rPr/>
        <w:t>财政局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是</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8"/>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131" w:space="40"/>
            <w:col w:w="1501"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980" w:right="0"/>
        </w:sectPr>
      </w:pPr>
    </w:p>
    <w:p>
      <w:pPr>
        <w:spacing w:line="240" w:lineRule="auto" w:before="0"/>
        <w:rPr>
          <w:rFonts w:ascii="宋体" w:hAnsi="宋体" w:cs="宋体" w:eastAsia="宋体" w:hint="default"/>
          <w:sz w:val="18"/>
          <w:szCs w:val="18"/>
        </w:rPr>
      </w:pPr>
    </w:p>
    <w:p>
      <w:pPr>
        <w:pStyle w:val="BodyText"/>
        <w:spacing w:line="309" w:lineRule="auto" w:before="121"/>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年度人 才激励专项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77" w:right="0"/>
        <w:jc w:val="left"/>
      </w:pPr>
      <w:r>
        <w:rPr/>
        <w:t>杭州市滨江</w:t>
      </w:r>
    </w:p>
    <w:p>
      <w:pPr>
        <w:pStyle w:val="BodyText"/>
        <w:spacing w:line="156" w:lineRule="exact"/>
        <w:ind w:left="0" w:right="0"/>
        <w:jc w:val="right"/>
      </w:pPr>
      <w:r>
        <w:rPr/>
        <w:t>奖励</w:t>
      </w:r>
    </w:p>
    <w:p>
      <w:pPr>
        <w:pStyle w:val="BodyText"/>
        <w:spacing w:line="196" w:lineRule="exact"/>
        <w:ind w:left="77" w:right="0"/>
        <w:jc w:val="left"/>
      </w:pPr>
      <w:r>
        <w:rPr/>
        <w:t>区财政局</w:t>
      </w:r>
    </w:p>
    <w:p>
      <w:pPr>
        <w:pStyle w:val="BodyText"/>
        <w:spacing w:line="319"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8" w:val="left" w:leader="none"/>
        </w:tabs>
        <w:spacing w:line="240" w:lineRule="auto"/>
        <w:ind w:left="123" w:right="0"/>
        <w:jc w:val="left"/>
      </w:pPr>
      <w:r>
        <w:rPr/>
        <w:t>是</w:t>
        <w:tab/>
        <w:t>否</w:t>
        <w:tab/>
      </w:r>
      <w:r>
        <w:rPr>
          <w:rFonts w:ascii="Times New Roman" w:hAnsi="Times New Roman" w:cs="Times New Roman" w:eastAsia="Times New Roman" w:hint="default"/>
        </w:rPr>
        <w:t>154,239.00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40" w:bottom="1160" w:left="980" w:right="0"/>
          <w:cols w:num="4" w:equalWidth="0">
            <w:col w:w="1131" w:space="40"/>
            <w:col w:w="1501" w:space="522"/>
            <w:col w:w="1082" w:space="40"/>
            <w:col w:w="6614"/>
          </w:cols>
        </w:sectPr>
      </w:pPr>
    </w:p>
    <w:p>
      <w:pPr>
        <w:spacing w:line="240" w:lineRule="auto" w:before="0"/>
        <w:rPr>
          <w:rFonts w:ascii="宋体" w:hAnsi="宋体" w:cs="宋体" w:eastAsia="宋体" w:hint="default"/>
          <w:sz w:val="20"/>
          <w:szCs w:val="20"/>
        </w:rPr>
      </w:pPr>
    </w:p>
    <w:p>
      <w:pPr>
        <w:pStyle w:val="BodyText"/>
        <w:spacing w:line="312" w:lineRule="auto"/>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年度经 济发展贡献 企业经营团 队奖励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5"/>
          <w:szCs w:val="25"/>
        </w:rPr>
      </w:pPr>
    </w:p>
    <w:p>
      <w:pPr>
        <w:pStyle w:val="BodyText"/>
        <w:spacing w:line="196" w:lineRule="exact"/>
        <w:ind w:left="77" w:right="0"/>
        <w:jc w:val="left"/>
      </w:pPr>
      <w:r>
        <w:rPr/>
        <w:t>杭州上城区</w:t>
      </w:r>
    </w:p>
    <w:p>
      <w:pPr>
        <w:pStyle w:val="BodyText"/>
        <w:spacing w:line="156" w:lineRule="exact"/>
        <w:ind w:left="0" w:right="0"/>
        <w:jc w:val="right"/>
      </w:pPr>
      <w:r>
        <w:rPr/>
        <w:t>奖励</w:t>
      </w:r>
    </w:p>
    <w:p>
      <w:pPr>
        <w:pStyle w:val="BodyText"/>
        <w:spacing w:line="196" w:lineRule="exact"/>
        <w:ind w:left="77" w:right="0"/>
        <w:jc w:val="left"/>
      </w:pPr>
      <w:r>
        <w:rPr/>
        <w:t>财政局</w:t>
      </w:r>
    </w:p>
    <w:p>
      <w:pPr>
        <w:pStyle w:val="BodyText"/>
        <w:spacing w:line="316" w:lineRule="auto" w:before="106"/>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tabs>
          <w:tab w:pos="1186" w:val="left" w:leader="none"/>
          <w:tab w:pos="3508" w:val="left" w:leader="none"/>
        </w:tabs>
        <w:spacing w:line="240" w:lineRule="auto"/>
        <w:ind w:left="123" w:right="0"/>
        <w:jc w:val="left"/>
      </w:pPr>
      <w:r>
        <w:rPr/>
        <w:t>是</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40" w:bottom="1160" w:left="980" w:right="0"/>
          <w:cols w:num="4" w:equalWidth="0">
            <w:col w:w="1131" w:space="40"/>
            <w:col w:w="1501" w:space="522"/>
            <w:col w:w="1082" w:space="40"/>
            <w:col w:w="6614"/>
          </w:cols>
        </w:sectPr>
      </w:pPr>
    </w:p>
    <w:p>
      <w:pPr>
        <w:pStyle w:val="BodyText"/>
        <w:spacing w:line="314" w:lineRule="auto" w:before="110"/>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年国家 重点支持领 域高新技术 企业奖励资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196" w:lineRule="exact"/>
        <w:ind w:left="77" w:right="0"/>
        <w:jc w:val="left"/>
      </w:pPr>
      <w:r>
        <w:rPr/>
        <w:t>余杭区财政</w:t>
      </w:r>
    </w:p>
    <w:p>
      <w:pPr>
        <w:pStyle w:val="BodyText"/>
        <w:spacing w:line="156" w:lineRule="exact"/>
        <w:ind w:left="0" w:right="0"/>
        <w:jc w:val="right"/>
      </w:pPr>
      <w:r>
        <w:rPr/>
        <w:t>奖励</w:t>
      </w:r>
    </w:p>
    <w:p>
      <w:pPr>
        <w:pStyle w:val="BodyText"/>
        <w:spacing w:line="196" w:lineRule="exact"/>
        <w:ind w:left="77" w:right="0"/>
        <w:jc w:val="left"/>
      </w:pPr>
      <w:r>
        <w:rPr/>
        <w:t>局</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6452"/>
        <w:jc w:val="left"/>
      </w:pPr>
      <w:r>
        <w:rPr/>
        <w:t>因研究开发、 技术更新及</w:t>
      </w:r>
    </w:p>
    <w:p>
      <w:pPr>
        <w:pStyle w:val="BodyText"/>
        <w:tabs>
          <w:tab w:pos="2308" w:val="left" w:leader="none"/>
          <w:tab w:pos="4720" w:val="left" w:leader="none"/>
        </w:tabs>
        <w:spacing w:line="123" w:lineRule="exact"/>
        <w:ind w:left="1244" w:right="0"/>
        <w:jc w:val="left"/>
      </w:pPr>
      <w:r>
        <w:rPr/>
        <w:t>是</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7"/>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131" w:space="40"/>
            <w:col w:w="1501" w:space="522"/>
            <w:col w:w="7736"/>
          </w:cols>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信息安全及 知识产权保 护体系项目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0"/>
        <w:jc w:val="left"/>
      </w:pPr>
      <w:r>
        <w:rPr/>
        <w:t>杭州上城区</w:t>
      </w:r>
    </w:p>
    <w:p>
      <w:pPr>
        <w:pStyle w:val="BodyText"/>
        <w:spacing w:line="156" w:lineRule="exact"/>
        <w:ind w:left="0" w:right="0"/>
        <w:jc w:val="right"/>
      </w:pPr>
      <w:r>
        <w:rPr/>
        <w:t>补助</w:t>
      </w:r>
    </w:p>
    <w:p>
      <w:pPr>
        <w:pStyle w:val="BodyText"/>
        <w:spacing w:line="196" w:lineRule="exact"/>
        <w:ind w:left="125" w:right="0"/>
        <w:jc w:val="left"/>
      </w:pPr>
      <w:r>
        <w:rPr/>
        <w:t>财政局</w:t>
      </w:r>
    </w:p>
    <w:p>
      <w:pPr>
        <w:pStyle w:val="BodyText"/>
        <w:spacing w:line="310" w:lineRule="atLeast" w:before="35"/>
        <w:ind w:left="181" w:right="6452"/>
        <w:jc w:val="left"/>
      </w:pPr>
      <w:r>
        <w:rPr/>
        <w:br w:type="column"/>
      </w:r>
      <w:r>
        <w:rPr/>
        <w:t>因研究开发、 技术更新及</w:t>
      </w:r>
    </w:p>
    <w:p>
      <w:pPr>
        <w:pStyle w:val="BodyText"/>
        <w:tabs>
          <w:tab w:pos="2308" w:val="left" w:leader="none"/>
          <w:tab w:pos="4720" w:val="left" w:leader="none"/>
        </w:tabs>
        <w:spacing w:line="123" w:lineRule="exact"/>
        <w:ind w:left="1244" w:right="0"/>
        <w:jc w:val="left"/>
      </w:pPr>
      <w:r>
        <w:rPr/>
        <w:t>是</w:t>
        <w:tab/>
        <w:t>否</w:t>
        <w:tab/>
      </w:r>
      <w:r>
        <w:rPr>
          <w:rFonts w:ascii="Times New Roman" w:hAnsi="Times New Roman" w:cs="Times New Roman" w:eastAsia="Times New Roman" w:hint="default"/>
        </w:rPr>
        <w:t>21,600.00</w:t>
      </w:r>
      <w:r>
        <w:rPr>
          <w:rFonts w:ascii="Times New Roman" w:hAnsi="Times New Roman" w:cs="Times New Roman" w:eastAsia="Times New Roman" w:hint="default"/>
          <w:spacing w:val="7"/>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40" w:bottom="1160" w:left="980" w:right="0"/>
          <w:cols w:num="3" w:equalWidth="0">
            <w:col w:w="1082" w:space="40"/>
            <w:col w:w="1550"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980" w:right="0"/>
        </w:sectPr>
      </w:pPr>
    </w:p>
    <w:p>
      <w:pPr>
        <w:spacing w:line="240" w:lineRule="auto" w:before="0"/>
        <w:rPr>
          <w:rFonts w:ascii="宋体" w:hAnsi="宋体" w:cs="宋体" w:eastAsia="宋体" w:hint="default"/>
          <w:sz w:val="18"/>
          <w:szCs w:val="18"/>
        </w:rPr>
      </w:pPr>
      <w:r>
        <w:rPr/>
        <w:pict>
          <v:group style="position:absolute;margin-left:56.400002pt;margin-top:71.759979pt;width:479.05pt;height:683.65pt;mso-position-horizontal-relative:page;mso-position-vertical-relative:page;z-index:-1079512" coordorigin="1128,1435" coordsize="9581,13673">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1812;width:1055;height:468" coordorigin="5394,1812" coordsize="1055,468">
              <v:shape style="position:absolute;left:5394;top:1812;width:1055;height:468" coordorigin="5394,1812" coordsize="1055,468" path="m5394,2280l6448,2280,6448,1812,5394,1812,5394,2280xe" filled="true" fillcolor="#ffffff" stroked="false">
                <v:path arrowok="t"/>
                <v:fill type="solid"/>
              </v:shape>
            </v:group>
            <v:group style="position:absolute;left:1138;top:1808;width:1057;height:2" coordorigin="1138,1808" coordsize="1057,2">
              <v:shape style="position:absolute;left:1138;top:1808;width:1057;height:2" coordorigin="1138,1808" coordsize="1057,0" path="m1138,1808l2194,1808e" filled="false" stroked="true" strokeweight=".48pt" strokecolor="#000000">
                <v:path arrowok="t"/>
              </v:shape>
            </v:group>
            <v:group style="position:absolute;left:2204;top:1808;width:1054;height:2" coordorigin="2204,1808" coordsize="1054,2">
              <v:shape style="position:absolute;left:2204;top:1808;width:1054;height:2" coordorigin="2204,1808" coordsize="1054,0" path="m2204,1808l3257,1808e" filled="false" stroked="true" strokeweight=".48pt" strokecolor="#000000">
                <v:path arrowok="t"/>
              </v:shape>
            </v:group>
            <v:group style="position:absolute;left:3267;top:1808;width:1055;height:2" coordorigin="3267,1808" coordsize="1055,2">
              <v:shape style="position:absolute;left:3267;top:1808;width:1055;height:2" coordorigin="3267,1808" coordsize="1055,0" path="m3267,1808l4321,1808e" filled="false" stroked="true" strokeweight=".48pt" strokecolor="#000000">
                <v:path arrowok="t"/>
              </v:shape>
            </v:group>
            <v:group style="position:absolute;left:4331;top:1808;width:1054;height:2" coordorigin="4331,1808" coordsize="1054,2">
              <v:shape style="position:absolute;left:4331;top:1808;width:1054;height:2" coordorigin="4331,1808" coordsize="1054,0" path="m4331,1808l5384,1808e" filled="false" stroked="true" strokeweight=".48pt" strokecolor="#000000">
                <v:path arrowok="t"/>
              </v:shape>
            </v:group>
            <v:group style="position:absolute;left:5394;top:1808;width:1052;height:2" coordorigin="5394,1808" coordsize="1052,2">
              <v:shape style="position:absolute;left:5394;top:1808;width:1052;height:2" coordorigin="5394,1808" coordsize="1052,0" path="m5394,1808l6445,1808e" filled="false" stroked="true" strokeweight=".48pt" strokecolor="#000000">
                <v:path arrowok="t"/>
              </v:shape>
            </v:group>
            <v:group style="position:absolute;left:6455;top:1808;width:1054;height:2" coordorigin="6455,1808" coordsize="1054,2">
              <v:shape style="position:absolute;left:6455;top:1808;width:1054;height:2" coordorigin="6455,1808" coordsize="1054,0" path="m6455,1808l7509,1808e" filled="false" stroked="true" strokeweight=".48pt" strokecolor="#000000">
                <v:path arrowok="t"/>
              </v:shape>
            </v:group>
            <v:group style="position:absolute;left:7518;top:1808;width:1055;height:2" coordorigin="7518,1808" coordsize="1055,2">
              <v:shape style="position:absolute;left:7518;top:1808;width:1055;height:2" coordorigin="7518,1808" coordsize="1055,0" path="m7518,1808l8572,1808e" filled="false" stroked="true" strokeweight=".48pt" strokecolor="#000000">
                <v:path arrowok="t"/>
              </v:shape>
            </v:group>
            <v:group style="position:absolute;left:8582;top:1808;width:1054;height:2" coordorigin="8582,1808" coordsize="1054,2">
              <v:shape style="position:absolute;left:8582;top:1808;width:1054;height:2" coordorigin="8582,1808" coordsize="1054,0" path="m8582,1808l9636,1808e" filled="false" stroked="true" strokeweight=".48pt" strokecolor="#000000">
                <v:path arrowok="t"/>
              </v:shape>
            </v:group>
            <v:group style="position:absolute;left:9645;top:1808;width:1054;height:2" coordorigin="9645,1808" coordsize="1054,2">
              <v:shape style="position:absolute;left:9645;top:1808;width:1054;height:2" coordorigin="9645,1808" coordsize="1054,0" path="m9645,1808l10699,1808e" filled="false" stroked="true" strokeweight=".48pt" strokecolor="#000000">
                <v:path arrowok="t"/>
              </v:shape>
            </v:group>
            <v:group style="position:absolute;left:5394;top:3149;width:1055;height:468" coordorigin="5394,3149" coordsize="1055,468">
              <v:shape style="position:absolute;left:5394;top:3149;width:1055;height:468" coordorigin="5394,3149" coordsize="1055,468" path="m5394,3617l6448,3617,6448,3149,5394,3149,5394,3617xe" filled="true" fillcolor="#ffffff" stroked="false">
                <v:path arrowok="t"/>
                <v:fill type="solid"/>
              </v:shape>
            </v:group>
            <v:group style="position:absolute;left:1138;top:3144;width:1057;height:2" coordorigin="1138,3144" coordsize="1057,2">
              <v:shape style="position:absolute;left:1138;top:3144;width:1057;height:2" coordorigin="1138,3144" coordsize="1057,0" path="m1138,3144l2194,3144e" filled="false" stroked="true" strokeweight=".48pt" strokecolor="#000000">
                <v:path arrowok="t"/>
              </v:shape>
            </v:group>
            <v:group style="position:absolute;left:2204;top:3144;width:1054;height:2" coordorigin="2204,3144" coordsize="1054,2">
              <v:shape style="position:absolute;left:2204;top:3144;width:1054;height:2" coordorigin="2204,3144" coordsize="1054,0" path="m2204,3144l3257,3144e" filled="false" stroked="true" strokeweight=".48pt" strokecolor="#000000">
                <v:path arrowok="t"/>
              </v:shape>
            </v:group>
            <v:group style="position:absolute;left:3267;top:3144;width:1055;height:2" coordorigin="3267,3144" coordsize="1055,2">
              <v:shape style="position:absolute;left:3267;top:3144;width:1055;height:2" coordorigin="3267,3144" coordsize="1055,0" path="m3267,3144l4321,3144e" filled="false" stroked="true" strokeweight=".48pt" strokecolor="#000000">
                <v:path arrowok="t"/>
              </v:shape>
            </v:group>
            <v:group style="position:absolute;left:4331;top:3144;width:1054;height:2" coordorigin="4331,3144" coordsize="1054,2">
              <v:shape style="position:absolute;left:4331;top:3144;width:1054;height:2" coordorigin="4331,3144" coordsize="1054,0" path="m4331,3144l5384,3144e" filled="false" stroked="true" strokeweight=".48pt" strokecolor="#000000">
                <v:path arrowok="t"/>
              </v:shape>
            </v:group>
            <v:group style="position:absolute;left:5394;top:3144;width:1052;height:2" coordorigin="5394,3144" coordsize="1052,2">
              <v:shape style="position:absolute;left:5394;top:3144;width:1052;height:2" coordorigin="5394,3144" coordsize="1052,0" path="m5394,3144l6445,3144e" filled="false" stroked="true" strokeweight=".48pt" strokecolor="#000000">
                <v:path arrowok="t"/>
              </v:shape>
            </v:group>
            <v:group style="position:absolute;left:6455;top:3144;width:1054;height:2" coordorigin="6455,3144" coordsize="1054,2">
              <v:shape style="position:absolute;left:6455;top:3144;width:1054;height:2" coordorigin="6455,3144" coordsize="1054,0" path="m6455,3144l7509,3144e" filled="false" stroked="true" strokeweight=".48pt" strokecolor="#000000">
                <v:path arrowok="t"/>
              </v:shape>
            </v:group>
            <v:group style="position:absolute;left:7518;top:3144;width:1055;height:2" coordorigin="7518,3144" coordsize="1055,2">
              <v:shape style="position:absolute;left:7518;top:3144;width:1055;height:2" coordorigin="7518,3144" coordsize="1055,0" path="m7518,3144l8572,3144e" filled="false" stroked="true" strokeweight=".48pt" strokecolor="#000000">
                <v:path arrowok="t"/>
              </v:shape>
            </v:group>
            <v:group style="position:absolute;left:8582;top:3144;width:1054;height:2" coordorigin="8582,3144" coordsize="1054,2">
              <v:shape style="position:absolute;left:8582;top:3144;width:1054;height:2" coordorigin="8582,3144" coordsize="1054,0" path="m8582,3144l9636,3144e" filled="false" stroked="true" strokeweight=".48pt" strokecolor="#000000">
                <v:path arrowok="t"/>
              </v:shape>
            </v:group>
            <v:group style="position:absolute;left:9645;top:3144;width:1054;height:2" coordorigin="9645,3144" coordsize="1054,2">
              <v:shape style="position:absolute;left:9645;top:3144;width:1054;height:2" coordorigin="9645,3144" coordsize="1054,0" path="m9645,3144l10699,3144e" filled="false" stroked="true" strokeweight=".48pt" strokecolor="#000000">
                <v:path arrowok="t"/>
              </v:shape>
            </v:group>
            <v:group style="position:absolute;left:5394;top:4488;width:1055;height:468" coordorigin="5394,4488" coordsize="1055,468">
              <v:shape style="position:absolute;left:5394;top:4488;width:1055;height:468" coordorigin="5394,4488" coordsize="1055,468" path="m5394,4956l6448,4956,6448,4488,5394,4488,5394,4956xe" filled="true" fillcolor="#ffffff" stroked="false">
                <v:path arrowok="t"/>
                <v:fill type="solid"/>
              </v:shape>
            </v:group>
            <v:group style="position:absolute;left:1138;top:4484;width:1057;height:2" coordorigin="1138,4484" coordsize="1057,2">
              <v:shape style="position:absolute;left:1138;top:4484;width:1057;height:2" coordorigin="1138,4484" coordsize="1057,0" path="m1138,4484l2194,4484e" filled="false" stroked="true" strokeweight=".48pt" strokecolor="#000000">
                <v:path arrowok="t"/>
              </v:shape>
            </v:group>
            <v:group style="position:absolute;left:2204;top:4484;width:1054;height:2" coordorigin="2204,4484" coordsize="1054,2">
              <v:shape style="position:absolute;left:2204;top:4484;width:1054;height:2" coordorigin="2204,4484" coordsize="1054,0" path="m2204,4484l3257,4484e" filled="false" stroked="true" strokeweight=".48pt" strokecolor="#000000">
                <v:path arrowok="t"/>
              </v:shape>
            </v:group>
            <v:group style="position:absolute;left:3267;top:4484;width:1055;height:2" coordorigin="3267,4484" coordsize="1055,2">
              <v:shape style="position:absolute;left:3267;top:4484;width:1055;height:2" coordorigin="3267,4484" coordsize="1055,0" path="m3267,4484l4321,4484e" filled="false" stroked="true" strokeweight=".48pt" strokecolor="#000000">
                <v:path arrowok="t"/>
              </v:shape>
            </v:group>
            <v:group style="position:absolute;left:4331;top:4484;width:1054;height:2" coordorigin="4331,4484" coordsize="1054,2">
              <v:shape style="position:absolute;left:4331;top:4484;width:1054;height:2" coordorigin="4331,4484" coordsize="1054,0" path="m4331,4484l5384,4484e" filled="false" stroked="true" strokeweight=".48pt" strokecolor="#000000">
                <v:path arrowok="t"/>
              </v:shape>
            </v:group>
            <v:group style="position:absolute;left:5394;top:4484;width:1052;height:2" coordorigin="5394,4484" coordsize="1052,2">
              <v:shape style="position:absolute;left:5394;top:4484;width:1052;height:2" coordorigin="5394,4484" coordsize="1052,0" path="m5394,4484l6445,4484e" filled="false" stroked="true" strokeweight=".48pt" strokecolor="#000000">
                <v:path arrowok="t"/>
              </v:shape>
            </v:group>
            <v:group style="position:absolute;left:6455;top:4484;width:1054;height:2" coordorigin="6455,4484" coordsize="1054,2">
              <v:shape style="position:absolute;left:6455;top:4484;width:1054;height:2" coordorigin="6455,4484" coordsize="1054,0" path="m6455,4484l7509,4484e" filled="false" stroked="true" strokeweight=".48pt" strokecolor="#000000">
                <v:path arrowok="t"/>
              </v:shape>
            </v:group>
            <v:group style="position:absolute;left:7518;top:4484;width:1055;height:2" coordorigin="7518,4484" coordsize="1055,2">
              <v:shape style="position:absolute;left:7518;top:4484;width:1055;height:2" coordorigin="7518,4484" coordsize="1055,0" path="m7518,4484l8572,4484e" filled="false" stroked="true" strokeweight=".48pt" strokecolor="#000000">
                <v:path arrowok="t"/>
              </v:shape>
            </v:group>
            <v:group style="position:absolute;left:8582;top:4484;width:1054;height:2" coordorigin="8582,4484" coordsize="1054,2">
              <v:shape style="position:absolute;left:8582;top:4484;width:1054;height:2" coordorigin="8582,4484" coordsize="1054,0" path="m8582,4484l9636,4484e" filled="false" stroked="true" strokeweight=".48pt" strokecolor="#000000">
                <v:path arrowok="t"/>
              </v:shape>
            </v:group>
            <v:group style="position:absolute;left:9645;top:4484;width:1054;height:2" coordorigin="9645,4484" coordsize="1054,2">
              <v:shape style="position:absolute;left:9645;top:4484;width:1054;height:2" coordorigin="9645,4484" coordsize="1054,0" path="m9645,4484l10699,4484e" filled="false" stroked="true" strokeweight=".48pt" strokecolor="#000000">
                <v:path arrowok="t"/>
              </v:shape>
            </v:group>
            <v:group style="position:absolute;left:5394;top:5826;width:1055;height:468" coordorigin="5394,5826" coordsize="1055,468">
              <v:shape style="position:absolute;left:5394;top:5826;width:1055;height:468" coordorigin="5394,5826" coordsize="1055,468" path="m5394,6294l6448,6294,6448,5826,5394,5826,5394,6294xe" filled="true" fillcolor="#ffffff" stroked="false">
                <v:path arrowok="t"/>
                <v:fill type="solid"/>
              </v:shape>
            </v:group>
            <v:group style="position:absolute;left:1138;top:5821;width:1057;height:2" coordorigin="1138,5821" coordsize="1057,2">
              <v:shape style="position:absolute;left:1138;top:5821;width:1057;height:2" coordorigin="1138,5821" coordsize="1057,0" path="m1138,5821l2194,5821e" filled="false" stroked="true" strokeweight=".47998pt" strokecolor="#000000">
                <v:path arrowok="t"/>
              </v:shape>
            </v:group>
            <v:group style="position:absolute;left:2204;top:5821;width:1054;height:2" coordorigin="2204,5821" coordsize="1054,2">
              <v:shape style="position:absolute;left:2204;top:5821;width:1054;height:2" coordorigin="2204,5821" coordsize="1054,0" path="m2204,5821l3257,5821e" filled="false" stroked="true" strokeweight=".47998pt" strokecolor="#000000">
                <v:path arrowok="t"/>
              </v:shape>
            </v:group>
            <v:group style="position:absolute;left:3267;top:5821;width:1055;height:2" coordorigin="3267,5821" coordsize="1055,2">
              <v:shape style="position:absolute;left:3267;top:5821;width:1055;height:2" coordorigin="3267,5821" coordsize="1055,0" path="m3267,5821l4321,5821e" filled="false" stroked="true" strokeweight=".47998pt" strokecolor="#000000">
                <v:path arrowok="t"/>
              </v:shape>
            </v:group>
            <v:group style="position:absolute;left:4331;top:5821;width:1054;height:2" coordorigin="4331,5821" coordsize="1054,2">
              <v:shape style="position:absolute;left:4331;top:5821;width:1054;height:2" coordorigin="4331,5821" coordsize="1054,0" path="m4331,5821l5384,5821e" filled="false" stroked="true" strokeweight=".47998pt" strokecolor="#000000">
                <v:path arrowok="t"/>
              </v:shape>
            </v:group>
            <v:group style="position:absolute;left:5394;top:5821;width:1052;height:2" coordorigin="5394,5821" coordsize="1052,2">
              <v:shape style="position:absolute;left:5394;top:5821;width:1052;height:2" coordorigin="5394,5821" coordsize="1052,0" path="m5394,5821l6445,5821e" filled="false" stroked="true" strokeweight=".47998pt" strokecolor="#000000">
                <v:path arrowok="t"/>
              </v:shape>
            </v:group>
            <v:group style="position:absolute;left:6455;top:5821;width:1054;height:2" coordorigin="6455,5821" coordsize="1054,2">
              <v:shape style="position:absolute;left:6455;top:5821;width:1054;height:2" coordorigin="6455,5821" coordsize="1054,0" path="m6455,5821l7509,5821e" filled="false" stroked="true" strokeweight=".47998pt" strokecolor="#000000">
                <v:path arrowok="t"/>
              </v:shape>
            </v:group>
            <v:group style="position:absolute;left:7518;top:5821;width:1055;height:2" coordorigin="7518,5821" coordsize="1055,2">
              <v:shape style="position:absolute;left:7518;top:5821;width:1055;height:2" coordorigin="7518,5821" coordsize="1055,0" path="m7518,5821l8572,5821e" filled="false" stroked="true" strokeweight=".47998pt" strokecolor="#000000">
                <v:path arrowok="t"/>
              </v:shape>
            </v:group>
            <v:group style="position:absolute;left:8582;top:5821;width:1054;height:2" coordorigin="8582,5821" coordsize="1054,2">
              <v:shape style="position:absolute;left:8582;top:5821;width:1054;height:2" coordorigin="8582,5821" coordsize="1054,0" path="m8582,5821l9636,5821e" filled="false" stroked="true" strokeweight=".47998pt" strokecolor="#000000">
                <v:path arrowok="t"/>
              </v:shape>
            </v:group>
            <v:group style="position:absolute;left:9645;top:5821;width:1054;height:2" coordorigin="9645,5821" coordsize="1054,2">
              <v:shape style="position:absolute;left:9645;top:5821;width:1054;height:2" coordorigin="9645,5821" coordsize="1054,0" path="m9645,5821l10699,5821e" filled="false" stroked="true" strokeweight=".47998pt" strokecolor="#000000">
                <v:path arrowok="t"/>
              </v:shape>
            </v:group>
            <v:group style="position:absolute;left:1138;top:7160;width:1057;height:2" coordorigin="1138,7160" coordsize="1057,2">
              <v:shape style="position:absolute;left:1138;top:7160;width:1057;height:2" coordorigin="1138,7160" coordsize="1057,0" path="m1138,7160l2194,7160e" filled="false" stroked="true" strokeweight=".48001pt" strokecolor="#000000">
                <v:path arrowok="t"/>
              </v:shape>
            </v:group>
            <v:group style="position:absolute;left:2204;top:7160;width:1054;height:2" coordorigin="2204,7160" coordsize="1054,2">
              <v:shape style="position:absolute;left:2204;top:7160;width:1054;height:2" coordorigin="2204,7160" coordsize="1054,0" path="m2204,7160l3257,7160e" filled="false" stroked="true" strokeweight=".48001pt" strokecolor="#000000">
                <v:path arrowok="t"/>
              </v:shape>
            </v:group>
            <v:group style="position:absolute;left:3267;top:7160;width:1055;height:2" coordorigin="3267,7160" coordsize="1055,2">
              <v:shape style="position:absolute;left:3267;top:7160;width:1055;height:2" coordorigin="3267,7160" coordsize="1055,0" path="m3267,7160l4321,7160e" filled="false" stroked="true" strokeweight=".48001pt" strokecolor="#000000">
                <v:path arrowok="t"/>
              </v:shape>
            </v:group>
            <v:group style="position:absolute;left:4331;top:7160;width:1054;height:2" coordorigin="4331,7160" coordsize="1054,2">
              <v:shape style="position:absolute;left:4331;top:7160;width:1054;height:2" coordorigin="4331,7160" coordsize="1054,0" path="m4331,7160l5384,7160e" filled="false" stroked="true" strokeweight=".48001pt" strokecolor="#000000">
                <v:path arrowok="t"/>
              </v:shape>
            </v:group>
            <v:group style="position:absolute;left:5394;top:7160;width:1052;height:2" coordorigin="5394,7160" coordsize="1052,2">
              <v:shape style="position:absolute;left:5394;top:7160;width:1052;height:2" coordorigin="5394,7160" coordsize="1052,0" path="m5394,7160l6445,7160e" filled="false" stroked="true" strokeweight=".48001pt" strokecolor="#000000">
                <v:path arrowok="t"/>
              </v:shape>
            </v:group>
            <v:group style="position:absolute;left:6455;top:7160;width:1054;height:2" coordorigin="6455,7160" coordsize="1054,2">
              <v:shape style="position:absolute;left:6455;top:7160;width:1054;height:2" coordorigin="6455,7160" coordsize="1054,0" path="m6455,7160l7509,7160e" filled="false" stroked="true" strokeweight=".48001pt" strokecolor="#000000">
                <v:path arrowok="t"/>
              </v:shape>
            </v:group>
            <v:group style="position:absolute;left:7518;top:7160;width:1055;height:2" coordorigin="7518,7160" coordsize="1055,2">
              <v:shape style="position:absolute;left:7518;top:7160;width:1055;height:2" coordorigin="7518,7160" coordsize="1055,0" path="m7518,7160l8572,7160e" filled="false" stroked="true" strokeweight=".48001pt" strokecolor="#000000">
                <v:path arrowok="t"/>
              </v:shape>
            </v:group>
            <v:group style="position:absolute;left:8582;top:7160;width:1054;height:2" coordorigin="8582,7160" coordsize="1054,2">
              <v:shape style="position:absolute;left:8582;top:7160;width:1054;height:2" coordorigin="8582,7160" coordsize="1054,0" path="m8582,7160l9636,7160e" filled="false" stroked="true" strokeweight=".48001pt" strokecolor="#000000">
                <v:path arrowok="t"/>
              </v:shape>
            </v:group>
            <v:group style="position:absolute;left:9645;top:7160;width:1054;height:2" coordorigin="9645,7160" coordsize="1054,2">
              <v:shape style="position:absolute;left:9645;top:7160;width:1054;height:2" coordorigin="9645,7160" coordsize="1054,0" path="m9645,7160l10699,7160e" filled="false" stroked="true" strokeweight=".48001pt" strokecolor="#000000">
                <v:path arrowok="t"/>
              </v:shape>
            </v:group>
            <v:group style="position:absolute;left:1138;top:8809;width:1057;height:2" coordorigin="1138,8809" coordsize="1057,2">
              <v:shape style="position:absolute;left:1138;top:8809;width:1057;height:2" coordorigin="1138,8809" coordsize="1057,0" path="m1138,8809l2194,8809e" filled="false" stroked="true" strokeweight=".48001pt" strokecolor="#000000">
                <v:path arrowok="t"/>
              </v:shape>
            </v:group>
            <v:group style="position:absolute;left:2204;top:8809;width:1054;height:2" coordorigin="2204,8809" coordsize="1054,2">
              <v:shape style="position:absolute;left:2204;top:8809;width:1054;height:2" coordorigin="2204,8809" coordsize="1054,0" path="m2204,8809l3257,8809e" filled="false" stroked="true" strokeweight=".48001pt" strokecolor="#000000">
                <v:path arrowok="t"/>
              </v:shape>
            </v:group>
            <v:group style="position:absolute;left:3267;top:8809;width:1055;height:2" coordorigin="3267,8809" coordsize="1055,2">
              <v:shape style="position:absolute;left:3267;top:8809;width:1055;height:2" coordorigin="3267,8809" coordsize="1055,0" path="m3267,8809l4321,8809e" filled="false" stroked="true" strokeweight=".48001pt" strokecolor="#000000">
                <v:path arrowok="t"/>
              </v:shape>
            </v:group>
            <v:group style="position:absolute;left:4331;top:8809;width:1054;height:2" coordorigin="4331,8809" coordsize="1054,2">
              <v:shape style="position:absolute;left:4331;top:8809;width:1054;height:2" coordorigin="4331,8809" coordsize="1054,0" path="m4331,8809l5384,8809e" filled="false" stroked="true" strokeweight=".48001pt" strokecolor="#000000">
                <v:path arrowok="t"/>
              </v:shape>
            </v:group>
            <v:group style="position:absolute;left:5394;top:8809;width:1052;height:2" coordorigin="5394,8809" coordsize="1052,2">
              <v:shape style="position:absolute;left:5394;top:8809;width:1052;height:2" coordorigin="5394,8809" coordsize="1052,0" path="m5394,8809l6445,8809e" filled="false" stroked="true" strokeweight=".48001pt" strokecolor="#000000">
                <v:path arrowok="t"/>
              </v:shape>
            </v:group>
            <v:group style="position:absolute;left:6455;top:8809;width:1054;height:2" coordorigin="6455,8809" coordsize="1054,2">
              <v:shape style="position:absolute;left:6455;top:8809;width:1054;height:2" coordorigin="6455,8809" coordsize="1054,0" path="m6455,8809l7509,8809e" filled="false" stroked="true" strokeweight=".48001pt" strokecolor="#000000">
                <v:path arrowok="t"/>
              </v:shape>
            </v:group>
            <v:group style="position:absolute;left:7518;top:8809;width:1055;height:2" coordorigin="7518,8809" coordsize="1055,2">
              <v:shape style="position:absolute;left:7518;top:8809;width:1055;height:2" coordorigin="7518,8809" coordsize="1055,0" path="m7518,8809l8572,8809e" filled="false" stroked="true" strokeweight=".48001pt" strokecolor="#000000">
                <v:path arrowok="t"/>
              </v:shape>
            </v:group>
            <v:group style="position:absolute;left:8582;top:8809;width:1054;height:2" coordorigin="8582,8809" coordsize="1054,2">
              <v:shape style="position:absolute;left:8582;top:8809;width:1054;height:2" coordorigin="8582,8809" coordsize="1054,0" path="m8582,8809l9636,8809e" filled="false" stroked="true" strokeweight=".48001pt" strokecolor="#000000">
                <v:path arrowok="t"/>
              </v:shape>
            </v:group>
            <v:group style="position:absolute;left:9645;top:8809;width:1054;height:2" coordorigin="9645,8809" coordsize="1054,2">
              <v:shape style="position:absolute;left:9645;top:8809;width:1054;height:2" coordorigin="9645,8809" coordsize="1054,0" path="m9645,8809l10699,8809e" filled="false" stroked="true" strokeweight=".48001pt" strokecolor="#000000">
                <v:path arrowok="t"/>
              </v:shape>
            </v:group>
            <v:group style="position:absolute;left:5394;top:10465;width:1055;height:624" coordorigin="5394,10465" coordsize="1055,624">
              <v:shape style="position:absolute;left:5394;top:10465;width:1055;height:624" coordorigin="5394,10465" coordsize="1055,624" path="m5394,11089l6448,11089,6448,10465,5394,10465,5394,11089xe" filled="true" fillcolor="#ffffff" stroked="false">
                <v:path arrowok="t"/>
                <v:fill type="solid"/>
              </v:shape>
            </v:group>
            <v:group style="position:absolute;left:1138;top:10461;width:1057;height:2" coordorigin="1138,10461" coordsize="1057,2">
              <v:shape style="position:absolute;left:1138;top:10461;width:1057;height:2" coordorigin="1138,10461" coordsize="1057,0" path="m1138,10461l2194,10461e" filled="false" stroked="true" strokeweight=".48004pt" strokecolor="#000000">
                <v:path arrowok="t"/>
              </v:shape>
            </v:group>
            <v:group style="position:absolute;left:2204;top:10461;width:1054;height:2" coordorigin="2204,10461" coordsize="1054,2">
              <v:shape style="position:absolute;left:2204;top:10461;width:1054;height:2" coordorigin="2204,10461" coordsize="1054,0" path="m2204,10461l3257,10461e" filled="false" stroked="true" strokeweight=".48004pt" strokecolor="#000000">
                <v:path arrowok="t"/>
              </v:shape>
            </v:group>
            <v:group style="position:absolute;left:3267;top:10461;width:1055;height:2" coordorigin="3267,10461" coordsize="1055,2">
              <v:shape style="position:absolute;left:3267;top:10461;width:1055;height:2" coordorigin="3267,10461" coordsize="1055,0" path="m3267,10461l4321,10461e" filled="false" stroked="true" strokeweight=".48004pt" strokecolor="#000000">
                <v:path arrowok="t"/>
              </v:shape>
            </v:group>
            <v:group style="position:absolute;left:4331;top:10461;width:1054;height:2" coordorigin="4331,10461" coordsize="1054,2">
              <v:shape style="position:absolute;left:4331;top:10461;width:1054;height:2" coordorigin="4331,10461" coordsize="1054,0" path="m4331,10461l5384,10461e" filled="false" stroked="true" strokeweight=".48004pt" strokecolor="#000000">
                <v:path arrowok="t"/>
              </v:shape>
            </v:group>
            <v:group style="position:absolute;left:5394;top:10461;width:1052;height:2" coordorigin="5394,10461" coordsize="1052,2">
              <v:shape style="position:absolute;left:5394;top:10461;width:1052;height:2" coordorigin="5394,10461" coordsize="1052,0" path="m5394,10461l6445,10461e" filled="false" stroked="true" strokeweight=".48004pt" strokecolor="#000000">
                <v:path arrowok="t"/>
              </v:shape>
            </v:group>
            <v:group style="position:absolute;left:6455;top:10461;width:1054;height:2" coordorigin="6455,10461" coordsize="1054,2">
              <v:shape style="position:absolute;left:6455;top:10461;width:1054;height:2" coordorigin="6455,10461" coordsize="1054,0" path="m6455,10461l7509,10461e" filled="false" stroked="true" strokeweight=".48004pt" strokecolor="#000000">
                <v:path arrowok="t"/>
              </v:shape>
            </v:group>
            <v:group style="position:absolute;left:7518;top:10461;width:1055;height:2" coordorigin="7518,10461" coordsize="1055,2">
              <v:shape style="position:absolute;left:7518;top:10461;width:1055;height:2" coordorigin="7518,10461" coordsize="1055,0" path="m7518,10461l8572,10461e" filled="false" stroked="true" strokeweight=".48004pt" strokecolor="#000000">
                <v:path arrowok="t"/>
              </v:shape>
            </v:group>
            <v:group style="position:absolute;left:8582;top:10461;width:1054;height:2" coordorigin="8582,10461" coordsize="1054,2">
              <v:shape style="position:absolute;left:8582;top:10461;width:1054;height:2" coordorigin="8582,10461" coordsize="1054,0" path="m8582,10461l9636,10461e" filled="false" stroked="true" strokeweight=".48004pt" strokecolor="#000000">
                <v:path arrowok="t"/>
              </v:shape>
            </v:group>
            <v:group style="position:absolute;left:9645;top:10461;width:1054;height:2" coordorigin="9645,10461" coordsize="1054,2">
              <v:shape style="position:absolute;left:9645;top:10461;width:1054;height:2" coordorigin="9645,10461" coordsize="1054,0" path="m9645,10461l10699,10461e" filled="false" stroked="true" strokeweight=".48004pt" strokecolor="#000000">
                <v:path arrowok="t"/>
              </v:shape>
            </v:group>
            <v:group style="position:absolute;left:5394;top:12115;width:1055;height:468" coordorigin="5394,12115" coordsize="1055,468">
              <v:shape style="position:absolute;left:5394;top:12115;width:1055;height:468" coordorigin="5394,12115" coordsize="1055,468" path="m5394,12583l6448,12583,6448,12115,5394,12115,5394,12583xe" filled="true" fillcolor="#ffffff" stroked="false">
                <v:path arrowok="t"/>
                <v:fill type="solid"/>
              </v:shape>
            </v:group>
            <v:group style="position:absolute;left:1138;top:12110;width:1057;height:2" coordorigin="1138,12110" coordsize="1057,2">
              <v:shape style="position:absolute;left:1138;top:12110;width:1057;height:2" coordorigin="1138,12110" coordsize="1057,0" path="m1138,12110l2194,12110e" filled="false" stroked="true" strokeweight=".48004pt" strokecolor="#000000">
                <v:path arrowok="t"/>
              </v:shape>
            </v:group>
            <v:group style="position:absolute;left:2204;top:12110;width:1054;height:2" coordorigin="2204,12110" coordsize="1054,2">
              <v:shape style="position:absolute;left:2204;top:12110;width:1054;height:2" coordorigin="2204,12110" coordsize="1054,0" path="m2204,12110l3257,12110e" filled="false" stroked="true" strokeweight=".48004pt" strokecolor="#000000">
                <v:path arrowok="t"/>
              </v:shape>
            </v:group>
            <v:group style="position:absolute;left:3267;top:12110;width:1055;height:2" coordorigin="3267,12110" coordsize="1055,2">
              <v:shape style="position:absolute;left:3267;top:12110;width:1055;height:2" coordorigin="3267,12110" coordsize="1055,0" path="m3267,12110l4321,12110e" filled="false" stroked="true" strokeweight=".48004pt" strokecolor="#000000">
                <v:path arrowok="t"/>
              </v:shape>
            </v:group>
            <v:group style="position:absolute;left:4331;top:12110;width:1054;height:2" coordorigin="4331,12110" coordsize="1054,2">
              <v:shape style="position:absolute;left:4331;top:12110;width:1054;height:2" coordorigin="4331,12110" coordsize="1054,0" path="m4331,12110l5384,12110e" filled="false" stroked="true" strokeweight=".48004pt" strokecolor="#000000">
                <v:path arrowok="t"/>
              </v:shape>
            </v:group>
            <v:group style="position:absolute;left:5394;top:12110;width:1052;height:2" coordorigin="5394,12110" coordsize="1052,2">
              <v:shape style="position:absolute;left:5394;top:12110;width:1052;height:2" coordorigin="5394,12110" coordsize="1052,0" path="m5394,12110l6445,12110e" filled="false" stroked="true" strokeweight=".48004pt" strokecolor="#000000">
                <v:path arrowok="t"/>
              </v:shape>
            </v:group>
            <v:group style="position:absolute;left:6455;top:12110;width:1054;height:2" coordorigin="6455,12110" coordsize="1054,2">
              <v:shape style="position:absolute;left:6455;top:12110;width:1054;height:2" coordorigin="6455,12110" coordsize="1054,0" path="m6455,12110l7509,12110e" filled="false" stroked="true" strokeweight=".48004pt" strokecolor="#000000">
                <v:path arrowok="t"/>
              </v:shape>
            </v:group>
            <v:group style="position:absolute;left:7518;top:12110;width:1055;height:2" coordorigin="7518,12110" coordsize="1055,2">
              <v:shape style="position:absolute;left:7518;top:12110;width:1055;height:2" coordorigin="7518,12110" coordsize="1055,0" path="m7518,12110l8572,12110e" filled="false" stroked="true" strokeweight=".48004pt" strokecolor="#000000">
                <v:path arrowok="t"/>
              </v:shape>
            </v:group>
            <v:group style="position:absolute;left:8582;top:12110;width:1054;height:2" coordorigin="8582,12110" coordsize="1054,2">
              <v:shape style="position:absolute;left:8582;top:12110;width:1054;height:2" coordorigin="8582,12110" coordsize="1054,0" path="m8582,12110l9636,12110e" filled="false" stroked="true" strokeweight=".48004pt" strokecolor="#000000">
                <v:path arrowok="t"/>
              </v:shape>
            </v:group>
            <v:group style="position:absolute;left:9645;top:12110;width:1054;height:2" coordorigin="9645,12110" coordsize="1054,2">
              <v:shape style="position:absolute;left:9645;top:12110;width:1054;height:2" coordorigin="9645,12110" coordsize="1054,0" path="m9645,12110l10699,12110e" filled="false" stroked="true" strokeweight=".48004pt" strokecolor="#000000">
                <v:path arrowok="t"/>
              </v:shape>
            </v:group>
            <v:group style="position:absolute;left:1138;top:13449;width:1057;height:2" coordorigin="1138,13449" coordsize="1057,2">
              <v:shape style="position:absolute;left:1138;top:13449;width:1057;height:2" coordorigin="1138,13449" coordsize="1057,0" path="m1138,13449l2194,13449e" filled="false" stroked="true" strokeweight=".47998pt" strokecolor="#000000">
                <v:path arrowok="t"/>
              </v:shape>
            </v:group>
            <v:group style="position:absolute;left:2204;top:13449;width:1054;height:2" coordorigin="2204,13449" coordsize="1054,2">
              <v:shape style="position:absolute;left:2204;top:13449;width:1054;height:2" coordorigin="2204,13449" coordsize="1054,0" path="m2204,13449l3257,13449e" filled="false" stroked="true" strokeweight=".47998pt" strokecolor="#000000">
                <v:path arrowok="t"/>
              </v:shape>
            </v:group>
            <v:group style="position:absolute;left:3267;top:13449;width:1055;height:2" coordorigin="3267,13449" coordsize="1055,2">
              <v:shape style="position:absolute;left:3267;top:13449;width:1055;height:2" coordorigin="3267,13449" coordsize="1055,0" path="m3267,13449l4321,13449e" filled="false" stroked="true" strokeweight=".47998pt" strokecolor="#000000">
                <v:path arrowok="t"/>
              </v:shape>
            </v:group>
            <v:group style="position:absolute;left:4331;top:13449;width:1054;height:2" coordorigin="4331,13449" coordsize="1054,2">
              <v:shape style="position:absolute;left:4331;top:13449;width:1054;height:2" coordorigin="4331,13449" coordsize="1054,0" path="m4331,13449l5384,13449e" filled="false" stroked="true" strokeweight=".47998pt" strokecolor="#000000">
                <v:path arrowok="t"/>
              </v:shape>
            </v:group>
            <v:group style="position:absolute;left:5394;top:13449;width:1052;height:2" coordorigin="5394,13449" coordsize="1052,2">
              <v:shape style="position:absolute;left:5394;top:13449;width:1052;height:2" coordorigin="5394,13449" coordsize="1052,0" path="m5394,13449l6445,13449e" filled="false" stroked="true" strokeweight=".47998pt" strokecolor="#000000">
                <v:path arrowok="t"/>
              </v:shape>
            </v:group>
            <v:group style="position:absolute;left:6455;top:13449;width:1054;height:2" coordorigin="6455,13449" coordsize="1054,2">
              <v:shape style="position:absolute;left:6455;top:13449;width:1054;height:2" coordorigin="6455,13449" coordsize="1054,0" path="m6455,13449l7509,13449e" filled="false" stroked="true" strokeweight=".47998pt" strokecolor="#000000">
                <v:path arrowok="t"/>
              </v:shape>
            </v:group>
            <v:group style="position:absolute;left:7518;top:13449;width:1055;height:2" coordorigin="7518,13449" coordsize="1055,2">
              <v:shape style="position:absolute;left:7518;top:13449;width:1055;height:2" coordorigin="7518,13449" coordsize="1055,0" path="m7518,13449l8572,13449e" filled="false" stroked="true" strokeweight=".47998pt" strokecolor="#000000">
                <v:path arrowok="t"/>
              </v:shape>
            </v:group>
            <v:group style="position:absolute;left:8582;top:13449;width:1054;height:2" coordorigin="8582,13449" coordsize="1054,2">
              <v:shape style="position:absolute;left:8582;top:13449;width:1054;height:2" coordorigin="8582,13449" coordsize="1054,0" path="m8582,13449l9636,13449e" filled="false" stroked="true" strokeweight=".47998pt" strokecolor="#000000">
                <v:path arrowok="t"/>
              </v:shape>
            </v:group>
            <v:group style="position:absolute;left:9645;top:13449;width:1054;height:2" coordorigin="9645,13449" coordsize="1054,2">
              <v:shape style="position:absolute;left:9645;top:13449;width:1054;height:2" coordorigin="9645,13449" coordsize="1054,0" path="m9645,13449l10699,13449e" filled="false" stroked="true" strokeweight=".47998pt" strokecolor="#000000">
                <v:path arrowok="t"/>
              </v:shape>
            </v:group>
            <v:group style="position:absolute;left:1133;top:1440;width:2;height:13663" coordorigin="1133,1440" coordsize="2,13663">
              <v:shape style="position:absolute;left:1133;top:1440;width:2;height:13663" coordorigin="1133,1440" coordsize="0,13663" path="m1133,1440l1133,15103e" filled="false" stroked="true" strokeweight=".48pt" strokecolor="#000000">
                <v:path arrowok="t"/>
              </v:shape>
            </v:group>
            <v:group style="position:absolute;left:1138;top:15098;width:1057;height:2" coordorigin="1138,15098" coordsize="1057,2">
              <v:shape style="position:absolute;left:1138;top:15098;width:1057;height:2" coordorigin="1138,15098" coordsize="1057,0" path="m1138,15098l2194,15098e" filled="false" stroked="true" strokeweight=".47998pt" strokecolor="#000000">
                <v:path arrowok="t"/>
              </v:shape>
            </v:group>
            <v:group style="position:absolute;left:2199;top:1440;width:2;height:13663" coordorigin="2199,1440" coordsize="2,13663">
              <v:shape style="position:absolute;left:2199;top:1440;width:2;height:13663" coordorigin="2199,1440" coordsize="0,13663" path="m2199,1440l2199,15103e" filled="false" stroked="true" strokeweight=".48pt" strokecolor="#000000">
                <v:path arrowok="t"/>
              </v:shape>
            </v:group>
            <v:group style="position:absolute;left:2204;top:15098;width:1054;height:2" coordorigin="2204,15098" coordsize="1054,2">
              <v:shape style="position:absolute;left:2204;top:15098;width:1054;height:2" coordorigin="2204,15098" coordsize="1054,0" path="m2204,15098l3257,15098e" filled="false" stroked="true" strokeweight=".47998pt" strokecolor="#000000">
                <v:path arrowok="t"/>
              </v:shape>
            </v:group>
            <v:group style="position:absolute;left:3262;top:1440;width:2;height:13663" coordorigin="3262,1440" coordsize="2,13663">
              <v:shape style="position:absolute;left:3262;top:1440;width:2;height:13663" coordorigin="3262,1440" coordsize="0,13663" path="m3262,1440l3262,15103e" filled="false" stroked="true" strokeweight=".48pt" strokecolor="#000000">
                <v:path arrowok="t"/>
              </v:shape>
            </v:group>
            <v:group style="position:absolute;left:3267;top:15098;width:1055;height:2" coordorigin="3267,15098" coordsize="1055,2">
              <v:shape style="position:absolute;left:3267;top:15098;width:1055;height:2" coordorigin="3267,15098" coordsize="1055,0" path="m3267,15098l4321,15098e" filled="false" stroked="true" strokeweight=".47998pt" strokecolor="#000000">
                <v:path arrowok="t"/>
              </v:shape>
            </v:group>
            <v:group style="position:absolute;left:4326;top:1440;width:2;height:13663" coordorigin="4326,1440" coordsize="2,13663">
              <v:shape style="position:absolute;left:4326;top:1440;width:2;height:13663" coordorigin="4326,1440" coordsize="0,13663" path="m4326,1440l4326,15103e" filled="false" stroked="true" strokeweight=".48pt" strokecolor="#000000">
                <v:path arrowok="t"/>
              </v:shape>
            </v:group>
            <v:group style="position:absolute;left:4331;top:15098;width:1054;height:2" coordorigin="4331,15098" coordsize="1054,2">
              <v:shape style="position:absolute;left:4331;top:15098;width:1054;height:2" coordorigin="4331,15098" coordsize="1054,0" path="m4331,15098l5384,15098e" filled="false" stroked="true" strokeweight=".47998pt" strokecolor="#000000">
                <v:path arrowok="t"/>
              </v:shape>
            </v:group>
            <v:group style="position:absolute;left:5389;top:1440;width:2;height:13663" coordorigin="5389,1440" coordsize="2,13663">
              <v:shape style="position:absolute;left:5389;top:1440;width:2;height:13663" coordorigin="5389,1440" coordsize="0,13663" path="m5389,1440l5389,15103e" filled="false" stroked="true" strokeweight=".47998pt" strokecolor="#000000">
                <v:path arrowok="t"/>
              </v:shape>
            </v:group>
            <v:group style="position:absolute;left:5394;top:15098;width:1052;height:2" coordorigin="5394,15098" coordsize="1052,2">
              <v:shape style="position:absolute;left:5394;top:15098;width:1052;height:2" coordorigin="5394,15098" coordsize="1052,0" path="m5394,15098l6445,15098e" filled="false" stroked="true" strokeweight=".47998pt" strokecolor="#000000">
                <v:path arrowok="t"/>
              </v:shape>
            </v:group>
            <v:group style="position:absolute;left:6450;top:1440;width:2;height:13663" coordorigin="6450,1440" coordsize="2,13663">
              <v:shape style="position:absolute;left:6450;top:1440;width:2;height:13663" coordorigin="6450,1440" coordsize="0,13663" path="m6450,1440l6450,15103e" filled="false" stroked="true" strokeweight=".48001pt" strokecolor="#000000">
                <v:path arrowok="t"/>
              </v:shape>
            </v:group>
            <v:group style="position:absolute;left:6455;top:15098;width:1054;height:2" coordorigin="6455,15098" coordsize="1054,2">
              <v:shape style="position:absolute;left:6455;top:15098;width:1054;height:2" coordorigin="6455,15098" coordsize="1054,0" path="m6455,15098l7509,15098e" filled="false" stroked="true" strokeweight=".47998pt" strokecolor="#000000">
                <v:path arrowok="t"/>
              </v:shape>
            </v:group>
            <v:group style="position:absolute;left:7513;top:1440;width:2;height:13663" coordorigin="7513,1440" coordsize="2,13663">
              <v:shape style="position:absolute;left:7513;top:1440;width:2;height:13663" coordorigin="7513,1440" coordsize="0,13663" path="m7513,1440l7513,15103e" filled="false" stroked="true" strokeweight=".48001pt" strokecolor="#000000">
                <v:path arrowok="t"/>
              </v:shape>
            </v:group>
            <v:group style="position:absolute;left:7518;top:15098;width:1055;height:2" coordorigin="7518,15098" coordsize="1055,2">
              <v:shape style="position:absolute;left:7518;top:15098;width:1055;height:2" coordorigin="7518,15098" coordsize="1055,0" path="m7518,15098l8572,15098e" filled="false" stroked="true" strokeweight=".47998pt" strokecolor="#000000">
                <v:path arrowok="t"/>
              </v:shape>
            </v:group>
            <v:group style="position:absolute;left:8577;top:1440;width:2;height:13663" coordorigin="8577,1440" coordsize="2,13663">
              <v:shape style="position:absolute;left:8577;top:1440;width:2;height:13663" coordorigin="8577,1440" coordsize="0,13663" path="m8577,1440l8577,15103e" filled="false" stroked="true" strokeweight=".48001pt" strokecolor="#000000">
                <v:path arrowok="t"/>
              </v:shape>
            </v:group>
            <v:group style="position:absolute;left:8582;top:15098;width:1054;height:2" coordorigin="8582,15098" coordsize="1054,2">
              <v:shape style="position:absolute;left:8582;top:15098;width:1054;height:2" coordorigin="8582,15098" coordsize="1054,0" path="m8582,15098l9636,15098e" filled="false" stroked="true" strokeweight=".47998pt" strokecolor="#000000">
                <v:path arrowok="t"/>
              </v:shape>
            </v:group>
            <v:group style="position:absolute;left:9640;top:1440;width:2;height:13663" coordorigin="9640,1440" coordsize="2,13663">
              <v:shape style="position:absolute;left:9640;top:1440;width:2;height:13663" coordorigin="9640,1440" coordsize="0,13663" path="m9640,1440l9640,15103e" filled="false" stroked="true" strokeweight=".48001pt" strokecolor="#000000">
                <v:path arrowok="t"/>
              </v:shape>
            </v:group>
            <v:group style="position:absolute;left:9645;top:15098;width:1054;height:2" coordorigin="9645,15098" coordsize="1054,2">
              <v:shape style="position:absolute;left:9645;top:15098;width:1054;height:2" coordorigin="9645,15098" coordsize="1054,0" path="m9645,15098l10699,15098e" filled="false" stroked="true" strokeweight=".47998pt" strokecolor="#000000">
                <v:path arrowok="t"/>
              </v:shape>
            </v:group>
            <v:group style="position:absolute;left:10704;top:1440;width:2;height:13663" coordorigin="10704,1440" coordsize="2,13663">
              <v:shape style="position:absolute;left:10704;top:1440;width:2;height:13663" coordorigin="10704,1440" coordsize="0,13663" path="m10704,1440l10704,15103e" filled="false" stroked="true" strokeweight=".47998pt" strokecolor="#000000">
                <v:path arrowok="t"/>
              </v:shape>
            </v:group>
            <w10:wrap type="none"/>
          </v:group>
        </w:pict>
      </w:r>
    </w:p>
    <w:p>
      <w:pPr>
        <w:pStyle w:val="BodyText"/>
        <w:spacing w:line="309" w:lineRule="auto" w:before="121"/>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年外贸 稳增长奖励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77" w:right="0"/>
        <w:jc w:val="left"/>
      </w:pPr>
      <w:r>
        <w:rPr/>
        <w:t>广陵区财政</w:t>
      </w:r>
    </w:p>
    <w:p>
      <w:pPr>
        <w:pStyle w:val="BodyText"/>
        <w:spacing w:line="156" w:lineRule="exact"/>
        <w:ind w:left="0" w:right="0"/>
        <w:jc w:val="right"/>
      </w:pPr>
      <w:r>
        <w:rPr/>
        <w:t>补助</w:t>
      </w:r>
    </w:p>
    <w:p>
      <w:pPr>
        <w:pStyle w:val="BodyText"/>
        <w:spacing w:line="196" w:lineRule="exact"/>
        <w:ind w:left="77" w:right="0"/>
        <w:jc w:val="left"/>
      </w:pPr>
      <w:r>
        <w:rPr/>
        <w:t>局</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99" w:val="left" w:leader="none"/>
        </w:tabs>
        <w:spacing w:line="240" w:lineRule="auto"/>
        <w:ind w:left="123" w:right="0"/>
        <w:jc w:val="left"/>
      </w:pPr>
      <w:r>
        <w:rPr/>
        <w:t>是</w:t>
        <w:tab/>
        <w:t>否</w:t>
        <w:tab/>
      </w:r>
      <w:r>
        <w:rPr>
          <w:rFonts w:ascii="Times New Roman" w:hAnsi="Times New Roman" w:cs="Times New Roman" w:eastAsia="Times New Roman" w:hint="default"/>
        </w:rPr>
        <w:t>20,000.00</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40" w:bottom="1160" w:left="980" w:right="0"/>
          <w:cols w:num="4" w:equalWidth="0">
            <w:col w:w="1131" w:space="40"/>
            <w:col w:w="1501" w:space="522"/>
            <w:col w:w="1082" w:space="40"/>
            <w:col w:w="6614"/>
          </w:cols>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4" w:right="83"/>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小升规</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企业财政专 项资金奖励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年余杭 区开放型经 济专项资金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余杭区就业 管理服务处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29"/>
              <w:jc w:val="both"/>
              <w:rPr>
                <w:rFonts w:ascii="宋体" w:hAnsi="宋体" w:cs="宋体" w:eastAsia="宋体" w:hint="default"/>
                <w:sz w:val="18"/>
                <w:szCs w:val="18"/>
              </w:rPr>
            </w:pPr>
            <w:r>
              <w:rPr>
                <w:rFonts w:ascii="宋体" w:hAnsi="宋体" w:cs="宋体" w:eastAsia="宋体" w:hint="default"/>
                <w:sz w:val="18"/>
                <w:szCs w:val="18"/>
              </w:rPr>
              <w:t>杭州余杭经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杭州余杭经 济技术开发 区管理委员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414,948.81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724,509.82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687,348.81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2,721,948.82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33"/>
        <w:jc w:val="left"/>
      </w:pPr>
      <w:r>
        <w:rPr/>
        <w:pict>
          <v:group style="position:absolute;margin-left:269.690002pt;margin-top:-86.998283pt;width:52.75pt;height:23.4pt;mso-position-horizontal-relative:page;mso-position-vertical-relative:paragraph;z-index:-1079488" coordorigin="5394,-1740" coordsize="1055,468">
            <v:shape style="position:absolute;left:5394;top:-1740;width:1055;height:468" coordorigin="5394,-1740" coordsize="1055,468" path="m5394,-1272l6448,-1272,6448,-1740,5394,-1740,5394,-1272xe" filled="true" fillcolor="#ffffff" stroked="false">
              <v:path arrowok="t"/>
              <v:fill type="solid"/>
            </v:shape>
            <w10:wrap type="none"/>
          </v:group>
        </w:pict>
      </w:r>
      <w:r>
        <w:rPr/>
        <w:t>其他说明：</w:t>
      </w:r>
    </w:p>
    <w:p>
      <w:pPr>
        <w:pStyle w:val="BodyText"/>
        <w:spacing w:line="240" w:lineRule="auto" w:before="115"/>
        <w:ind w:left="573" w:right="1133"/>
        <w:jc w:val="left"/>
      </w:pPr>
      <w:r>
        <w:rPr/>
        <w:t>本期计入营业外收入的政府补助情况详见本财务报表附注合并财务报表项目注释其他之政府补助说明。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605"/>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1,204.22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1,204.22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92,184.19</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387.88</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1,316,426.05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839,376.34</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1,316,426.05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161,779.67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196,209.93</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161,779.67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1,511,797.82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1,147,770.46</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1,511,797.82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25,926,752.76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27,463,886.39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-4,713,601.25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-2,881,253.62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21,213,151.51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24,582,632.77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162,177,820.94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41,198,469.44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-188,938.98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4,092,899.69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-685,074.97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13,035,632.30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适用优惠税率的影响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-26,111,619.43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-8,684,386.91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权益法确认的投资收益</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270,261.63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-1,714,091.26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21,213,151.51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详见附注本财务报表附注合并资产负债表项目注释之其他综合收益说明</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15,802,985.45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24,246,565.82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收到的活期利息收入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2,171,568.06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1,443,081.68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收到的押金及代垫款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13,005,260.00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收回的票据、保函保证金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7,694,964.00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收到的房租及水电费收入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5,856,259.24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6,923,753.30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278,443.41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665,976.05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44,809,480.16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40,938,176.85</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32,113,720.41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41,482,111.59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9,454,168.65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6,540,710.40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12,065,833.58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10,146,429.65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43,523,919.53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31,253,899.96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2,384,480.95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2,832,153.68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24,709,711.79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15,542,137.74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2,162,269.96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2,796,279.25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44,647,279.58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17,919,451.72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支付的票据、保函保证金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18,462,145.80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4,108,145.03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874,132.00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14,620,396.59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7,732,122.69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208,252,071.87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137,119,428.68</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3,322,720.12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94,364,780.26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取得子公司支付的现金净额负数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693,042.49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收回的借款及利息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94,364,780.26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111,515,762.61</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106,169,955.94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106,169,955.94</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福费廷融资手续费及保函费用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6,672,201.17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8,072,201.17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140,964,669.43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131,174,808.48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40,919,336.46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66,662,952.81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39,726,455.93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37,637,524.84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15,395,936.62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11,151,054.37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8,282,630.70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7,850,674.35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20,364.76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-285,194.95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1,316,426.05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839,376.34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8,301,882.37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r>
        <w:rPr/>
        <w:pict>
          <v:group style="position:absolute;margin-left:223.369995pt;margin-top:112.159981pt;width:151.25pt;height:20.65pt;mso-position-horizontal-relative:page;mso-position-vertical-relative:page;z-index:-1079464" coordorigin="4467,2243" coordsize="3025,413">
            <v:group style="position:absolute;left:4478;top:2254;width:2;height:392" coordorigin="4478,2254" coordsize="2,392">
              <v:shape style="position:absolute;left:4478;top:2254;width:2;height:392" coordorigin="4478,2254" coordsize="0,392" path="m4478,2254l4478,2645e" filled="false" stroked="true" strokeweight="1.08pt" strokecolor="#ffffff">
                <v:path arrowok="t"/>
              </v:shape>
            </v:group>
            <v:group style="position:absolute;left:4489;top:2254;width:3003;height:392" coordorigin="4489,2254" coordsize="3003,392">
              <v:shape style="position:absolute;left:4489;top:2254;width:3003;height:392" coordorigin="4489,2254" coordsize="3003,392" path="m4489,2645l7492,2645,7492,2254,4489,2254,4489,264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40,459,955.78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19,185,303.85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1,618,189.74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-16,269,597.88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-4,713,601.25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-2,891,154.35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29,745,621.78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-16,622,549.84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-362,122,688.16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-131,628,781.55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39,344,225.45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68,582,419.45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6,792,000.20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-2,250,476.51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183,688,718.29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468,158,593.60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425,757,370.45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425,757,370.45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690,788,109.70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42,401,223.15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-265,030,739.25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7"/>
        <w:gridCol w:w="458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11,543,770.96</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11,543,770.96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11,543,770.96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468,158,593.60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425,757,370.45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180,763.84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288,634.19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467,864,678.74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425,446,693.83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113,151.02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22,042.43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468,158,593.60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425,757,370.45</w:t>
            </w:r>
          </w:p>
        </w:tc>
      </w:tr>
    </w:tbl>
    <w:p>
      <w:pPr>
        <w:pStyle w:val="BodyText"/>
        <w:spacing w:line="240" w:lineRule="auto" w:before="49"/>
        <w:ind w:right="1133"/>
        <w:jc w:val="left"/>
      </w:pPr>
      <w:r>
        <w:rPr/>
        <w:t>其他说明：</w:t>
      </w:r>
    </w:p>
    <w:p>
      <w:pPr>
        <w:pStyle w:val="BodyText"/>
        <w:spacing w:line="240" w:lineRule="auto" w:before="118"/>
        <w:ind w:left="573" w:right="1133"/>
        <w:jc w:val="left"/>
      </w:pPr>
      <w:r>
        <w:rPr/>
        <w:t>不属于现金及现金等价物的货币资金情况的说明：</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637"/>
        <w:gridCol w:w="1630"/>
        <w:gridCol w:w="1620"/>
        <w:gridCol w:w="1635"/>
        <w:gridCol w:w="2835"/>
      </w:tblGrid>
      <w:tr>
        <w:trPr>
          <w:trHeight w:val="34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时点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left"/>
              <w:rPr>
                <w:rFonts w:ascii="宋体" w:hAnsi="宋体" w:cs="宋体" w:eastAsia="宋体" w:hint="default"/>
                <w:sz w:val="18"/>
                <w:szCs w:val="18"/>
              </w:rPr>
            </w:pPr>
            <w:r>
              <w:rPr>
                <w:rFonts w:ascii="宋体" w:hAnsi="宋体" w:cs="宋体" w:eastAsia="宋体" w:hint="default"/>
                <w:sz w:val="18"/>
                <w:szCs w:val="18"/>
              </w:rPr>
              <w:t>现金流量表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2" w:right="0"/>
              <w:jc w:val="left"/>
              <w:rPr>
                <w:rFonts w:ascii="宋体" w:hAnsi="宋体" w:cs="宋体" w:eastAsia="宋体" w:hint="default"/>
                <w:sz w:val="18"/>
                <w:szCs w:val="18"/>
              </w:rPr>
            </w:pPr>
            <w:r>
              <w:rPr>
                <w:rFonts w:ascii="宋体" w:hAnsi="宋体" w:cs="宋体" w:eastAsia="宋体" w:hint="default"/>
                <w:sz w:val="18"/>
                <w:szCs w:val="18"/>
              </w:rPr>
              <w:t>资产负债表</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1"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差异内容</w:t>
            </w:r>
          </w:p>
        </w:tc>
      </w:tr>
      <w:tr>
        <w:trPr>
          <w:trHeight w:val="348"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425,757,370.45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429,625,738.95</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3,868,368.50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差异系保函保证金</w:t>
            </w:r>
          </w:p>
        </w:tc>
      </w:tr>
      <w:tr>
        <w:trPr>
          <w:trHeight w:val="66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468,158,593.60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482,794,143.90</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14,635,550.30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58"/>
              <w:jc w:val="left"/>
              <w:rPr>
                <w:rFonts w:ascii="宋体" w:hAnsi="宋体" w:cs="宋体" w:eastAsia="宋体" w:hint="default"/>
                <w:sz w:val="18"/>
                <w:szCs w:val="18"/>
              </w:rPr>
            </w:pPr>
            <w:r>
              <w:rPr>
                <w:rFonts w:ascii="宋体" w:hAnsi="宋体" w:cs="宋体" w:eastAsia="宋体" w:hint="default"/>
                <w:sz w:val="18"/>
                <w:szCs w:val="18"/>
              </w:rPr>
              <w:t>承兑汇票保证金</w:t>
            </w:r>
            <w:r>
              <w:rPr>
                <w:rFonts w:ascii="Times New Roman" w:hAnsi="Times New Roman" w:cs="Times New Roman" w:eastAsia="Times New Roman" w:hint="default"/>
                <w:sz w:val="18"/>
                <w:szCs w:val="18"/>
              </w:rPr>
              <w:t>12,656,550.00</w:t>
            </w:r>
            <w:r>
              <w:rPr>
                <w:rFonts w:ascii="宋体" w:hAnsi="宋体" w:cs="宋体" w:eastAsia="宋体" w:hint="default"/>
                <w:sz w:val="18"/>
                <w:szCs w:val="18"/>
              </w:rPr>
              <w:t>元， 信用证保证金</w:t>
            </w:r>
            <w:r>
              <w:rPr>
                <w:rFonts w:ascii="Times New Roman" w:hAnsi="Times New Roman" w:cs="Times New Roman" w:eastAsia="Times New Roman" w:hint="default"/>
                <w:sz w:val="18"/>
                <w:szCs w:val="18"/>
              </w:rPr>
              <w:t>1,979,000.30</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spacing w:line="547" w:lineRule="auto" w:before="36"/>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222"/>
        <w:jc w:val="right"/>
      </w:pP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7pt;margin-top:-20.888294pt;width:478.7pt;height:60.8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3"/>
                    <w:gridCol w:w="1712"/>
                    <w:gridCol w:w="5034"/>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14,635,550.30</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承兑汇票保证金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信用证保证金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14,635,550.30</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4"/>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16,937,489.70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116,245,379.31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1,109,295.07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8,704,971.20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13,174,775.74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11,543,738.50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1,056,923,346.00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10,357,848.79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329,855.61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251,152.06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14,760,375.52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101,303,409.27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934,558.93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7,333,764.29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31,240,503.50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27,372,929.17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845,237,474.00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8,283,327.25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135,316.97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928,707.43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54,816.11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430,158.46</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1,643,377.35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1,439,927.23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178,889,804.00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1,753,120.08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5,330.00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0.7614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4,058.26</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71,514,544.00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124,191,369.80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1,994,760.65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13,690,441.29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74,351.24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583,456.49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29,885.64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175,858,589.00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1,723,414.17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30,014.39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270,017.12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45,115.54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93,814,322.00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919,380.36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0.7614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45,684.00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55,935,080.00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102,948,000.00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371"/>
        <w:gridCol w:w="1416"/>
        <w:gridCol w:w="1606"/>
        <w:gridCol w:w="2365"/>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境外经营实体</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38"/>
              <w:jc w:val="center"/>
              <w:rPr>
                <w:rFonts w:ascii="宋体" w:hAnsi="宋体" w:cs="宋体" w:eastAsia="宋体" w:hint="default"/>
                <w:sz w:val="18"/>
                <w:szCs w:val="18"/>
              </w:rPr>
            </w:pPr>
            <w:r>
              <w:rPr>
                <w:rFonts w:ascii="宋体" w:hAnsi="宋体" w:cs="宋体" w:eastAsia="宋体" w:hint="default"/>
                <w:sz w:val="18"/>
                <w:szCs w:val="18"/>
              </w:rPr>
              <w:t>选择记账本位币的依据</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Century Retail Europe</w:t>
            </w:r>
            <w:r>
              <w:rPr>
                <w:rFonts w:ascii="Times New Roman"/>
                <w:spacing w:val="-5"/>
                <w:sz w:val="18"/>
              </w:rPr>
              <w:t> </w:t>
            </w:r>
            <w:r>
              <w:rPr>
                <w:rFonts w:ascii="Times New Roman"/>
                <w:sz w:val="18"/>
              </w:rPr>
              <w:t>B.V.</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Century Link</w:t>
            </w:r>
            <w:r>
              <w:rPr>
                <w:rFonts w:ascii="Times New Roman"/>
                <w:spacing w:val="-6"/>
                <w:sz w:val="18"/>
              </w:rPr>
              <w:t> </w:t>
            </w:r>
            <w:r>
              <w:rPr>
                <w:rFonts w:ascii="Times New Roman"/>
                <w:sz w:val="18"/>
              </w:rPr>
              <w:t>America</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Century Europe</w:t>
            </w:r>
            <w:r>
              <w:rPr>
                <w:rFonts w:ascii="Times New Roman"/>
                <w:spacing w:val="-4"/>
                <w:sz w:val="18"/>
              </w:rPr>
              <w:t> </w:t>
            </w:r>
            <w:r>
              <w:rPr>
                <w:rFonts w:ascii="Times New Roman"/>
                <w:sz w:val="18"/>
              </w:rPr>
              <w:t>AB</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瑞典</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瑞典克朗</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宋体" w:hAnsi="宋体" w:cs="宋体" w:eastAsia="宋体" w:hint="default"/>
                <w:sz w:val="18"/>
                <w:szCs w:val="18"/>
              </w:rPr>
              <w:t>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智利</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智利比索</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EWELL HONGKONG</w:t>
            </w:r>
            <w:r>
              <w:rPr>
                <w:rFonts w:ascii="Times New Roman"/>
                <w:spacing w:val="-7"/>
                <w:sz w:val="18"/>
              </w:rPr>
              <w:t> </w:t>
            </w:r>
            <w:r>
              <w:rPr>
                <w:rFonts w:ascii="Times New Roman"/>
                <w:sz w:val="18"/>
              </w:rPr>
              <w:t>LIMITED</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07"/>
              <w:jc w:val="center"/>
              <w:rPr>
                <w:rFonts w:ascii="宋体" w:hAnsi="宋体" w:cs="宋体" w:eastAsia="宋体" w:hint="default"/>
                <w:sz w:val="18"/>
                <w:szCs w:val="18"/>
              </w:rPr>
            </w:pPr>
            <w:r>
              <w:rPr>
                <w:rFonts w:ascii="宋体" w:hAnsi="宋体" w:cs="宋体" w:eastAsia="宋体" w:hint="default"/>
                <w:sz w:val="18"/>
                <w:szCs w:val="18"/>
              </w:rPr>
              <w:t>经营所在地主要货币</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4"/>
        <w:gridCol w:w="1985"/>
        <w:gridCol w:w="1419"/>
        <w:gridCol w:w="1913"/>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医用超高频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标签的研发及产业化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2,095,238.10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2,095,238.10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年上城区第四批信息创新平台发展项目资助资金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基于互联网和物联网技术的区域健康云平台资助经费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2,679,300.00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年瞪羚企业资助资金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1,112,100.00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1,112,100.00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年省级研发机构奖励资金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绿扬金凤计划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年度高新技术企业专项补助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年度中央外经贸发展专项资金补助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年度外贸出口信用保险保费项目补助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278,600.00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年度广陵区工业和信息化转型升级专项资金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滨江区人才办房租补贴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224,548.00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224,548.00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年度地方经济重要贡献企业奖励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小微企业</w:t>
            </w:r>
            <w:r>
              <w:rPr>
                <w:rFonts w:ascii="Times New Roman" w:hAnsi="Times New Roman" w:cs="Times New Roman" w:eastAsia="Times New Roman" w:hint="default"/>
                <w:sz w:val="18"/>
                <w:szCs w:val="18"/>
              </w:rPr>
              <w:t>"</w:t>
            </w:r>
            <w:r>
              <w:rPr>
                <w:rFonts w:ascii="宋体" w:hAnsi="宋体" w:cs="宋体" w:eastAsia="宋体" w:hint="default"/>
                <w:sz w:val="18"/>
                <w:szCs w:val="18"/>
              </w:rPr>
              <w:t>企业补助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浙江大学穿戴式科研费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年度外贸出口信用保险保费项目补助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4254"/>
        <w:gridCol w:w="1985"/>
        <w:gridCol w:w="1419"/>
        <w:gridCol w:w="1913"/>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天河区产业发展专项资金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年商务发展专项资金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年上城区企业创新券补助兑现资金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74,482.00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74,482.00</w:t>
            </w:r>
          </w:p>
        </w:tc>
      </w:tr>
      <w:tr>
        <w:trPr>
          <w:trHeight w:val="71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年杭州市十八届中国专利奖、国家知识产权示范 优势企业、企业贯标、企业数据政策兑现资助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年上城区第三批知识产权专项资金资助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年度余杭区开放型经济发展专项资金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年广陵区汤汪乡专利资助奖励资金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浙江省级科技型中小企业和科技发展专项资金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上城区知识产权专项资金补助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广陵区工业和信息化先进企业补助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年扬州市专利资助奖励资金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年度出口信用资信调查费用项目补助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606,406.64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606,406.64</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414,948.81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414,948.81</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15,592,023.55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15,592,023.55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1"/>
        <w:ind w:right="1133"/>
        <w:jc w:val="left"/>
      </w:pPr>
      <w:r>
        <w:rPr/>
        <w:t>本期计入当期损益的政府补助金额为</w:t>
      </w:r>
      <w:r>
        <w:rPr>
          <w:rFonts w:ascii="Times New Roman" w:hAnsi="Times New Roman" w:cs="Times New Roman" w:eastAsia="Times New Roman" w:hint="default"/>
        </w:rPr>
        <w:t>15,592,023.55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2"/>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7"/>
              <w:jc w:val="left"/>
              <w:rPr>
                <w:rFonts w:ascii="Times New Roman" w:hAnsi="Times New Roman" w:cs="Times New Roman" w:eastAsia="Times New Roman" w:hint="default"/>
                <w:sz w:val="18"/>
                <w:szCs w:val="18"/>
              </w:rPr>
            </w:pPr>
            <w:r>
              <w:rPr>
                <w:rFonts w:ascii="Times New Roman"/>
                <w:sz w:val="18"/>
              </w:rPr>
              <w:t>Sun</w:t>
            </w:r>
            <w:r>
              <w:rPr>
                <w:rFonts w:ascii="Times New Roman"/>
                <w:spacing w:val="-5"/>
                <w:sz w:val="18"/>
              </w:rPr>
              <w:t> </w:t>
            </w:r>
            <w:r>
              <w:rPr>
                <w:rFonts w:ascii="Times New Roman"/>
                <w:sz w:val="18"/>
              </w:rPr>
              <w:t>Pacific</w:t>
            </w:r>
            <w:r>
              <w:rPr>
                <w:rFonts w:ascii="Times New Roman"/>
                <w:sz w:val="18"/>
              </w:rPr>
              <w:t> Link</w:t>
            </w:r>
            <w:r>
              <w:rPr>
                <w:rFonts w:ascii="Times New Roman"/>
                <w:spacing w:val="-7"/>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3,329,560.00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财产权交接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3,329,560.00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3,329,560.00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3,329,560.00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3,329,560.00</w:t>
            </w:r>
          </w:p>
        </w:tc>
      </w:tr>
    </w:tbl>
    <w:p>
      <w:pPr>
        <w:pStyle w:val="BodyText"/>
        <w:spacing w:line="360" w:lineRule="auto" w:before="49"/>
        <w:ind w:right="6074"/>
        <w:jc w:val="left"/>
      </w:pPr>
      <w:r>
        <w:rPr/>
        <w:t>合并成本公允价值的确定方法、或有对价及其变动的说明： 大额商誉形成的主要原因：</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2,038,470.54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1,314,300.00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3,329,560.00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1,291,089.46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3,329,560.00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1,291,089.46</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0"/>
        <w:gridCol w:w="1061"/>
        <w:gridCol w:w="1064"/>
        <w:gridCol w:w="1075"/>
        <w:gridCol w:w="1054"/>
        <w:gridCol w:w="1063"/>
        <w:gridCol w:w="1065"/>
        <w:gridCol w:w="1064"/>
        <w:gridCol w:w="1051"/>
      </w:tblGrid>
      <w:tr>
        <w:trPr>
          <w:trHeight w:val="161" w:hRule="exact"/>
        </w:trPr>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5" w:right="73"/>
              <w:jc w:val="left"/>
              <w:rPr>
                <w:rFonts w:ascii="宋体" w:hAnsi="宋体" w:cs="宋体" w:eastAsia="宋体" w:hint="default"/>
                <w:sz w:val="18"/>
                <w:szCs w:val="18"/>
              </w:rPr>
            </w:pPr>
            <w:r>
              <w:rPr>
                <w:rFonts w:ascii="宋体" w:hAnsi="宋体" w:cs="宋体" w:eastAsia="宋体" w:hint="default"/>
                <w:sz w:val="18"/>
                <w:szCs w:val="18"/>
              </w:rPr>
              <w:t>企业合并中 取得的权益</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5" w:right="76"/>
              <w:jc w:val="left"/>
              <w:rPr>
                <w:rFonts w:ascii="宋体" w:hAnsi="宋体" w:cs="宋体" w:eastAsia="宋体" w:hint="default"/>
                <w:sz w:val="18"/>
                <w:szCs w:val="18"/>
              </w:rPr>
            </w:pPr>
            <w:r>
              <w:rPr>
                <w:rFonts w:ascii="宋体" w:hAnsi="宋体" w:cs="宋体" w:eastAsia="宋体" w:hint="default"/>
                <w:sz w:val="18"/>
                <w:szCs w:val="18"/>
              </w:rPr>
              <w:t>构成同一控 制下企业合</w:t>
            </w: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5" w:right="76"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5" w:right="76"/>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5" w:right="77"/>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6" w:right="77"/>
              <w:jc w:val="left"/>
              <w:rPr>
                <w:rFonts w:ascii="宋体" w:hAnsi="宋体" w:cs="宋体" w:eastAsia="宋体" w:hint="default"/>
                <w:sz w:val="18"/>
                <w:szCs w:val="18"/>
              </w:rPr>
            </w:pPr>
            <w:r>
              <w:rPr>
                <w:rFonts w:ascii="宋体" w:hAnsi="宋体" w:cs="宋体" w:eastAsia="宋体" w:hint="default"/>
                <w:sz w:val="18"/>
                <w:szCs w:val="18"/>
              </w:rPr>
              <w:t>比较期间被 合并方的收</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5" w:right="65"/>
              <w:jc w:val="left"/>
              <w:rPr>
                <w:rFonts w:ascii="宋体" w:hAnsi="宋体" w:cs="宋体" w:eastAsia="宋体" w:hint="default"/>
                <w:sz w:val="18"/>
                <w:szCs w:val="18"/>
              </w:rPr>
            </w:pPr>
            <w:r>
              <w:rPr>
                <w:rFonts w:ascii="宋体" w:hAnsi="宋体" w:cs="宋体" w:eastAsia="宋体" w:hint="default"/>
                <w:sz w:val="18"/>
                <w:szCs w:val="18"/>
              </w:rPr>
              <w:t>比较期间被 合并方的净</w:t>
            </w:r>
          </w:p>
        </w:tc>
      </w:tr>
      <w:tr>
        <w:trPr>
          <w:trHeight w:val="391" w:hRule="exact"/>
        </w:trPr>
        <w:tc>
          <w:tcPr>
            <w:tcW w:w="1050"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5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r>
      <w:tr>
        <w:trPr>
          <w:trHeight w:val="161" w:hRule="exact"/>
        </w:trPr>
        <w:tc>
          <w:tcPr>
            <w:tcW w:w="1050"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3"/>
      </w:tblGrid>
      <w:tr>
        <w:trPr>
          <w:trHeight w:val="675"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8" w:right="74" w:hanging="272"/>
              <w:jc w:val="left"/>
              <w:rPr>
                <w:rFonts w:ascii="宋体" w:hAnsi="宋体" w:cs="宋体" w:eastAsia="宋体" w:hint="default"/>
                <w:sz w:val="18"/>
                <w:szCs w:val="18"/>
              </w:rPr>
            </w:pPr>
            <w:r>
              <w:rPr>
                <w:rFonts w:ascii="宋体" w:hAnsi="宋体" w:cs="宋体" w:eastAsia="宋体" w:hint="default"/>
                <w:sz w:val="18"/>
                <w:szCs w:val="18"/>
              </w:rPr>
              <w:t>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56" w:right="75" w:hanging="180"/>
              <w:jc w:val="left"/>
              <w:rPr>
                <w:rFonts w:ascii="宋体" w:hAnsi="宋体" w:cs="宋体" w:eastAsia="宋体" w:hint="default"/>
                <w:sz w:val="18"/>
                <w:szCs w:val="18"/>
              </w:rPr>
            </w:pPr>
            <w:r>
              <w:rPr>
                <w:rFonts w:ascii="宋体" w:hAnsi="宋体" w:cs="宋体" w:eastAsia="宋体" w:hint="default"/>
                <w:sz w:val="18"/>
                <w:szCs w:val="18"/>
              </w:rPr>
              <w:t>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或有对价及其变动的说明：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514"/>
        <w:jc w:val="left"/>
      </w:pPr>
      <w:r>
        <w:rPr/>
        <w:t>企业合并中承担的被合并方的或有负债：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73" w:right="3914" w:hanging="421"/>
        <w:jc w:val="left"/>
      </w:pPr>
      <w:r>
        <w:rPr/>
        <w:t>说明其他原因导致的合并范围变动（如，新设子公司、清算子公司等）及其相关情况： 合并范围增加</w:t>
      </w:r>
    </w:p>
    <w:tbl>
      <w:tblPr>
        <w:tblW w:w="0" w:type="auto"/>
        <w:jc w:val="left"/>
        <w:tblInd w:w="145" w:type="dxa"/>
        <w:tblLayout w:type="fixed"/>
        <w:tblCellMar>
          <w:top w:w="0" w:type="dxa"/>
          <w:left w:w="0" w:type="dxa"/>
          <w:bottom w:w="0" w:type="dxa"/>
          <w:right w:w="0" w:type="dxa"/>
        </w:tblCellMar>
        <w:tblLook w:val="01E0"/>
      </w:tblPr>
      <w:tblGrid>
        <w:gridCol w:w="3404"/>
        <w:gridCol w:w="1274"/>
        <w:gridCol w:w="1385"/>
        <w:gridCol w:w="1558"/>
        <w:gridCol w:w="1277"/>
      </w:tblGrid>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江苏瑞康医惠医疗投资管理有限公司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490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5" w:right="0"/>
              <w:jc w:val="center"/>
              <w:rPr>
                <w:rFonts w:ascii="Times New Roman" w:hAnsi="Times New Roman" w:cs="Times New Roman" w:eastAsia="Times New Roman" w:hint="default"/>
                <w:sz w:val="18"/>
                <w:szCs w:val="18"/>
              </w:rPr>
            </w:pPr>
            <w:r>
              <w:rPr>
                <w:rFonts w:ascii="Times New Roman"/>
                <w:sz w:val="18"/>
              </w:rPr>
              <w:t>49.00%</w:t>
            </w:r>
          </w:p>
        </w:tc>
      </w:tr>
      <w:tr>
        <w:trPr>
          <w:trHeight w:val="346"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无锡市仁医医疗人工智能研究院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349"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杭州联源智能科技有限公司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5" w:right="0"/>
              <w:jc w:val="center"/>
              <w:rPr>
                <w:rFonts w:ascii="Times New Roman" w:hAnsi="Times New Roman" w:cs="Times New Roman" w:eastAsia="Times New Roman" w:hint="default"/>
                <w:sz w:val="18"/>
                <w:szCs w:val="18"/>
              </w:rPr>
            </w:pPr>
            <w:r>
              <w:rPr>
                <w:rFonts w:ascii="Times New Roman"/>
                <w:sz w:val="18"/>
              </w:rPr>
              <w:t>75.00%</w:t>
            </w:r>
          </w:p>
        </w:tc>
      </w:tr>
      <w:tr>
        <w:trPr>
          <w:trHeight w:val="346"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医惠科技（南京）有限公司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5" w:right="0"/>
              <w:jc w:val="center"/>
              <w:rPr>
                <w:rFonts w:ascii="Times New Roman" w:hAnsi="Times New Roman" w:cs="Times New Roman" w:eastAsia="Times New Roman" w:hint="default"/>
                <w:sz w:val="18"/>
                <w:szCs w:val="18"/>
              </w:rPr>
            </w:pPr>
            <w:r>
              <w:rPr>
                <w:rFonts w:ascii="Times New Roman"/>
                <w:sz w:val="18"/>
              </w:rPr>
              <w:t>60.00%</w:t>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杭州中瑞思创智能科技有限公司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 w:right="0"/>
              <w:jc w:val="center"/>
              <w:rPr>
                <w:rFonts w:ascii="Times New Roman" w:hAnsi="Times New Roman" w:cs="Times New Roman" w:eastAsia="Times New Roman" w:hint="default"/>
                <w:sz w:val="18"/>
                <w:szCs w:val="18"/>
              </w:rPr>
            </w:pPr>
            <w:r>
              <w:rPr>
                <w:rFonts w:ascii="Times New Roman"/>
                <w:sz w:val="18"/>
              </w:rPr>
              <w:t>60.00%</w:t>
            </w:r>
          </w:p>
        </w:tc>
      </w:tr>
      <w:tr>
        <w:trPr>
          <w:trHeight w:val="346"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杭州好睡眠医疗投资管理有限公司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5" w:right="0"/>
              <w:jc w:val="center"/>
              <w:rPr>
                <w:rFonts w:ascii="Times New Roman" w:hAnsi="Times New Roman" w:cs="Times New Roman" w:eastAsia="Times New Roman" w:hint="default"/>
                <w:sz w:val="18"/>
                <w:szCs w:val="18"/>
              </w:rPr>
            </w:pPr>
            <w:r>
              <w:rPr>
                <w:rFonts w:ascii="Times New Roman"/>
                <w:sz w:val="18"/>
              </w:rPr>
              <w:t>52.00%</w:t>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杭州思力普诊所有限公司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 w:right="0"/>
              <w:jc w:val="center"/>
              <w:rPr>
                <w:rFonts w:ascii="Times New Roman" w:hAnsi="Times New Roman" w:cs="Times New Roman" w:eastAsia="Times New Roman" w:hint="default"/>
                <w:sz w:val="18"/>
                <w:szCs w:val="18"/>
              </w:rPr>
            </w:pPr>
            <w:r>
              <w:rPr>
                <w:rFonts w:ascii="Times New Roman"/>
                <w:sz w:val="18"/>
              </w:rPr>
              <w:t>52.00%</w:t>
            </w:r>
          </w:p>
        </w:tc>
      </w:tr>
    </w:tbl>
    <w:p>
      <w:pPr>
        <w:pStyle w:val="Heading5"/>
        <w:spacing w:line="242" w:lineRule="exact" w:before="0"/>
        <w:ind w:left="573" w:right="0"/>
        <w:jc w:val="left"/>
      </w:pPr>
      <w:r>
        <w:rPr/>
        <w:t>注</w:t>
      </w:r>
      <w:r>
        <w:rPr>
          <w:rFonts w:ascii="宋体" w:hAnsi="宋体" w:cs="宋体" w:eastAsia="宋体" w:hint="default"/>
        </w:rPr>
        <w:t>1</w:t>
      </w:r>
      <w:r>
        <w:rPr/>
        <w:t>：江苏瑞康医惠医疗投资管理有限公司注册资本为</w:t>
      </w:r>
      <w:r>
        <w:rPr>
          <w:rFonts w:ascii="宋体" w:hAnsi="宋体" w:cs="宋体" w:eastAsia="宋体" w:hint="default"/>
        </w:rPr>
        <w:t>1,000</w:t>
      </w:r>
      <w:r>
        <w:rPr/>
        <w:t>万元，子公司医惠科技公司认缴</w:t>
      </w:r>
      <w:r>
        <w:rPr>
          <w:rFonts w:ascii="宋体" w:hAnsi="宋体" w:cs="宋体" w:eastAsia="宋体" w:hint="default"/>
        </w:rPr>
        <w:t>490</w:t>
      </w:r>
      <w:r>
        <w:rPr/>
        <w:t>万元，</w:t>
      </w:r>
    </w:p>
    <w:p>
      <w:pPr>
        <w:pStyle w:val="Heading5"/>
        <w:spacing w:line="273" w:lineRule="auto" w:before="37"/>
        <w:ind w:left="573" w:right="1133" w:hanging="421"/>
        <w:jc w:val="left"/>
        <w:rPr>
          <w:rFonts w:ascii="宋体" w:hAnsi="宋体" w:cs="宋体" w:eastAsia="宋体" w:hint="default"/>
        </w:rPr>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245</w:t>
      </w:r>
      <w:r>
        <w:rPr/>
        <w:t>万元。</w:t>
      </w:r>
      <w:r>
        <w:rPr>
          <w:w w:val="100"/>
        </w:rPr>
        <w:t> </w:t>
      </w:r>
      <w:r>
        <w:rPr/>
        <w:t>注</w:t>
      </w:r>
      <w:r>
        <w:rPr>
          <w:rFonts w:ascii="宋体" w:hAnsi="宋体" w:cs="宋体" w:eastAsia="宋体" w:hint="default"/>
        </w:rPr>
        <w:t>2</w:t>
      </w:r>
      <w:r>
        <w:rPr/>
        <w:t>：杭州联源智能科技有限公司注册资本为</w:t>
      </w:r>
      <w:r>
        <w:rPr>
          <w:rFonts w:ascii="宋体" w:hAnsi="宋体" w:cs="宋体" w:eastAsia="宋体" w:hint="default"/>
        </w:rPr>
        <w:t>500</w:t>
      </w:r>
      <w:r>
        <w:rPr/>
        <w:t>万元，子公司医惠科技公司认缴</w:t>
      </w:r>
      <w:r>
        <w:rPr>
          <w:rFonts w:ascii="宋体" w:hAnsi="宋体" w:cs="宋体" w:eastAsia="宋体" w:hint="default"/>
        </w:rPr>
        <w:t>375</w:t>
      </w:r>
      <w:r>
        <w:rPr/>
        <w:t>万元，截至</w:t>
      </w:r>
      <w:r>
        <w:rPr>
          <w:rFonts w:ascii="宋体" w:hAnsi="宋体" w:cs="宋体" w:eastAsia="宋体" w:hint="default"/>
        </w:rPr>
        <w:t>2018</w:t>
      </w:r>
    </w:p>
    <w:p>
      <w:pPr>
        <w:pStyle w:val="Heading5"/>
        <w:spacing w:line="273" w:lineRule="auto"/>
        <w:ind w:left="573" w:right="1133" w:hanging="421"/>
        <w:jc w:val="left"/>
        <w:rPr>
          <w:rFonts w:ascii="宋体" w:hAnsi="宋体" w:cs="宋体" w:eastAsia="宋体" w:hint="default"/>
        </w:rPr>
      </w:pP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180</w:t>
      </w:r>
      <w:r>
        <w:rPr/>
        <w:t>万元。</w:t>
      </w:r>
      <w:r>
        <w:rPr>
          <w:w w:val="100"/>
        </w:rPr>
        <w:t> </w:t>
      </w:r>
      <w:r>
        <w:rPr/>
        <w:t>注</w:t>
      </w:r>
      <w:r>
        <w:rPr>
          <w:rFonts w:ascii="宋体" w:hAnsi="宋体" w:cs="宋体" w:eastAsia="宋体" w:hint="default"/>
        </w:rPr>
        <w:t>3</w:t>
      </w:r>
      <w:r>
        <w:rPr/>
        <w:t>：医惠科技（南京）有限公司注册资本为</w:t>
      </w:r>
      <w:r>
        <w:rPr>
          <w:rFonts w:ascii="宋体" w:hAnsi="宋体" w:cs="宋体" w:eastAsia="宋体" w:hint="default"/>
        </w:rPr>
        <w:t>500</w:t>
      </w:r>
      <w:r>
        <w:rPr/>
        <w:t>万元，子公司医惠科技公司认缴</w:t>
      </w:r>
      <w:r>
        <w:rPr>
          <w:rFonts w:ascii="宋体" w:hAnsi="宋体" w:cs="宋体" w:eastAsia="宋体" w:hint="default"/>
        </w:rPr>
        <w:t>300</w:t>
      </w:r>
      <w:r>
        <w:rPr/>
        <w:t>万元，截至</w:t>
      </w:r>
      <w:r>
        <w:rPr>
          <w:rFonts w:ascii="宋体" w:hAnsi="宋体" w:cs="宋体" w:eastAsia="宋体" w:hint="default"/>
        </w:rPr>
        <w:t>2018</w:t>
      </w:r>
    </w:p>
    <w:p>
      <w:pPr>
        <w:spacing w:after="0" w:line="273" w:lineRule="auto"/>
        <w:jc w:val="left"/>
        <w:rPr>
          <w:rFonts w:ascii="宋体" w:hAnsi="宋体" w:cs="宋体" w:eastAsia="宋体" w:hint="default"/>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5"/>
        <w:spacing w:line="273" w:lineRule="auto" w:before="36"/>
        <w:ind w:left="573" w:right="1133" w:hanging="421"/>
        <w:jc w:val="left"/>
      </w:pP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60</w:t>
      </w:r>
      <w:r>
        <w:rPr/>
        <w:t>万元。</w:t>
      </w:r>
      <w:r>
        <w:rPr>
          <w:w w:val="100"/>
        </w:rPr>
        <w:t> </w:t>
      </w:r>
      <w:r>
        <w:rPr/>
        <w:t>注</w:t>
      </w:r>
      <w:r>
        <w:rPr>
          <w:rFonts w:ascii="宋体" w:hAnsi="宋体" w:cs="宋体" w:eastAsia="宋体" w:hint="default"/>
        </w:rPr>
        <w:t>4</w:t>
      </w:r>
      <w:r>
        <w:rPr/>
        <w:t>：杭州中瑞思创智能科技有限公司注册资本为</w:t>
      </w:r>
      <w:r>
        <w:rPr>
          <w:rFonts w:ascii="宋体" w:hAnsi="宋体" w:cs="宋体" w:eastAsia="宋体" w:hint="default"/>
        </w:rPr>
        <w:t>500</w:t>
      </w:r>
      <w:r>
        <w:rPr/>
        <w:t>万元，子公司思创汇联科技有限公司认缴</w:t>
      </w:r>
      <w:r>
        <w:rPr>
          <w:rFonts w:ascii="宋体" w:hAnsi="宋体" w:cs="宋体" w:eastAsia="宋体" w:hint="default"/>
        </w:rPr>
        <w:t>300</w:t>
      </w:r>
      <w:r>
        <w:rPr/>
        <w:t>万</w:t>
      </w:r>
    </w:p>
    <w:p>
      <w:pPr>
        <w:pStyle w:val="Heading5"/>
        <w:spacing w:line="273" w:lineRule="auto"/>
        <w:ind w:left="573" w:right="1133" w:hanging="421"/>
        <w:jc w:val="left"/>
        <w:rPr>
          <w:rFonts w:ascii="宋体" w:hAnsi="宋体" w:cs="宋体" w:eastAsia="宋体" w:hint="default"/>
        </w:rPr>
      </w:pP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10</w:t>
      </w:r>
      <w:r>
        <w:rPr/>
        <w:t>万元。</w:t>
      </w:r>
      <w:r>
        <w:rPr>
          <w:w w:val="100"/>
        </w:rPr>
        <w:t> </w:t>
      </w:r>
      <w:r>
        <w:rPr/>
        <w:t>注</w:t>
      </w:r>
      <w:r>
        <w:rPr>
          <w:rFonts w:ascii="宋体" w:hAnsi="宋体" w:cs="宋体" w:eastAsia="宋体" w:hint="default"/>
        </w:rPr>
        <w:t>5</w:t>
      </w:r>
      <w:r>
        <w:rPr/>
        <w:t>：杭州好睡眠医疗投资管理有限公司注册资本为</w:t>
      </w:r>
      <w:r>
        <w:rPr>
          <w:rFonts w:ascii="宋体" w:hAnsi="宋体" w:cs="宋体" w:eastAsia="宋体" w:hint="default"/>
        </w:rPr>
        <w:t>300</w:t>
      </w:r>
      <w:r>
        <w:rPr/>
        <w:t>万元，子公司杭州琅玕科技有限公司认缴</w:t>
      </w:r>
      <w:r>
        <w:rPr>
          <w:rFonts w:ascii="宋体" w:hAnsi="宋体" w:cs="宋体" w:eastAsia="宋体" w:hint="default"/>
        </w:rPr>
        <w:t>300</w:t>
      </w:r>
    </w:p>
    <w:p>
      <w:pPr>
        <w:pStyle w:val="Heading5"/>
        <w:spacing w:line="307" w:lineRule="auto"/>
        <w:ind w:left="573" w:right="1133" w:hanging="421"/>
        <w:jc w:val="left"/>
        <w:rPr>
          <w:rFonts w:ascii="宋体" w:hAnsi="宋体" w:cs="宋体" w:eastAsia="宋体" w:hint="default"/>
        </w:rPr>
      </w:pPr>
      <w:r>
        <w:rPr/>
        <w:t>万元，截至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220.05</w:t>
      </w:r>
      <w:r>
        <w:rPr/>
        <w:t>万元。</w:t>
      </w:r>
      <w:r>
        <w:rPr>
          <w:w w:val="100"/>
        </w:rPr>
        <w:t> </w:t>
      </w:r>
      <w:r>
        <w:rPr>
          <w:spacing w:val="-4"/>
        </w:rPr>
        <w:t>注</w:t>
      </w:r>
      <w:r>
        <w:rPr>
          <w:rFonts w:ascii="宋体" w:hAnsi="宋体" w:cs="宋体" w:eastAsia="宋体" w:hint="default"/>
          <w:spacing w:val="-4"/>
        </w:rPr>
        <w:t>6</w:t>
      </w:r>
      <w:r>
        <w:rPr>
          <w:spacing w:val="-4"/>
        </w:rPr>
        <w:t>：杭州思力普诊所有限公司注册资本为</w:t>
      </w:r>
      <w:r>
        <w:rPr>
          <w:rFonts w:ascii="宋体" w:hAnsi="宋体" w:cs="宋体" w:eastAsia="宋体" w:hint="default"/>
          <w:spacing w:val="-4"/>
        </w:rPr>
        <w:t>100</w:t>
      </w:r>
      <w:r>
        <w:rPr>
          <w:spacing w:val="-4"/>
        </w:rPr>
        <w:t>万元，子公司杭州好睡眠医疗投资管理有限公司认缴</w:t>
      </w:r>
      <w:r>
        <w:rPr>
          <w:rFonts w:ascii="宋体" w:hAnsi="宋体" w:cs="宋体" w:eastAsia="宋体" w:hint="default"/>
          <w:spacing w:val="-4"/>
        </w:rPr>
        <w:t>100</w:t>
      </w:r>
    </w:p>
    <w:p>
      <w:pPr>
        <w:pStyle w:val="Heading5"/>
        <w:spacing w:line="253" w:lineRule="exact" w:before="0"/>
        <w:ind w:right="1133"/>
        <w:jc w:val="left"/>
      </w:pPr>
      <w:r>
        <w:rPr/>
        <w:t>万元，截至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日，已实缴注册资本</w:t>
      </w:r>
      <w:r>
        <w:rPr>
          <w:rFonts w:ascii="宋体" w:hAnsi="宋体" w:cs="宋体" w:eastAsia="宋体" w:hint="default"/>
        </w:rPr>
        <w:t>97.60</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64"/>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杭州思越科技有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杭州思创汇联科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杭州中瑞思创智 能科技有限公司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上扬无线射频科 技扬州有限公司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杭州中科思创射 频识别技术有限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杭州思创宣道信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杭州中瑞思创物 联科技有限公司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广州理德物联网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浙江省沃森智慧 医疗研究院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中瑞思创（香港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50pt;height:27.95pt;mso-position-horizontal-relative:char;mso-position-vertical-relative:line" coordorigin="0,0" coordsize="1357,559">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8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8l1335,548,1335,156,22,156,22,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88"/>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1"/>
                <w:sz w:val="18"/>
              </w:rPr>
              <w:t> </w:t>
            </w:r>
            <w:r>
              <w:rPr>
                <w:rFonts w:ascii="Times New Roman"/>
                <w:sz w:val="18"/>
              </w:rPr>
              <w:t>Europe</w:t>
            </w:r>
            <w:r>
              <w:rPr>
                <w:rFonts w:ascii="Times New Roman"/>
                <w:sz w:val="18"/>
              </w:rPr>
              <w:t> </w:t>
            </w:r>
            <w:r>
              <w:rPr>
                <w:rFonts w:ascii="Times New Roman"/>
                <w:spacing w:val="-3"/>
                <w:sz w:val="18"/>
              </w:rPr>
              <w:t>AB</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2"/>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4"/>
                <w:sz w:val="18"/>
              </w:rPr>
              <w:t> </w:t>
            </w:r>
            <w:r>
              <w:rPr>
                <w:rFonts w:ascii="Times New Roman"/>
                <w:sz w:val="18"/>
              </w:rPr>
              <w:t>Retail</w:t>
            </w:r>
            <w:r>
              <w:rPr>
                <w:rFonts w:ascii="Times New Roman"/>
                <w:sz w:val="18"/>
              </w:rPr>
              <w:t> Europe</w:t>
            </w:r>
            <w:r>
              <w:rPr>
                <w:rFonts w:ascii="Times New Roman"/>
                <w:spacing w:val="1"/>
                <w:sz w:val="18"/>
              </w:rPr>
              <w:t> </w:t>
            </w:r>
            <w:r>
              <w:rPr>
                <w:rFonts w:ascii="Times New Roman"/>
                <w:spacing w:val="-7"/>
                <w:sz w:val="18"/>
              </w:rPr>
              <w:t>B.V.</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72"/>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4"/>
                <w:sz w:val="18"/>
              </w:rPr>
              <w:t> </w:t>
            </w:r>
            <w:r>
              <w:rPr>
                <w:rFonts w:ascii="Times New Roman"/>
                <w:sz w:val="18"/>
              </w:rPr>
              <w:t>Link</w:t>
            </w:r>
            <w:r>
              <w:rPr>
                <w:rFonts w:ascii="Times New Roman"/>
                <w:sz w:val="18"/>
              </w:rPr>
              <w:t> America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296"/>
              <w:jc w:val="left"/>
              <w:rPr>
                <w:rFonts w:ascii="Times New Roman" w:hAnsi="Times New Roman" w:cs="Times New Roman" w:eastAsia="Times New Roman" w:hint="default"/>
                <w:sz w:val="18"/>
                <w:szCs w:val="18"/>
              </w:rPr>
            </w:pPr>
            <w:r>
              <w:rPr>
                <w:rFonts w:ascii="Times New Roman"/>
                <w:sz w:val="18"/>
              </w:rPr>
              <w:t>EWELL HONGKONG</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7"/>
              <w:jc w:val="left"/>
              <w:rPr>
                <w:rFonts w:ascii="Times New Roman" w:hAnsi="Times New Roman" w:cs="Times New Roman" w:eastAsia="Times New Roman" w:hint="default"/>
                <w:sz w:val="18"/>
                <w:szCs w:val="18"/>
              </w:rPr>
            </w:pPr>
            <w:r>
              <w:rPr>
                <w:rFonts w:ascii="Times New Roman"/>
                <w:sz w:val="18"/>
              </w:rPr>
              <w:t>Sun Pacific</w:t>
            </w:r>
            <w:r>
              <w:rPr>
                <w:rFonts w:ascii="Times New Roman"/>
                <w:spacing w:val="-6"/>
                <w:sz w:val="18"/>
              </w:rPr>
              <w:t> </w:t>
            </w:r>
            <w:r>
              <w:rPr>
                <w:rFonts w:ascii="Times New Roman"/>
                <w:sz w:val="18"/>
              </w:rPr>
              <w:t>Link</w:t>
            </w:r>
            <w:r>
              <w:rPr>
                <w:rFonts w:ascii="Times New Roman"/>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杭州华洁医疗科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浙江医洁医疗科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杭州认知投资管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杭州沃森诊所有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杭州琅玕科技有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杭州好睡眠医疗 投资管理有限公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杭州思力普诊所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杭州医惠医用织 物管理有限公司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杭州思创医惠孵 化器有限公司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医惠（苏州）科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杭州简惠信息技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杭州智海医惠信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杭州医惠物联网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杭州医惠软件有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无锡医惠物联网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浙江省中卫护理 信息管理研究院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广州医惠信息科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重庆医惠医疗科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杭州睿杰信息技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杭州联源智能科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医惠科技（南京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560"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50pt;height:28.05pt;mso-position-horizontal-relative:char;mso-position-vertical-relative:line" coordorigin="0,0" coordsize="1357,561">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5" coordorigin="11,156" coordsize="2,395">
                    <v:shape style="position:absolute;left:11;top:156;width:2;height:395" coordorigin="11,156" coordsize="0,395" path="m11,156l11,550e" filled="false" stroked="true" strokeweight="1.08pt" strokecolor="#ffffff">
                      <v:path arrowok="t"/>
                    </v:shape>
                  </v:group>
                  <v:group style="position:absolute;left:22;top:156;width:1314;height:395" coordorigin="22,156" coordsize="1314,395">
                    <v:shape style="position:absolute;left:22;top:156;width:1314;height:395" coordorigin="22,156" coordsize="1314,395" path="m22,550l1335,550,1335,156,22,156,22,550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江苏瑞康医惠医 疗投资管理有限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无锡市仁医医疗 人工智能研究院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pStyle w:val="BodyText"/>
        <w:spacing w:line="304" w:lineRule="auto" w:before="29"/>
        <w:ind w:right="0" w:firstLine="360"/>
        <w:jc w:val="left"/>
      </w:pPr>
      <w:r>
        <w:rPr/>
        <w:t>注：江苏瑞康医惠医疗投资管理有限公司由医惠科技公司、西藏瑞华资本管理有限公司和刘名章投资设立，注册资本 </w:t>
      </w:r>
      <w:r>
        <w:rPr>
          <w:rFonts w:ascii="Times New Roman" w:hAnsi="Times New Roman" w:cs="Times New Roman" w:eastAsia="Times New Roman" w:hint="default"/>
          <w:spacing w:val="-3"/>
        </w:rPr>
        <w:t>1,000</w:t>
      </w:r>
      <w:r>
        <w:rPr>
          <w:spacing w:val="-3"/>
        </w:rPr>
        <w:t>万元。医惠科技公司出资</w:t>
      </w:r>
      <w:r>
        <w:rPr>
          <w:rFonts w:ascii="Times New Roman" w:hAnsi="Times New Roman" w:cs="Times New Roman" w:eastAsia="Times New Roman" w:hint="default"/>
          <w:spacing w:val="-3"/>
        </w:rPr>
        <w:t>490</w:t>
      </w:r>
      <w:r>
        <w:rPr>
          <w:spacing w:val="-3"/>
        </w:rPr>
        <w:t>万元，持股</w:t>
      </w:r>
      <w:r>
        <w:rPr>
          <w:rFonts w:ascii="Times New Roman" w:hAnsi="Times New Roman" w:cs="Times New Roman" w:eastAsia="Times New Roman" w:hint="default"/>
          <w:spacing w:val="-3"/>
        </w:rPr>
        <w:t>49%</w:t>
      </w:r>
      <w:r>
        <w:rPr>
          <w:spacing w:val="-3"/>
        </w:rPr>
        <w:t>；西藏瑞华资本管理有限公司出资</w:t>
      </w:r>
      <w:r>
        <w:rPr>
          <w:rFonts w:ascii="Times New Roman" w:hAnsi="Times New Roman" w:cs="Times New Roman" w:eastAsia="Times New Roman" w:hint="default"/>
          <w:spacing w:val="-3"/>
        </w:rPr>
        <w:t>490</w:t>
      </w:r>
      <w:r>
        <w:rPr>
          <w:spacing w:val="-3"/>
        </w:rPr>
        <w:t>万元，持股</w:t>
      </w:r>
      <w:r>
        <w:rPr>
          <w:rFonts w:ascii="Times New Roman" w:hAnsi="Times New Roman" w:cs="Times New Roman" w:eastAsia="Times New Roman" w:hint="default"/>
          <w:spacing w:val="-3"/>
        </w:rPr>
        <w:t>49%</w:t>
      </w:r>
      <w:r>
        <w:rPr>
          <w:spacing w:val="-3"/>
        </w:rPr>
        <w:t>；刘名章出资</w:t>
      </w:r>
      <w:r>
        <w:rPr>
          <w:rFonts w:ascii="Times New Roman" w:hAnsi="Times New Roman" w:cs="Times New Roman" w:eastAsia="Times New Roman" w:hint="default"/>
          <w:spacing w:val="-3"/>
        </w:rPr>
        <w:t>20</w:t>
      </w:r>
      <w:r>
        <w:rPr>
          <w:spacing w:val="-3"/>
        </w:rPr>
        <w:t>万元，</w:t>
      </w:r>
      <w:r>
        <w:rPr>
          <w:spacing w:val="-66"/>
        </w:rPr>
        <w:t> </w:t>
      </w:r>
      <w:r>
        <w:rPr/>
        <w:t>持股</w:t>
      </w:r>
      <w:r>
        <w:rPr>
          <w:rFonts w:ascii="Times New Roman" w:hAnsi="Times New Roman" w:cs="Times New Roman" w:eastAsia="Times New Roman" w:hint="default"/>
        </w:rPr>
        <w:t>2%</w:t>
      </w:r>
      <w:r>
        <w:rPr/>
        <w:t>。根据《章程》约定，公司设有董事会，成员为</w:t>
      </w:r>
      <w:r>
        <w:rPr>
          <w:rFonts w:ascii="Times New Roman" w:hAnsi="Times New Roman" w:cs="Times New Roman" w:eastAsia="Times New Roman" w:hint="default"/>
        </w:rPr>
        <w:t>5</w:t>
      </w:r>
      <w:r>
        <w:rPr/>
        <w:t>人，由股东会选举产生，医惠科技公司推荐</w:t>
      </w:r>
      <w:r>
        <w:rPr>
          <w:rFonts w:ascii="Times New Roman" w:hAnsi="Times New Roman" w:cs="Times New Roman" w:eastAsia="Times New Roman" w:hint="default"/>
        </w:rPr>
        <w:t>3</w:t>
      </w:r>
      <w:r>
        <w:rPr/>
        <w:t>人，西藏瑞华资本管 理有限公司推荐</w:t>
      </w:r>
      <w:r>
        <w:rPr>
          <w:rFonts w:ascii="Times New Roman" w:hAnsi="Times New Roman" w:cs="Times New Roman" w:eastAsia="Times New Roman" w:hint="default"/>
        </w:rPr>
        <w:t>2</w:t>
      </w:r>
      <w:r>
        <w:rPr/>
        <w:t>人，董事会所做决议必须经全体董事的过半数同意通过。因而，医惠科技公司拥有对该公司控制权，将其 纳入合并财务报表范围内。</w:t>
      </w:r>
    </w:p>
    <w:p>
      <w:pPr>
        <w:pStyle w:val="BodyText"/>
        <w:spacing w:line="316" w:lineRule="auto" w:before="28"/>
        <w:ind w:left="513" w:right="1125"/>
        <w:jc w:val="left"/>
      </w:pPr>
      <w:r>
        <w:rPr/>
        <w:t>其他说明：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日，由医惠科技公司、孙美凤和张丹芬投资设立的福建医惠医疗信息服务有限公司，各方实际出资额</w:t>
      </w:r>
    </w:p>
    <w:p>
      <w:pPr>
        <w:pStyle w:val="BodyText"/>
        <w:spacing w:line="300" w:lineRule="auto"/>
        <w:ind w:left="513" w:right="1125" w:hanging="361"/>
        <w:jc w:val="left"/>
      </w:pPr>
      <w:r>
        <w:rPr/>
        <w:t>为</w:t>
      </w:r>
      <w:r>
        <w:rPr>
          <w:rFonts w:ascii="Times New Roman" w:hAnsi="Times New Roman" w:cs="Times New Roman" w:eastAsia="Times New Roman" w:hint="default"/>
        </w:rPr>
        <w:t>0</w:t>
      </w:r>
      <w:r>
        <w:rPr/>
        <w:t>，该公司未发生任何业务。 </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日，由医惠科技公司、上海融健医疗健康科技合伙企业（有限合伙）和陈世斌投资设立的上海惠沪信</w:t>
      </w:r>
    </w:p>
    <w:p>
      <w:pPr>
        <w:spacing w:after="0" w:line="30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300" w:lineRule="auto" w:before="44"/>
        <w:ind w:left="801" w:right="1195" w:hanging="649"/>
        <w:jc w:val="left"/>
      </w:pPr>
      <w:r>
        <w:rPr/>
        <w:t>息技术有限公司，各方实际出资额为</w:t>
      </w:r>
      <w:r>
        <w:rPr>
          <w:rFonts w:ascii="Times New Roman" w:hAnsi="Times New Roman" w:cs="Times New Roman" w:eastAsia="Times New Roman" w:hint="default"/>
        </w:rPr>
        <w:t>0</w:t>
      </w:r>
      <w:r>
        <w:rPr/>
        <w:t>，该公司未发生任何业务。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日，由杭州华洁医疗科技有限公司设立的杭州医惠医疗智能科技有限公司，实际出资额为</w:t>
      </w:r>
      <w:r>
        <w:rPr>
          <w:rFonts w:ascii="Times New Roman" w:hAnsi="Times New Roman" w:cs="Times New Roman" w:eastAsia="Times New Roman" w:hint="default"/>
        </w:rPr>
        <w:t>0</w:t>
      </w:r>
      <w:r>
        <w:rPr/>
        <w:t>，该</w:t>
      </w:r>
    </w:p>
    <w:p>
      <w:pPr>
        <w:pStyle w:val="BodyText"/>
        <w:spacing w:line="240" w:lineRule="auto" w:before="13"/>
        <w:ind w:right="1133"/>
        <w:jc w:val="left"/>
      </w:pPr>
      <w:r>
        <w:rPr/>
        <w:t>公司未发生任何业务。</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4,619,825.23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1,426,964.21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16,053,222.47</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42,440,8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400,612.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42,841,4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26.88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12,991,9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12,991,9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39,938,3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1,286,55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41,224,9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12,318,9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12,318,9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92.60</w:t>
            </w:r>
          </w:p>
        </w:tc>
      </w:tr>
    </w:tbl>
    <w:p>
      <w:pPr>
        <w:pStyle w:val="BodyText"/>
        <w:spacing w:line="240" w:lineRule="auto" w:before="49"/>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49,608,883.1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6,516,042.90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3,855,767.04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8,503,836.12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44,656,519.8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2,035,647.40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2,757,120.16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1,484,848.83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696"/>
        <w:gridCol w:w="1565"/>
        <w:gridCol w:w="2132"/>
        <w:gridCol w:w="2132"/>
      </w:tblGrid>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变动前持股比例</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90.91%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2696"/>
        <w:gridCol w:w="1565"/>
        <w:gridCol w:w="2132"/>
        <w:gridCol w:w="2132"/>
      </w:tblGrid>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杭州医惠医用织物管理有限公司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36"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80.00%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82" w:right="0"/>
              <w:jc w:val="left"/>
              <w:rPr>
                <w:rFonts w:ascii="Times New Roman" w:hAnsi="Times New Roman" w:cs="Times New Roman" w:eastAsia="Times New Roman" w:hint="default"/>
                <w:sz w:val="18"/>
                <w:szCs w:val="18"/>
              </w:rPr>
            </w:pPr>
            <w:r>
              <w:rPr>
                <w:rFonts w:ascii="Times New Roman"/>
                <w:sz w:val="18"/>
              </w:rPr>
              <w:t>60.00%</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EWELL HONGKONG</w:t>
            </w:r>
            <w:r>
              <w:rPr>
                <w:rFonts w:ascii="Times New Roman"/>
                <w:spacing w:val="-7"/>
                <w:sz w:val="18"/>
              </w:rPr>
              <w:t> </w:t>
            </w:r>
            <w:r>
              <w:rPr>
                <w:rFonts w:ascii="Times New Roman"/>
                <w:sz w:val="18"/>
              </w:rPr>
              <w:t>LIMITED</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60.00%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82" w:right="0"/>
              <w:jc w:val="left"/>
              <w:rPr>
                <w:rFonts w:ascii="Times New Roman" w:hAnsi="Times New Roman" w:cs="Times New Roman" w:eastAsia="Times New Roman" w:hint="default"/>
                <w:sz w:val="18"/>
                <w:szCs w:val="18"/>
              </w:rPr>
            </w:pPr>
            <w:r>
              <w:rPr>
                <w:rFonts w:ascii="Times New Roman"/>
                <w:sz w:val="18"/>
              </w:rPr>
              <w:t>72.00%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10" w:space="0" w:color="D9D9D9"/>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93" w:right="50" w:hanging="541"/>
              <w:jc w:val="left"/>
              <w:rPr>
                <w:rFonts w:ascii="宋体" w:hAnsi="宋体" w:cs="宋体" w:eastAsia="宋体" w:hint="default"/>
                <w:sz w:val="18"/>
                <w:szCs w:val="18"/>
              </w:rPr>
            </w:pPr>
            <w:r>
              <w:rPr>
                <w:rFonts w:ascii="宋体" w:hAnsi="宋体" w:cs="宋体" w:eastAsia="宋体" w:hint="default"/>
                <w:sz w:val="18"/>
                <w:szCs w:val="18"/>
              </w:rPr>
              <w:t>杭州医惠医用织物管理 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91"/>
              <w:ind w:left="432" w:right="108" w:hanging="3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EWELL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HONGKONG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杭州睿杰信息技术有限 公司</w:t>
            </w:r>
          </w:p>
        </w:tc>
        <w:tc>
          <w:tcPr>
            <w:tcW w:w="1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杭州思创宣道信息技术 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560,850.40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18,596,582.89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2,060,521.55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-410,739.32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1,439,149.60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6,372,717.11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410,739.32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-1,439,149.60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-6,372,717.11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410,739.32</w:t>
            </w:r>
          </w:p>
        </w:tc>
      </w:tr>
    </w:tbl>
    <w:p>
      <w:pPr>
        <w:pStyle w:val="BodyText"/>
        <w:spacing w:line="240" w:lineRule="auto" w:before="49"/>
        <w:ind w:right="1133"/>
        <w:jc w:val="left"/>
      </w:pPr>
      <w:r>
        <w:rPr/>
        <w:t>其他说明</w:t>
      </w:r>
    </w:p>
    <w:p>
      <w:pPr>
        <w:pStyle w:val="BodyText"/>
        <w:spacing w:line="300" w:lineRule="auto" w:before="115"/>
        <w:ind w:right="1129" w:firstLine="420"/>
        <w:jc w:val="both"/>
      </w:pPr>
      <w:r>
        <w:rPr/>
        <w:t>注：</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19"/>
        </w:rPr>
        <w:t> </w:t>
      </w:r>
      <w:r>
        <w:rPr>
          <w:rFonts w:ascii="Times New Roman" w:hAnsi="Times New Roman" w:cs="Times New Roman" w:eastAsia="Times New Roman" w:hint="default"/>
        </w:rPr>
        <w:t>LIMITED</w:t>
      </w:r>
      <w:r>
        <w:rPr/>
        <w:t>原有注册资本</w:t>
      </w:r>
      <w:r>
        <w:rPr>
          <w:rFonts w:ascii="Times New Roman" w:hAnsi="Times New Roman" w:cs="Times New Roman" w:eastAsia="Times New Roman" w:hint="default"/>
        </w:rPr>
        <w:t>6,075,440.00</w:t>
      </w:r>
      <w:r>
        <w:rPr/>
        <w:t>元，实收资本</w:t>
      </w:r>
      <w:r>
        <w:rPr>
          <w:rFonts w:ascii="Times New Roman" w:hAnsi="Times New Roman" w:cs="Times New Roman" w:eastAsia="Times New Roman" w:hint="default"/>
        </w:rPr>
        <w:t>6,075,440.00</w:t>
      </w:r>
      <w:r>
        <w:rPr/>
        <w:t>元，中瑞思创（香港）国际有 </w:t>
      </w:r>
      <w:r>
        <w:rPr>
          <w:spacing w:val="7"/>
        </w:rPr>
        <w:t>限公司原有出资</w:t>
      </w:r>
      <w:r>
        <w:rPr>
          <w:rFonts w:ascii="Times New Roman" w:hAnsi="Times New Roman" w:cs="Times New Roman" w:eastAsia="Times New Roman" w:hint="default"/>
          <w:spacing w:val="7"/>
        </w:rPr>
        <w:t>3,645,264.00</w:t>
      </w:r>
      <w:r>
        <w:rPr>
          <w:spacing w:val="7"/>
        </w:rPr>
        <w:t>元，占其注册资本的</w:t>
      </w:r>
      <w:r>
        <w:rPr>
          <w:rFonts w:ascii="Times New Roman" w:hAnsi="Times New Roman" w:cs="Times New Roman" w:eastAsia="Times New Roman" w:hint="default"/>
          <w:spacing w:val="7"/>
        </w:rPr>
        <w:t>60%</w:t>
      </w:r>
      <w:r>
        <w:rPr>
          <w:spacing w:val="7"/>
        </w:rPr>
        <w:t>；本期经中瑞思创（香港）国际有限公司增资后，其注册资本由</w:t>
      </w:r>
      <w:r>
        <w:rPr/>
        <w:t> </w:t>
      </w:r>
      <w:r>
        <w:rPr>
          <w:rFonts w:ascii="Times New Roman" w:hAnsi="Times New Roman" w:cs="Times New Roman" w:eastAsia="Times New Roman" w:hint="default"/>
        </w:rPr>
        <w:t>6,075,440.00</w:t>
      </w:r>
      <w:r>
        <w:rPr/>
        <w:t>元增至</w:t>
      </w:r>
      <w:r>
        <w:rPr>
          <w:rFonts w:ascii="Times New Roman" w:hAnsi="Times New Roman" w:cs="Times New Roman" w:eastAsia="Times New Roman" w:hint="default"/>
        </w:rPr>
        <w:t>8,572,370.00</w:t>
      </w:r>
      <w:r>
        <w:rPr/>
        <w:t>元，由中瑞思创（香港）国际有限公司以货币资金</w:t>
      </w:r>
      <w:r>
        <w:rPr>
          <w:rFonts w:ascii="Times New Roman" w:hAnsi="Times New Roman" w:cs="Times New Roman" w:eastAsia="Times New Roman" w:hint="default"/>
        </w:rPr>
        <w:t>24,969,300.00</w:t>
      </w:r>
      <w:r>
        <w:rPr/>
        <w:t>元认缴，增资完成后中瑞思</w:t>
      </w:r>
      <w:r>
        <w:rPr>
          <w:spacing w:val="-52"/>
        </w:rPr>
        <w:t> </w:t>
      </w:r>
      <w:r>
        <w:rPr>
          <w:spacing w:val="-52"/>
        </w:rPr>
      </w:r>
      <w:r>
        <w:rPr/>
        <w:t>创（香港）国际有限公司持有其</w:t>
      </w:r>
      <w:r>
        <w:rPr>
          <w:rFonts w:ascii="Times New Roman" w:hAnsi="Times New Roman" w:cs="Times New Roman" w:eastAsia="Times New Roman" w:hint="default"/>
        </w:rPr>
        <w:t>72%</w:t>
      </w:r>
      <w:r>
        <w:rPr/>
        <w:t>的股权，增资后公司应享有该子公司净资产份额增加</w:t>
      </w:r>
      <w:r>
        <w:rPr>
          <w:rFonts w:ascii="Times New Roman" w:hAnsi="Times New Roman" w:cs="Times New Roman" w:eastAsia="Times New Roman" w:hint="default"/>
        </w:rPr>
        <w:t>18,596,582.89</w:t>
      </w:r>
      <w:r>
        <w:rPr/>
        <w:t>元。</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丰廪医健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7"/>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上海瑞章</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丰廪医健</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上海瑞章</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19" w:right="0"/>
              <w:jc w:val="left"/>
              <w:rPr>
                <w:rFonts w:ascii="宋体" w:hAnsi="宋体" w:cs="宋体" w:eastAsia="宋体" w:hint="default"/>
                <w:sz w:val="18"/>
                <w:szCs w:val="18"/>
              </w:rPr>
            </w:pPr>
            <w:r>
              <w:rPr>
                <w:rFonts w:ascii="宋体" w:hAnsi="宋体" w:cs="宋体" w:eastAsia="宋体" w:hint="default"/>
                <w:sz w:val="18"/>
                <w:szCs w:val="18"/>
              </w:rPr>
              <w:t>丰廪医健</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100,525,859.86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289,680,184.59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483,916.41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90,587,096.22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283,138,441.10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42,255,469.30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432,518,327.76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79,459,460.00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11,451,397.21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390,540,156.77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142,781,329.16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722,198,512.35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79,943,376.41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102,038,493.43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673,678,597.87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24,666,499.11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264,208,593.75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37,862,417.46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211,855,990.96</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2,054,460.00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24,666,499.11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266,263,053.75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37,862,417.46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213,455,990.96</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196,509,608.50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201,376,431.71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118,114,830.05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259,425,850.10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79,943,376.41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64,176,075.97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258,846,175.20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23,622,966.01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63,299,907.43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79,977,350.56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16,044,019.00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63,158,466.75</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46,836,951.20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46,836,951.20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46,836,951.20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46,836,951.20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70,459,917.21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63,299,907.43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79,977,350.56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62,880,970.20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63,158,466.75</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59,600,341.76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323,363,121.08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91,791,326.52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361,797,069.71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178,754.08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1,337,004.42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13,626,292.42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5,300,200.51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178,754.08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1,150,148.61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13,626,292.42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3,429,595.08</w:t>
            </w: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9" w:lineRule="auto" w:before="19"/>
        <w:ind w:right="1133"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00" w:lineRule="auto" w:before="17"/>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信用风险</w:t>
      </w:r>
      <w:r>
        <w:rPr>
          <w:w w:val="99"/>
        </w:rPr>
        <w:t> </w:t>
      </w:r>
      <w:r>
        <w:rPr/>
        <w:t>信用风险，是指金融工具的一方不能履行义务，造成另一方发生财务损失的风险。</w:t>
      </w:r>
    </w:p>
    <w:p>
      <w:pPr>
        <w:pStyle w:val="BodyText"/>
        <w:spacing w:line="240" w:lineRule="auto" w:before="31"/>
        <w:ind w:left="573" w:right="1133"/>
        <w:jc w:val="left"/>
      </w:pPr>
      <w:r>
        <w:rPr/>
        <w:t>本公司的信用风险主要来自银行存款和应收款项。为控制上述相关风险，本公司分别采取了以下措施。</w:t>
      </w:r>
    </w:p>
    <w:p>
      <w:pPr>
        <w:pStyle w:val="BodyText"/>
        <w:spacing w:line="309" w:lineRule="auto" w:before="76"/>
        <w:ind w:left="573" w:right="45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应收款项</w:t>
      </w:r>
    </w:p>
    <w:p>
      <w:pPr>
        <w:pStyle w:val="BodyText"/>
        <w:spacing w:line="316" w:lineRule="auto" w:before="5"/>
        <w:ind w:right="1133" w:firstLine="420"/>
        <w:jc w:val="left"/>
      </w:pPr>
      <w:r>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18"/>
        <w:ind w:left="573" w:right="0"/>
        <w:jc w:val="left"/>
      </w:pPr>
      <w:r>
        <w:rPr/>
        <w:t>由于本公司的应收账款风险点分布于多个合作方和多个客户，截至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16.82%(2017</w:t>
      </w:r>
      <w:r>
        <w:rPr/>
        <w:t>年</w:t>
      </w:r>
    </w:p>
    <w:p>
      <w:pPr>
        <w:spacing w:after="0" w:line="2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16.95%)</w:t>
      </w:r>
      <w:r>
        <w:rPr/>
        <w:t>源于余额前五名客户，本公司不存在重大的信用集中风险。</w:t>
      </w:r>
    </w:p>
    <w:p>
      <w:pPr>
        <w:pStyle w:val="BodyText"/>
        <w:spacing w:line="240" w:lineRule="auto" w:before="63"/>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本公司的应收款项中未逾期且未减值的金额，以及虽已逾期但未减值的金额和逾期账龄分析如下：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21"/>
        <w:gridCol w:w="1808"/>
        <w:gridCol w:w="1844"/>
        <w:gridCol w:w="991"/>
        <w:gridCol w:w="1133"/>
        <w:gridCol w:w="1702"/>
      </w:tblGrid>
      <w:tr>
        <w:trPr>
          <w:trHeight w:val="348" w:hRule="exact"/>
        </w:trPr>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47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421" w:type="dxa"/>
            <w:vMerge/>
            <w:tcBorders>
              <w:left w:val="single" w:sz="6" w:space="0" w:color="000000"/>
              <w:right w:val="single" w:sz="6" w:space="0" w:color="000000"/>
            </w:tcBorders>
          </w:tcPr>
          <w:p>
            <w:pPr/>
          </w:p>
        </w:tc>
        <w:tc>
          <w:tcPr>
            <w:tcW w:w="1808" w:type="dxa"/>
            <w:vMerge w:val="restart"/>
            <w:tcBorders>
              <w:top w:val="single" w:sz="6" w:space="0" w:color="000000"/>
              <w:left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9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421" w:type="dxa"/>
            <w:vMerge/>
            <w:tcBorders>
              <w:left w:val="single" w:sz="6" w:space="0" w:color="000000"/>
              <w:bottom w:val="single" w:sz="6" w:space="0" w:color="000000"/>
              <w:right w:val="single" w:sz="6" w:space="0" w:color="000000"/>
            </w:tcBorders>
          </w:tcPr>
          <w:p>
            <w:pPr/>
          </w:p>
        </w:tc>
        <w:tc>
          <w:tcPr>
            <w:tcW w:w="1808"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02" w:type="dxa"/>
            <w:vMerge/>
            <w:tcBorders>
              <w:left w:val="single" w:sz="6" w:space="0" w:color="000000"/>
              <w:bottom w:val="single" w:sz="6" w:space="0" w:color="000000"/>
              <w:right w:val="single" w:sz="6" w:space="0" w:color="000000"/>
            </w:tcBorders>
          </w:tcPr>
          <w:p>
            <w:pP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75"/>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3,209,541.77</w:t>
            </w:r>
          </w:p>
        </w:tc>
        <w:tc>
          <w:tcPr>
            <w:tcW w:w="184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3,209,541.77</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9"/>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3,209,541.77</w:t>
            </w:r>
          </w:p>
        </w:tc>
        <w:tc>
          <w:tcPr>
            <w:tcW w:w="184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3,209,541.77</w:t>
            </w:r>
          </w:p>
        </w:tc>
      </w:tr>
    </w:tbl>
    <w:p>
      <w:pPr>
        <w:pStyle w:val="BodyText"/>
        <w:spacing w:line="240" w:lineRule="auto" w:before="8"/>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385"/>
        <w:gridCol w:w="1844"/>
        <w:gridCol w:w="1844"/>
        <w:gridCol w:w="991"/>
        <w:gridCol w:w="1133"/>
        <w:gridCol w:w="1702"/>
      </w:tblGrid>
      <w:tr>
        <w:trPr>
          <w:trHeight w:val="348" w:hRule="exact"/>
        </w:trPr>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5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385" w:type="dxa"/>
            <w:vMerge/>
            <w:tcBorders>
              <w:left w:val="single" w:sz="6" w:space="0" w:color="000000"/>
              <w:right w:val="single" w:sz="6" w:space="0" w:color="000000"/>
            </w:tcBorders>
          </w:tcPr>
          <w:p>
            <w:pP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9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385"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02" w:type="dxa"/>
            <w:vMerge/>
            <w:tcBorders>
              <w:left w:val="single" w:sz="6" w:space="0" w:color="000000"/>
              <w:bottom w:val="single" w:sz="6" w:space="0" w:color="000000"/>
              <w:right w:val="single" w:sz="6" w:space="0" w:color="000000"/>
            </w:tcBorders>
          </w:tcPr>
          <w:p>
            <w:pPr/>
          </w:p>
        </w:tc>
      </w:tr>
      <w:tr>
        <w:trPr>
          <w:trHeight w:val="348"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9"/>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85,014.16</w:t>
            </w:r>
          </w:p>
        </w:tc>
        <w:tc>
          <w:tcPr>
            <w:tcW w:w="184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85,014.16</w:t>
            </w:r>
          </w:p>
        </w:tc>
      </w:tr>
      <w:tr>
        <w:trPr>
          <w:trHeight w:val="346"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43"/>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85,014.16</w:t>
            </w:r>
          </w:p>
        </w:tc>
        <w:tc>
          <w:tcPr>
            <w:tcW w:w="184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85,014.16</w:t>
            </w:r>
          </w:p>
        </w:tc>
      </w:tr>
    </w:tbl>
    <w:p>
      <w:pPr>
        <w:pStyle w:val="BodyText"/>
        <w:spacing w:line="240" w:lineRule="auto" w:before="8"/>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单项计提减值的应收款项情况见本财务报表附注合并财务报表项目注释之应收款项说明。</w:t>
      </w:r>
    </w:p>
    <w:p>
      <w:pPr>
        <w:pStyle w:val="BodyText"/>
        <w:spacing w:line="300" w:lineRule="auto" w:before="63"/>
        <w:ind w:left="57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流动风险</w:t>
      </w:r>
      <w:r>
        <w:rPr>
          <w:w w:val="99"/>
        </w:rPr>
        <w:t> </w:t>
      </w:r>
      <w:r>
        <w:rPr/>
        <w:t>流动风险，是指本公司在履行以交付现金或其他金融资产的方式结算的义务时发生资金短缺的风险。流动风险可能源</w:t>
      </w:r>
    </w:p>
    <w:p>
      <w:pPr>
        <w:pStyle w:val="BodyText"/>
        <w:spacing w:line="316" w:lineRule="auto" w:before="31"/>
        <w:ind w:right="1125"/>
        <w:jc w:val="left"/>
      </w:pPr>
      <w:r>
        <w:rPr>
          <w:spacing w:val="-2"/>
        </w:rPr>
        <w:t>于无法尽快以公允价值售出金融资产；或者源于对方无法偿还其合同债务；或者源于提前到期的债务；或者源于无法产生预</w:t>
      </w:r>
      <w:r>
        <w:rPr>
          <w:spacing w:val="-63"/>
        </w:rPr>
        <w:t> </w:t>
      </w:r>
      <w:r>
        <w:rPr>
          <w:spacing w:val="-63"/>
        </w:rPr>
      </w:r>
      <w:r>
        <w:rPr/>
        <w:t>期的现金流量。</w:t>
      </w:r>
    </w:p>
    <w:p>
      <w:pPr>
        <w:pStyle w:val="BodyText"/>
        <w:spacing w:line="316" w:lineRule="auto" w:before="19"/>
        <w:ind w:right="1133" w:firstLine="420"/>
        <w:jc w:val="left"/>
      </w:pPr>
      <w:r>
        <w:rPr/>
        <w:t>为控制该项风险，本公司综合运用票据结算、银行借款等多种融资手段，并采取长、短期融资方式适当结合，优化融 资结构的方法，保持融资持续性与灵活性之间的平衡。</w:t>
      </w:r>
    </w:p>
    <w:p>
      <w:pPr>
        <w:pStyle w:val="BodyText"/>
        <w:spacing w:line="240" w:lineRule="auto" w:before="19"/>
        <w:ind w:left="573" w:right="1133"/>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73"/>
        <w:gridCol w:w="1748"/>
        <w:gridCol w:w="1699"/>
        <w:gridCol w:w="1503"/>
        <w:gridCol w:w="1477"/>
        <w:gridCol w:w="1183"/>
      </w:tblGrid>
      <w:tr>
        <w:trPr>
          <w:trHeight w:val="348" w:hRule="exact"/>
        </w:trPr>
        <w:tc>
          <w:tcPr>
            <w:tcW w:w="1373" w:type="dxa"/>
            <w:vMerge w:val="restart"/>
            <w:tcBorders>
              <w:top w:val="single" w:sz="6" w:space="0" w:color="000000"/>
              <w:left w:val="single" w:sz="6" w:space="0" w:color="000000"/>
              <w:right w:val="single" w:sz="6"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6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373" w:type="dxa"/>
            <w:vMerge/>
            <w:tcBorders>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855,908,993.80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879,508,536.58</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673,432,476.75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206,076,059.83</w:t>
            </w:r>
          </w:p>
        </w:tc>
        <w:tc>
          <w:tcPr>
            <w:tcW w:w="1183" w:type="dxa"/>
            <w:tcBorders>
              <w:top w:val="single" w:sz="6" w:space="0" w:color="000000"/>
              <w:left w:val="single" w:sz="6" w:space="0" w:color="000000"/>
              <w:bottom w:val="single" w:sz="6" w:space="0" w:color="000000"/>
              <w:right w:val="single" w:sz="6" w:space="0" w:color="000000"/>
            </w:tcBorders>
          </w:tcPr>
          <w:p>
            <w:pPr/>
          </w:p>
        </w:tc>
      </w:tr>
      <w:tr>
        <w:trPr>
          <w:trHeight w:val="1284"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
              <w:jc w:val="both"/>
              <w:rPr>
                <w:rFonts w:ascii="宋体" w:hAnsi="宋体" w:cs="宋体" w:eastAsia="宋体" w:hint="default"/>
                <w:sz w:val="18"/>
                <w:szCs w:val="18"/>
              </w:rPr>
            </w:pPr>
            <w:r>
              <w:rPr>
                <w:rFonts w:ascii="宋体" w:hAnsi="宋体" w:cs="宋体" w:eastAsia="宋体" w:hint="default"/>
                <w:spacing w:val="12"/>
                <w:sz w:val="18"/>
                <w:szCs w:val="18"/>
              </w:rPr>
              <w:t>以公允价值计量</w:t>
            </w:r>
            <w:r>
              <w:rPr>
                <w:rFonts w:ascii="宋体" w:hAnsi="宋体" w:cs="宋体" w:eastAsia="宋体" w:hint="default"/>
                <w:sz w:val="18"/>
                <w:szCs w:val="18"/>
              </w:rPr>
              <w:t> </w:t>
            </w:r>
            <w:r>
              <w:rPr>
                <w:rFonts w:ascii="宋体" w:hAnsi="宋体" w:cs="宋体" w:eastAsia="宋体" w:hint="default"/>
                <w:spacing w:val="12"/>
                <w:sz w:val="18"/>
                <w:szCs w:val="18"/>
              </w:rPr>
              <w:t>且其变动计入当</w:t>
            </w:r>
            <w:r>
              <w:rPr>
                <w:rFonts w:ascii="宋体" w:hAnsi="宋体" w:cs="宋体" w:eastAsia="宋体" w:hint="default"/>
                <w:sz w:val="18"/>
                <w:szCs w:val="18"/>
              </w:rPr>
              <w:t> </w:t>
            </w:r>
            <w:r>
              <w:rPr>
                <w:rFonts w:ascii="宋体" w:hAnsi="宋体" w:cs="宋体" w:eastAsia="宋体" w:hint="default"/>
                <w:spacing w:val="12"/>
                <w:sz w:val="18"/>
                <w:szCs w:val="18"/>
              </w:rPr>
              <w:t>期损益的金融负</w:t>
            </w:r>
            <w:r>
              <w:rPr>
                <w:rFonts w:ascii="宋体" w:hAnsi="宋体" w:cs="宋体" w:eastAsia="宋体" w:hint="default"/>
                <w:sz w:val="18"/>
                <w:szCs w:val="18"/>
              </w:rPr>
              <w:t> 债</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4,293,047.58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4,293,047.58</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4,293,047.58</w:t>
            </w:r>
          </w:p>
        </w:tc>
        <w:tc>
          <w:tcPr>
            <w:tcW w:w="1477"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hAnsi="宋体" w:cs="宋体" w:eastAsia="宋体" w:hint="default"/>
                <w:spacing w:val="12"/>
                <w:sz w:val="18"/>
                <w:szCs w:val="18"/>
              </w:rPr>
              <w:t>应付票据及应付</w:t>
            </w:r>
            <w:r>
              <w:rPr>
                <w:rFonts w:ascii="宋体" w:hAnsi="宋体" w:cs="宋体" w:eastAsia="宋体" w:hint="default"/>
                <w:sz w:val="18"/>
                <w:szCs w:val="18"/>
              </w:rPr>
              <w:t> 账款</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153,957,511.37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153,957,511.37</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153,957,511.37</w:t>
            </w:r>
          </w:p>
        </w:tc>
        <w:tc>
          <w:tcPr>
            <w:tcW w:w="1477"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25,736,158.45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25,736,158.45</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25,736,158.45</w:t>
            </w:r>
          </w:p>
        </w:tc>
        <w:tc>
          <w:tcPr>
            <w:tcW w:w="1477"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1,039,895,711.20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1,063,495,253.98</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857,419,194.15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206,076,059.83</w:t>
            </w:r>
          </w:p>
        </w:tc>
        <w:tc>
          <w:tcPr>
            <w:tcW w:w="11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19"/>
        <w:gridCol w:w="1580"/>
        <w:gridCol w:w="1622"/>
        <w:gridCol w:w="1476"/>
        <w:gridCol w:w="1477"/>
        <w:gridCol w:w="1409"/>
      </w:tblGrid>
      <w:tr>
        <w:trPr>
          <w:trHeight w:val="346" w:hRule="exact"/>
        </w:trPr>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56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419"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492,800,000.00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513,930,955.96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370,923,344.85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108,633,652.78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9" w:right="0"/>
              <w:jc w:val="left"/>
              <w:rPr>
                <w:rFonts w:ascii="Times New Roman" w:hAnsi="Times New Roman" w:cs="Times New Roman" w:eastAsia="Times New Roman" w:hint="default"/>
                <w:sz w:val="18"/>
                <w:szCs w:val="18"/>
              </w:rPr>
            </w:pPr>
            <w:r>
              <w:rPr>
                <w:rFonts w:ascii="Times New Roman"/>
                <w:sz w:val="18"/>
              </w:rPr>
              <w:t>34,373,958.33</w:t>
            </w:r>
          </w:p>
        </w:tc>
      </w:tr>
      <w:tr>
        <w:trPr>
          <w:trHeight w:val="1284"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7"/>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期损益的金融负 债</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4,293,047.58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4,293,047.58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4,293,047.58</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7"/>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132,577,766.41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132,577,766.41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132,577,766.41</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4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1419"/>
        <w:gridCol w:w="1580"/>
        <w:gridCol w:w="1622"/>
        <w:gridCol w:w="1476"/>
        <w:gridCol w:w="1477"/>
        <w:gridCol w:w="1409"/>
      </w:tblGrid>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92"/>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22,971,280.51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22,971,280.51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22,971,280.51</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27"/>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652,642,094.50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673,773,050.46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530,765,439.35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3" w:right="0"/>
              <w:jc w:val="left"/>
              <w:rPr>
                <w:rFonts w:ascii="Times New Roman" w:hAnsi="Times New Roman" w:cs="Times New Roman" w:eastAsia="Times New Roman" w:hint="default"/>
                <w:sz w:val="18"/>
                <w:szCs w:val="18"/>
              </w:rPr>
            </w:pPr>
            <w:r>
              <w:rPr>
                <w:rFonts w:ascii="Times New Roman"/>
                <w:sz w:val="18"/>
              </w:rPr>
              <w:t>108,633,652.78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7" w:right="0"/>
              <w:jc w:val="left"/>
              <w:rPr>
                <w:rFonts w:ascii="Times New Roman" w:hAnsi="Times New Roman" w:cs="Times New Roman" w:eastAsia="Times New Roman" w:hint="default"/>
                <w:sz w:val="18"/>
                <w:szCs w:val="18"/>
              </w:rPr>
            </w:pPr>
            <w:r>
              <w:rPr>
                <w:rFonts w:ascii="Times New Roman"/>
                <w:sz w:val="18"/>
              </w:rPr>
              <w:t>34,373,958.33</w:t>
            </w:r>
          </w:p>
        </w:tc>
      </w:tr>
    </w:tbl>
    <w:p>
      <w:pPr>
        <w:pStyle w:val="BodyText"/>
        <w:spacing w:line="316" w:lineRule="auto" w:before="8"/>
        <w:ind w:left="573" w:right="113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 市场风险，是指金融工具的公允价值或未来现金流量因市场价格变动而发生波动的风险。市场风险主要包括利率风险</w:t>
      </w:r>
    </w:p>
    <w:p>
      <w:pPr>
        <w:pStyle w:val="BodyText"/>
        <w:spacing w:line="240" w:lineRule="auto" w:before="19"/>
        <w:ind w:right="1133"/>
        <w:jc w:val="left"/>
      </w:pPr>
      <w:r>
        <w:rPr/>
        <w:t>和外汇风险。</w:t>
      </w:r>
    </w:p>
    <w:p>
      <w:pPr>
        <w:pStyle w:val="BodyText"/>
        <w:spacing w:line="316" w:lineRule="auto" w:before="76"/>
        <w:ind w:left="573" w:right="1133"/>
        <w:jc w:val="left"/>
      </w:pPr>
      <w:r>
        <w:rPr>
          <w:rFonts w:ascii="宋体" w:hAnsi="宋体" w:cs="宋体" w:eastAsia="宋体" w:hint="default"/>
        </w:rPr>
        <w:t>1.</w:t>
      </w:r>
      <w:r>
        <w:rPr>
          <w:rFonts w:ascii="宋体" w:hAnsi="宋体" w:cs="宋体" w:eastAsia="宋体" w:hint="default"/>
          <w:spacing w:val="2"/>
        </w:rPr>
        <w:t> </w:t>
      </w:r>
      <w:r>
        <w:rPr/>
        <w:t>利率风险 利率风险，是指金融工具的公允价值或未来现金流量因市场利率变动而发生波动的风险。本公司不存在重大市场利率</w:t>
      </w:r>
    </w:p>
    <w:p>
      <w:pPr>
        <w:pStyle w:val="BodyText"/>
        <w:spacing w:line="240" w:lineRule="auto" w:before="19"/>
        <w:ind w:right="1133"/>
        <w:jc w:val="left"/>
      </w:pPr>
      <w:r>
        <w:rPr/>
        <w:t>变动的风险。</w:t>
      </w:r>
    </w:p>
    <w:p>
      <w:pPr>
        <w:pStyle w:val="BodyText"/>
        <w:spacing w:line="316" w:lineRule="auto" w:before="76"/>
        <w:ind w:left="573" w:right="1133"/>
        <w:jc w:val="left"/>
      </w:pPr>
      <w:r>
        <w:rPr>
          <w:rFonts w:ascii="宋体" w:hAnsi="宋体" w:cs="宋体" w:eastAsia="宋体" w:hint="default"/>
        </w:rPr>
        <w:t>2.</w:t>
      </w:r>
      <w:r>
        <w:rPr>
          <w:rFonts w:ascii="宋体" w:hAnsi="宋体" w:cs="宋体" w:eastAsia="宋体" w:hint="default"/>
          <w:spacing w:val="2"/>
        </w:rPr>
        <w:t> </w:t>
      </w:r>
      <w:r>
        <w:rPr/>
        <w:t>外汇风险 外汇风险，是指金融工具的公允价值或未来现金流量因外汇汇率变动而发生波动的风险。本公司面临的汇率变动的风</w:t>
      </w:r>
    </w:p>
    <w:p>
      <w:pPr>
        <w:pStyle w:val="BodyText"/>
        <w:spacing w:line="316" w:lineRule="auto" w:before="19"/>
        <w:ind w:right="1125"/>
        <w:jc w:val="left"/>
      </w:pPr>
      <w:r>
        <w:rPr>
          <w:spacing w:val="-2"/>
        </w:rPr>
        <w:t>险主要与本公司外币货币性资产和负债有关。对于外币资产和负债，如果出现短期的失衡情况，本公司会在必要时按市场汇</w:t>
      </w:r>
      <w:r>
        <w:rPr>
          <w:spacing w:val="-63"/>
        </w:rPr>
        <w:t> </w:t>
      </w:r>
      <w:r>
        <w:rPr>
          <w:spacing w:val="-63"/>
        </w:rPr>
      </w:r>
      <w:r>
        <w:rPr/>
        <w:t>率买卖外币，以确保将净风险敞口维持在可接受的水平。</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985"/>
        <w:gridCol w:w="1985"/>
        <w:gridCol w:w="1985"/>
        <w:gridCol w:w="1349"/>
      </w:tblGrid>
      <w:tr>
        <w:trPr>
          <w:trHeight w:val="403" w:hRule="exact"/>
        </w:trPr>
        <w:tc>
          <w:tcPr>
            <w:tcW w:w="2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1"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29"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611"/>
        <w:jc w:val="both"/>
      </w:pPr>
      <w:r>
        <w:rPr/>
        <w:t>本企业的母公司情况的说明 本企业最终控制方是路楠。 其他说明：</w:t>
      </w:r>
    </w:p>
    <w:tbl>
      <w:tblPr>
        <w:tblW w:w="0" w:type="auto"/>
        <w:jc w:val="left"/>
        <w:tblInd w:w="145" w:type="dxa"/>
        <w:tblLayout w:type="fixed"/>
        <w:tblCellMar>
          <w:top w:w="0" w:type="dxa"/>
          <w:left w:w="0" w:type="dxa"/>
          <w:bottom w:w="0" w:type="dxa"/>
          <w:right w:w="0" w:type="dxa"/>
        </w:tblCellMar>
        <w:tblLook w:val="01E0"/>
      </w:tblPr>
      <w:tblGrid>
        <w:gridCol w:w="1952"/>
        <w:gridCol w:w="1702"/>
        <w:gridCol w:w="2410"/>
        <w:gridCol w:w="2549"/>
      </w:tblGrid>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自然人姓名</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对本公司的持股比例</w:t>
            </w:r>
            <w:r>
              <w:rPr>
                <w:rFonts w:ascii="Times New Roman" w:hAnsi="Times New Roman" w:cs="Times New Roman" w:eastAsia="Times New Roman" w:hint="default"/>
                <w:sz w:val="18"/>
                <w:szCs w:val="18"/>
              </w:rPr>
              <w:t>(%)</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对本公司的表决权比例</w:t>
            </w:r>
            <w:r>
              <w:rPr>
                <w:rFonts w:ascii="Times New Roman" w:hAnsi="Times New Roman" w:cs="Times New Roman" w:eastAsia="Times New Roman" w:hint="default"/>
                <w:sz w:val="18"/>
                <w:szCs w:val="18"/>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路楠</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16.91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24.15</w:t>
            </w:r>
          </w:p>
        </w:tc>
      </w:tr>
    </w:tbl>
    <w:p>
      <w:pPr>
        <w:pStyle w:val="BodyText"/>
        <w:spacing w:line="300" w:lineRule="auto" w:before="29"/>
        <w:ind w:right="1125" w:firstLine="360"/>
        <w:jc w:val="left"/>
      </w:pPr>
      <w:r>
        <w:rPr>
          <w:spacing w:val="-1"/>
        </w:rPr>
        <w:t>注：路楠直接持有本公司</w:t>
      </w:r>
      <w:r>
        <w:rPr>
          <w:rFonts w:ascii="Times New Roman" w:hAnsi="Times New Roman" w:cs="Times New Roman" w:eastAsia="Times New Roman" w:hint="default"/>
          <w:spacing w:val="-1"/>
        </w:rPr>
        <w:t>16.33%</w:t>
      </w:r>
      <w:r>
        <w:rPr>
          <w:spacing w:val="-1"/>
        </w:rPr>
        <w:t>的股权，杭州博泰投资管理有限公司持有本公司</w:t>
      </w:r>
      <w:r>
        <w:rPr>
          <w:rFonts w:ascii="Times New Roman" w:hAnsi="Times New Roman" w:cs="Times New Roman" w:eastAsia="Times New Roman" w:hint="default"/>
          <w:spacing w:val="-1"/>
        </w:rPr>
        <w:t>0.99%</w:t>
      </w:r>
      <w:r>
        <w:rPr>
          <w:spacing w:val="-1"/>
        </w:rPr>
        <w:t>的股权，路楠持有杭州博泰投资</w:t>
      </w:r>
      <w:r>
        <w:rPr/>
        <w:t> 管理有限公司</w:t>
      </w:r>
      <w:r>
        <w:rPr>
          <w:rFonts w:ascii="Times New Roman" w:hAnsi="Times New Roman" w:cs="Times New Roman" w:eastAsia="Times New Roman" w:hint="default"/>
        </w:rPr>
        <w:t>59.02%</w:t>
      </w:r>
      <w:r>
        <w:rPr/>
        <w:t>的股权。</w:t>
      </w:r>
    </w:p>
    <w:p>
      <w:pPr>
        <w:pStyle w:val="BodyText"/>
        <w:spacing w:line="300" w:lineRule="auto" w:before="13"/>
        <w:ind w:left="513" w:right="2728"/>
        <w:jc w:val="left"/>
      </w:pPr>
      <w:r>
        <w:rPr/>
        <w:t>方振淳持有本公司</w:t>
      </w:r>
      <w:r>
        <w:rPr>
          <w:rFonts w:ascii="Times New Roman" w:hAnsi="Times New Roman" w:cs="Times New Roman" w:eastAsia="Times New Roman" w:hint="default"/>
        </w:rPr>
        <w:t>2.37%</w:t>
      </w:r>
      <w:r>
        <w:rPr/>
        <w:t>的股权，西藏瑞华投资发展有限公司持有本公司</w:t>
      </w:r>
      <w:r>
        <w:rPr>
          <w:rFonts w:ascii="Times New Roman" w:hAnsi="Times New Roman" w:cs="Times New Roman" w:eastAsia="Times New Roman" w:hint="default"/>
        </w:rPr>
        <w:t>2.23%</w:t>
      </w:r>
      <w:r>
        <w:rPr/>
        <w:t>的股权， 浙江鲲鹏资产管理有限公司持有本公司</w:t>
      </w:r>
      <w:r>
        <w:rPr>
          <w:rFonts w:ascii="Times New Roman" w:hAnsi="Times New Roman" w:cs="Times New Roman" w:eastAsia="Times New Roman" w:hint="default"/>
        </w:rPr>
        <w:t>2.23%</w:t>
      </w:r>
      <w:r>
        <w:rPr/>
        <w:t>的股权，这三名特定投资者的投票权委托路楠执行。</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本企业子公司的情况详见附注本财务报</w:t>
      </w:r>
      <w:r>
        <w:rPr>
          <w:spacing w:val="1"/>
        </w:rPr>
        <w:t>表</w:t>
      </w:r>
      <w:r>
        <w:rPr/>
        <w:t>附注在其他主体中的权益之说明</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after="0" w:line="240" w:lineRule="auto"/>
        <w:jc w:val="left"/>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武汉医惠健康科技有限公司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上海互软医康信息技术有限公司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浙江华惠医疗科技有限公司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法定代表人章笠中持股的企业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本公司之股东、董事长、法定代表人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本公司之董事、高级管理人员</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419"/>
        <w:gridCol w:w="1699"/>
        <w:gridCol w:w="1561"/>
        <w:gridCol w:w="1346"/>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3"/>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6"/>
              <w:jc w:val="righ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10,414,262.48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8,178,205.20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419"/>
        <w:gridCol w:w="1699"/>
        <w:gridCol w:w="1561"/>
        <w:gridCol w:w="134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855,821.85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4,682,576.76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3,572,405.08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698,113.19</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1,908,535.38</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杭州国家软件产业基地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1,792,452.88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641,509.45</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上海医浦信息科技有限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1,633,078.05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532,264.95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449,320.72</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苏州智康信息科技股份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982,785.62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411,067.97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医惠科技（广东）有限公</w:t>
            </w:r>
            <w:r>
              <w:rPr>
                <w:rFonts w:ascii="宋体" w:hAnsi="宋体" w:cs="宋体" w:eastAsia="宋体" w:hint="default"/>
                <w:sz w:val="18"/>
                <w:szCs w:val="18"/>
              </w:rPr>
              <w:t>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1,963,572.84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161,538.46</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天津医康互联科技有限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1,840,581.87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1,941,747.57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杭州云在信息科技有限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4,616,292.66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2,651,735.94</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4,626,282.39</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955,555.58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165,094.34</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广州市天威电子科技有 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69,146.61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1,114,529.93</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上海互软医康信息技术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4,258,585.18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武汉医惠健康科技有限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795,921.26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1,492,195.85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4,528,301.76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浙江华惠医疗科技有限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洗涤费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634,949.81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1702"/>
        <w:gridCol w:w="1488"/>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9,696,581.19</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512,820.51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1,196,581.20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472,217.24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159,171.28</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313,045.61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1,899,972.64</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1702"/>
        <w:gridCol w:w="1488"/>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4,367,432.95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300,471.70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6,367.52</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36,594.82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44,904.04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37,889.29</w:t>
            </w: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4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552"/>
        <w:gridCol w:w="1702"/>
        <w:gridCol w:w="1913"/>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89,281.38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107,003.61</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47,619.04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99,391.77</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960,596.16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83,858.37</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58,806.60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关联租赁情况说明</w:t>
      </w:r>
    </w:p>
    <w:p>
      <w:pPr>
        <w:spacing w:after="0" w:line="240" w:lineRule="auto"/>
        <w:jc w:val="left"/>
        <w:sectPr>
          <w:type w:val="continuous"/>
          <w:pgSz w:w="11910" w:h="16840"/>
          <w:pgMar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1133"/>
        <w:jc w:val="left"/>
      </w:pPr>
      <w:r>
        <w:rPr/>
        <w:t>本公司作为被担保方</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3,940,200.00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2657"/>
        <w:gridCol w:w="1328"/>
        <w:gridCol w:w="1330"/>
        <w:gridCol w:w="1328"/>
        <w:gridCol w:w="1330"/>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265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11,671,390.00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599,889.00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5,000.00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1,400,000.00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596"/>
        <w:gridCol w:w="2657"/>
        <w:gridCol w:w="1328"/>
        <w:gridCol w:w="1330"/>
        <w:gridCol w:w="1328"/>
        <w:gridCol w:w="133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185,230.40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9,261.52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1,871,576.00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187,157.60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1,872,968.00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93,648.40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5,382,000.00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285,025.00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318,500.00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15,925.00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199,514.00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16,998.10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b/>
                <w:spacing w:val="-1"/>
                <w:sz w:val="18"/>
              </w:rPr>
              <w:t>8,024,290.00</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b/>
                <w:spacing w:val="-1"/>
                <w:sz w:val="18"/>
              </w:rPr>
              <w:t>522,740.70</w:t>
            </w:r>
            <w:r>
              <w:rPr>
                <w:rFonts w:ascii="Times New Roman"/>
                <w:spacing w:val="-1"/>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b/>
                <w:spacing w:val="-1"/>
                <w:sz w:val="18"/>
              </w:rPr>
              <w:t>15,548,088.40</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b/>
                <w:spacing w:val="-1"/>
                <w:sz w:val="18"/>
              </w:rPr>
              <w:t>793,723.92</w:t>
            </w:r>
            <w:r>
              <w:rPr>
                <w:rFonts w:ascii="Times New Roman"/>
                <w:spacing w:val="-1"/>
                <w:sz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6,975,981.54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638,461.54</w:t>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556,840.00</w:t>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w:t>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2,282.76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757,241.38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311,515.74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13,579,986.57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22,236,407.99</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1,302,301.54</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1,750.00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1,750.00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75,695.36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3,784.77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41,095.57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2,054.78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1,156,815.39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57,840.77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b/>
                <w:spacing w:val="-1"/>
                <w:sz w:val="18"/>
              </w:rPr>
              <w:t>8,088,762.25</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b/>
                <w:spacing w:val="-2"/>
                <w:sz w:val="18"/>
              </w:rPr>
              <w:t>461,938.11</w:t>
            </w:r>
            <w:r>
              <w:rPr>
                <w:rFonts w:ascii="Times New Roman"/>
                <w:spacing w:val="-2"/>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b/>
                <w:spacing w:val="-1"/>
                <w:sz w:val="18"/>
              </w:rPr>
              <w:t>1,232,910.96</w:t>
            </w:r>
            <w:r>
              <w:rPr>
                <w:rFonts w:ascii="Times New Roman"/>
                <w:spacing w:val="-1"/>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b/>
                <w:spacing w:val="-1"/>
                <w:sz w:val="18"/>
              </w:rPr>
              <w:t>61,645.55</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713"/>
        <w:gridCol w:w="2074"/>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893,660.00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509,135.00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1,955,525.63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319,200.00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2,171,177.73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267,457.50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91"/>
        <w:gridCol w:w="2713"/>
        <w:gridCol w:w="2074"/>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20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武汉医惠健康科技有限公司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上海互软医康信息技术有限公司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1,162,455.86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浙江华惠医疗科技有限公司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354,771.43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13"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b/>
                <w:spacing w:val="-1"/>
                <w:sz w:val="18"/>
              </w:rPr>
              <w:t>6,135,039.71</w:t>
            </w:r>
            <w:r>
              <w:rPr>
                <w:rFonts w:ascii="Times New Roman"/>
                <w:spacing w:val="-1"/>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b/>
                <w:spacing w:val="-1"/>
                <w:sz w:val="18"/>
              </w:rPr>
              <w:t>2,917,167.77</w:t>
            </w:r>
            <w:r>
              <w:rPr>
                <w:rFonts w:ascii="Times New Roman"/>
                <w:spacing w:val="-1"/>
                <w:sz w:val="18"/>
              </w:rPr>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104,523.00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13"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b/>
                <w:spacing w:val="-2"/>
                <w:sz w:val="18"/>
              </w:rPr>
              <w:t>116,843.00</w:t>
            </w:r>
            <w:r>
              <w:rPr>
                <w:rFonts w:ascii="Times New Roman"/>
                <w:spacing w:val="-2"/>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0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4,544.00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39,885.01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7,487.84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13"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b/>
                <w:spacing w:val="-1"/>
                <w:sz w:val="18"/>
              </w:rPr>
              <w:t>781,916.85</w:t>
            </w:r>
            <w:r>
              <w:rPr>
                <w:rFonts w:ascii="Times New Roman"/>
                <w:spacing w:val="-1"/>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b/>
                <w:spacing w:val="-1"/>
                <w:sz w:val="18"/>
              </w:rPr>
              <w:t>164,544.00</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52" w:right="8345"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4"/>
        <w:spacing w:line="240" w:lineRule="auto" w:before="161"/>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firstLine="360"/>
        <w:jc w:val="righ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日公司第四届董事会第八次会议审议通过，公司</w:t>
      </w:r>
      <w:r>
        <w:rPr>
          <w:rFonts w:ascii="Times New Roman" w:hAnsi="Times New Roman" w:cs="Times New Roman" w:eastAsia="Times New Roman" w:hint="default"/>
        </w:rPr>
        <w:t>2018</w:t>
      </w:r>
      <w:r>
        <w:rPr/>
        <w:t>年度利润分配议案如下：</w:t>
      </w:r>
      <w:r>
        <w:rPr>
          <w:rFonts w:ascii="Times New Roman" w:hAnsi="Times New Roman" w:cs="Times New Roman" w:eastAsia="Times New Roman" w:hint="default"/>
        </w:rPr>
        <w:t>1)</w:t>
      </w:r>
      <w:r>
        <w:rPr/>
        <w:t>按</w:t>
      </w:r>
      <w:r>
        <w:rPr>
          <w:rFonts w:ascii="Times New Roman" w:hAnsi="Times New Roman" w:cs="Times New Roman" w:eastAsia="Times New Roman" w:hint="default"/>
        </w:rPr>
        <w:t>2018</w:t>
      </w:r>
      <w:r>
        <w:rPr/>
        <w:t>年度母公司</w:t>
      </w:r>
      <w:r>
        <w:rPr>
          <w:w w:val="99"/>
        </w:rPr>
        <w:t> </w:t>
      </w:r>
      <w:r>
        <w:rPr/>
        <w:t>实现净利润的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579,166.73</w:t>
      </w:r>
      <w:r>
        <w:rPr/>
        <w:t>元。</w:t>
      </w:r>
      <w:r>
        <w:rPr>
          <w:rFonts w:ascii="Times New Roman" w:hAnsi="Times New Roman" w:cs="Times New Roman" w:eastAsia="Times New Roman" w:hint="default"/>
        </w:rPr>
        <w:t>2)</w:t>
      </w:r>
      <w:r>
        <w:rPr/>
        <w:t>每</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股派发现金股利人民币</w:t>
      </w:r>
      <w:r>
        <w:rPr>
          <w:rFonts w:ascii="Times New Roman" w:hAnsi="Times New Roman" w:cs="Times New Roman" w:eastAsia="Times New Roman" w:hint="default"/>
        </w:rPr>
        <w:t>0.18</w:t>
      </w:r>
      <w:r>
        <w:rPr/>
        <w:t>元（含税）</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14,541,936.01</w:t>
      </w:r>
      <w:r>
        <w:rPr/>
        <w:t>元。</w:t>
      </w:r>
      <w:r>
        <w:rPr>
          <w:spacing w:val="-3"/>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月，医惠科技公司与中国农业银行股份有限公司杭州滨江支行签订《中国农业银行股份有限公司固定资产</w:t>
      </w:r>
    </w:p>
    <w:p>
      <w:pPr>
        <w:pStyle w:val="BodyText"/>
        <w:spacing w:line="300" w:lineRule="auto" w:before="13"/>
        <w:ind w:right="0"/>
        <w:jc w:val="left"/>
      </w:pPr>
      <w:r>
        <w:rPr>
          <w:spacing w:val="-1"/>
        </w:rPr>
        <w:t>借款合同》和《最高额抵押合同》，合同约定借款金额为</w:t>
      </w:r>
      <w:r>
        <w:rPr>
          <w:rFonts w:ascii="Times New Roman" w:hAnsi="Times New Roman" w:cs="Times New Roman" w:eastAsia="Times New Roman" w:hint="default"/>
          <w:spacing w:val="-1"/>
        </w:rPr>
        <w:t>2,000</w:t>
      </w:r>
      <w:r>
        <w:rPr>
          <w:spacing w:val="-1"/>
        </w:rPr>
        <w:t>万元，医惠科技公司以土地使用权（土地权证号为浙〔</w:t>
      </w:r>
      <w:r>
        <w:rPr>
          <w:rFonts w:ascii="Times New Roman" w:hAnsi="Times New Roman" w:cs="Times New Roman" w:eastAsia="Times New Roman" w:hint="default"/>
          <w:spacing w:val="-1"/>
        </w:rPr>
        <w:t>2018</w:t>
      </w:r>
      <w:r>
        <w:rPr>
          <w:spacing w:val="-1"/>
        </w:rPr>
        <w:t>〕</w:t>
      </w:r>
      <w:r>
        <w:rPr>
          <w:spacing w:val="-70"/>
        </w:rPr>
        <w:t> </w:t>
      </w:r>
      <w:r>
        <w:rPr/>
        <w:t>杭州市不动产权第</w:t>
      </w:r>
      <w:r>
        <w:rPr>
          <w:rFonts w:ascii="Times New Roman" w:hAnsi="Times New Roman" w:cs="Times New Roman" w:eastAsia="Times New Roman" w:hint="default"/>
        </w:rPr>
        <w:t>0318835</w:t>
      </w:r>
      <w:r>
        <w:rPr/>
        <w:t>号）进行抵押，抵押期限自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p>
    <w:p>
      <w:pPr>
        <w:pStyle w:val="BodyText"/>
        <w:spacing w:line="300" w:lineRule="auto" w:before="13"/>
        <w:ind w:right="1131" w:firstLine="42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月杭州市滨江区人民法院签发的《民事案件应诉通知书》（〔</w:t>
      </w:r>
      <w:r>
        <w:rPr>
          <w:rFonts w:ascii="Times New Roman" w:hAnsi="Times New Roman" w:cs="Times New Roman" w:eastAsia="Times New Roman" w:hint="default"/>
        </w:rPr>
        <w:t>2019</w:t>
      </w:r>
      <w:r>
        <w:rPr/>
        <w:t>〕浙</w:t>
      </w:r>
      <w:r>
        <w:rPr>
          <w:rFonts w:ascii="Times New Roman" w:hAnsi="Times New Roman" w:cs="Times New Roman" w:eastAsia="Times New Roman" w:hint="default"/>
        </w:rPr>
        <w:t>0108</w:t>
      </w:r>
      <w:r>
        <w:rPr/>
        <w:t>民初第</w:t>
      </w:r>
      <w:r>
        <w:rPr>
          <w:rFonts w:ascii="Times New Roman" w:hAnsi="Times New Roman" w:cs="Times New Roman" w:eastAsia="Times New Roman" w:hint="default"/>
        </w:rPr>
        <w:t>423</w:t>
      </w:r>
      <w:r>
        <w:rPr/>
        <w:t>号），杭州冠</w:t>
      </w:r>
      <w:r>
        <w:rPr>
          <w:w w:val="99"/>
        </w:rPr>
        <w:t> </w:t>
      </w:r>
      <w:r>
        <w:rPr/>
        <w:t>道机械设备制造有限公司要求医惠科技公司收购其持有的杭州智海医惠信息科技有限公司的</w:t>
      </w:r>
      <w:r>
        <w:rPr>
          <w:rFonts w:ascii="Times New Roman" w:hAnsi="Times New Roman" w:cs="Times New Roman" w:eastAsia="Times New Roman" w:hint="default"/>
        </w:rPr>
        <w:t>300</w:t>
      </w:r>
      <w:r>
        <w:rPr/>
        <w:t>万股股权，并支付股权转让</w:t>
      </w:r>
      <w:r>
        <w:rPr>
          <w:spacing w:val="-83"/>
        </w:rPr>
        <w:t> </w:t>
      </w:r>
      <w:r>
        <w:rPr>
          <w:spacing w:val="-83"/>
        </w:rPr>
      </w:r>
      <w:r>
        <w:rPr/>
        <w:t>款</w:t>
      </w:r>
      <w:r>
        <w:rPr>
          <w:rFonts w:ascii="Times New Roman" w:hAnsi="Times New Roman" w:cs="Times New Roman" w:eastAsia="Times New Roman" w:hint="default"/>
        </w:rPr>
        <w:t>600</w:t>
      </w:r>
      <w:r>
        <w:rPr/>
        <w:t>万元，支付利息</w:t>
      </w:r>
      <w:r>
        <w:rPr>
          <w:rFonts w:ascii="Times New Roman" w:hAnsi="Times New Roman" w:cs="Times New Roman" w:eastAsia="Times New Roman" w:hint="default"/>
        </w:rPr>
        <w:t>7,939,726.03</w:t>
      </w:r>
      <w:r>
        <w:rPr/>
        <w:t>元，支付违约损害赔偿金</w:t>
      </w:r>
      <w:r>
        <w:rPr>
          <w:rFonts w:ascii="Times New Roman" w:hAnsi="Times New Roman" w:cs="Times New Roman" w:eastAsia="Times New Roman" w:hint="default"/>
        </w:rPr>
        <w:t>3,610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日，该诉讼尚在审理中。</w:t>
      </w:r>
    </w:p>
    <w:p>
      <w:pPr>
        <w:spacing w:after="0" w:line="300" w:lineRule="auto"/>
        <w:jc w:val="both"/>
        <w:sectPr>
          <w:pgSz w:w="11910" w:h="16840"/>
          <w:pgMar w:header="745" w:footer="979" w:top="1040" w:bottom="116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113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宋体" w:hAnsi="宋体" w:cs="宋体" w:eastAsia="宋体" w:hint="default"/>
          <w:b/>
          <w:bCs/>
          <w:sz w:val="25"/>
          <w:szCs w:val="25"/>
        </w:rPr>
      </w:pPr>
    </w:p>
    <w:p>
      <w:pPr>
        <w:spacing w:before="0"/>
        <w:ind w:left="573" w:right="1133" w:firstLine="0"/>
        <w:jc w:val="left"/>
        <w:rPr>
          <w:rFonts w:ascii="宋体" w:hAnsi="宋体" w:cs="宋体" w:eastAsia="宋体" w:hint="default"/>
          <w:sz w:val="19"/>
          <w:szCs w:val="19"/>
        </w:rPr>
      </w:pPr>
      <w:r>
        <w:rPr>
          <w:rFonts w:ascii="宋体" w:hAnsi="宋体" w:cs="宋体" w:eastAsia="宋体" w:hint="default"/>
          <w:i/>
          <w:sz w:val="19"/>
          <w:szCs w:val="19"/>
        </w:rPr>
        <w:t>公司以内部组织结构、管理要求、内部报告制度等为依据确定报告分部。</w:t>
      </w:r>
      <w:r>
        <w:rPr>
          <w:rFonts w:ascii="宋体" w:hAnsi="宋体" w:cs="宋体" w:eastAsia="宋体" w:hint="default"/>
          <w:sz w:val="19"/>
          <w:szCs w:val="19"/>
        </w:rPr>
      </w:r>
    </w:p>
    <w:p>
      <w:pPr>
        <w:pStyle w:val="BodyText"/>
        <w:spacing w:line="316" w:lineRule="auto" w:before="75"/>
        <w:ind w:right="1133" w:firstLine="420"/>
        <w:jc w:val="left"/>
      </w:pPr>
      <w:r>
        <w:rPr/>
        <w:t>本公司以地区分部为基础确定报告分部，主营业务收入、主营业务成本按最终实现销售地进行划分，资产和负债按经 营实体所在地进行划分。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after="0" w:line="240" w:lineRule="auto"/>
        <w:jc w:val="right"/>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10" w:space="0" w:color="D9D9D9"/>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853,685,360.50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476,965,081.07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59,345,392.19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1,271,305,049.38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431,195,923.91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356,772,755.65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66,465,431.14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721,503,248.42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3,495,545,783.27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164,597,480.30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236,047,559.89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3,424,095,703.68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1,176,166,591.46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257,302,978.52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256,095,031.99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1,177,374,537.99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日，本公司开立的尚在有效期内的信用证余额为人民币</w:t>
      </w:r>
      <w:r>
        <w:rPr>
          <w:rFonts w:ascii="Times New Roman" w:hAnsi="Times New Roman" w:cs="Times New Roman" w:eastAsia="Times New Roman" w:hint="default"/>
        </w:rPr>
        <w:t>2,154,615.00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1133"/>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5,885.00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123,193,745.12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149,817,774.86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124,226,562.39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149,823,659.86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5,885.00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5,885.00</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222"/>
        <w:jc w:val="right"/>
      </w:pPr>
      <w:r>
        <w:rPr/>
        <w:t>单位：元</w:t>
      </w:r>
    </w:p>
    <w:p>
      <w:pPr>
        <w:spacing w:after="0" w:line="240" w:lineRule="auto"/>
        <w:jc w:val="right"/>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137,886,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155.07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14,692,4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123,193,7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154,716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,212.77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11,048,66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5.56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143,667,54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7.21</w:t>
            </w: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4,028,78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6.96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4,028,78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11,182,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232.10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5,032,004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6,150,227.6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141,914,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942.03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18,721,1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96.91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13.19%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123,193,7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45.12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165,898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,444.87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16,080,67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0.01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149,817,77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4.86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40" w:bottom="1160" w:left="980" w:right="0"/>
        </w:sectPr>
      </w:pPr>
    </w:p>
    <w:p>
      <w:pPr>
        <w:pStyle w:val="BodyText"/>
        <w:spacing w:line="240" w:lineRule="auto" w:before="49"/>
        <w:ind w:right="-19"/>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100,097,491.03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5,004,874.55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19,959,489.18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1,995,948.92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14,482,269.11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4,344,680.73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3,346,905.75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3,346,905.75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137,886,155.07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14,692,409.95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10.66%</w:t>
            </w:r>
          </w:p>
        </w:tc>
      </w:tr>
    </w:tbl>
    <w:p>
      <w:pPr>
        <w:pStyle w:val="BodyText"/>
        <w:spacing w:line="240" w:lineRule="auto" w:before="49"/>
        <w:ind w:right="1133"/>
        <w:jc w:val="left"/>
      </w:pPr>
      <w:r>
        <w:rPr/>
        <w:t>确定该组合依据的说明：</w:t>
      </w:r>
    </w:p>
    <w:p>
      <w:pPr>
        <w:spacing w:after="0" w:line="240" w:lineRule="auto"/>
        <w:jc w:val="left"/>
        <w:sectPr>
          <w:type w:val="continuous"/>
          <w:pgSz w:w="11910" w:h="16840"/>
          <w:pgMar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t>组合中，采用余额百分比法计提坏账准备的应收账款：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00" w:lineRule="auto" w:before="43"/>
        <w:ind w:right="1131" w:firstLine="420"/>
        <w:jc w:val="both"/>
      </w:pPr>
      <w:r>
        <w:rPr/>
        <w:t>期末单项金额不重大但单项计提坏账准备的应收账款系因客户</w:t>
      </w:r>
      <w:r>
        <w:rPr>
          <w:rFonts w:ascii="Times New Roman" w:hAnsi="Times New Roman" w:cs="Times New Roman" w:eastAsia="Times New Roman" w:hint="default"/>
        </w:rPr>
        <w:t>UNIVERSAL SURVEILLANCE SYSTEMS</w:t>
      </w:r>
      <w:r>
        <w:rPr>
          <w:rFonts w:ascii="Times New Roman" w:hAnsi="Times New Roman" w:cs="Times New Roman" w:eastAsia="Times New Roman" w:hint="default"/>
          <w:spacing w:val="30"/>
        </w:rPr>
        <w:t> </w:t>
      </w:r>
      <w:r>
        <w:rPr/>
        <w:t>目前资金状 况紧张，公司本期收到中国出口信用保险公司的赔偿</w:t>
      </w:r>
      <w:r>
        <w:rPr>
          <w:rFonts w:ascii="Times New Roman" w:hAnsi="Times New Roman" w:cs="Times New Roman" w:eastAsia="Times New Roman" w:hint="default"/>
        </w:rPr>
        <w:t>1,127,917.78</w:t>
      </w:r>
      <w:r>
        <w:rPr/>
        <w:t>美元，对应收</w:t>
      </w:r>
      <w:r>
        <w:rPr>
          <w:rFonts w:ascii="Times New Roman" w:hAnsi="Times New Roman" w:cs="Times New Roman" w:eastAsia="Times New Roman" w:hint="default"/>
        </w:rPr>
        <w:t>UNIVERSAL</w:t>
      </w:r>
      <w:r>
        <w:rPr>
          <w:rFonts w:ascii="Times New Roman" w:hAnsi="Times New Roman" w:cs="Times New Roman" w:eastAsia="Times New Roman" w:hint="default"/>
          <w:spacing w:val="-21"/>
        </w:rPr>
        <w:t> </w:t>
      </w:r>
      <w:r>
        <w:rPr>
          <w:rFonts w:ascii="Times New Roman" w:hAnsi="Times New Roman" w:cs="Times New Roman" w:eastAsia="Times New Roman" w:hint="default"/>
        </w:rPr>
        <w:t>SURVEILLANCE</w:t>
      </w:r>
      <w:r>
        <w:rPr>
          <w:rFonts w:ascii="Times New Roman" w:hAnsi="Times New Roman" w:cs="Times New Roman" w:eastAsia="Times New Roman" w:hint="default"/>
          <w:spacing w:val="-21"/>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5"/>
        </w:rPr>
        <w:t> </w:t>
      </w:r>
      <w:r>
        <w:rPr/>
        <w:t>剩 余款项</w:t>
      </w:r>
      <w:r>
        <w:rPr>
          <w:rFonts w:ascii="Times New Roman" w:hAnsi="Times New Roman" w:cs="Times New Roman" w:eastAsia="Times New Roman" w:hint="default"/>
        </w:rPr>
        <w:t>4,028,786.96</w:t>
      </w:r>
      <w:r>
        <w:rPr/>
        <w:t>元全额计提坏账准备。</w:t>
      </w:r>
    </w:p>
    <w:p>
      <w:pPr>
        <w:pStyle w:val="BodyText"/>
        <w:spacing w:line="240" w:lineRule="auto" w:before="53"/>
        <w:ind w:right="113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4682"/>
        <w:jc w:val="left"/>
      </w:pPr>
      <w:r>
        <w:rPr/>
        <w:t>本期计提坏账准备金额</w:t>
      </w:r>
      <w:r>
        <w:rPr>
          <w:spacing w:val="-46"/>
        </w:rPr>
        <w:t> </w:t>
      </w:r>
      <w:r>
        <w:rPr>
          <w:rFonts w:ascii="Times New Roman" w:hAnsi="Times New Roman" w:cs="Times New Roman" w:eastAsia="Times New Roman" w:hint="default"/>
        </w:rPr>
        <w:t>3,179,847.80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1"/>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4"/>
        <w:gridCol w:w="4587"/>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539,320.90</w:t>
            </w:r>
          </w:p>
        </w:tc>
      </w:tr>
    </w:tbl>
    <w:p>
      <w:pPr>
        <w:pStyle w:val="BodyText"/>
        <w:spacing w:line="240" w:lineRule="auto" w:before="49"/>
        <w:ind w:right="1133"/>
        <w:jc w:val="left"/>
      </w:pPr>
      <w:r>
        <w:rPr/>
        <w:t>其中重要的应收账款核销情况：</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pStyle w:val="BodyText"/>
        <w:spacing w:line="240" w:lineRule="auto" w:before="115"/>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349"/>
        <w:gridCol w:w="1724"/>
        <w:gridCol w:w="2300"/>
        <w:gridCol w:w="1277"/>
      </w:tblGrid>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占应收账款余额的比例</w:t>
            </w:r>
            <w:r>
              <w:rPr>
                <w:rFonts w:ascii="Times New Roman" w:hAnsi="Times New Roman" w:cs="Times New Roman" w:eastAsia="Times New Roman"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9" w:right="0"/>
              <w:jc w:val="left"/>
              <w:rPr>
                <w:rFonts w:ascii="Times New Roman" w:hAnsi="Times New Roman" w:cs="Times New Roman" w:eastAsia="Times New Roman" w:hint="default"/>
                <w:sz w:val="18"/>
                <w:szCs w:val="18"/>
              </w:rPr>
            </w:pPr>
            <w:r>
              <w:rPr>
                <w:rFonts w:ascii="Times New Roman"/>
                <w:sz w:val="18"/>
              </w:rPr>
              <w:t>CENTURY LINK</w:t>
            </w:r>
            <w:r>
              <w:rPr>
                <w:rFonts w:ascii="Times New Roman"/>
                <w:spacing w:val="-4"/>
                <w:sz w:val="18"/>
              </w:rPr>
              <w:t> </w:t>
            </w:r>
            <w:r>
              <w:rPr>
                <w:rFonts w:ascii="Times New Roman"/>
                <w:sz w:val="18"/>
              </w:rPr>
              <w:t>AMERICA,INC</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22,157,184.12</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1,683,684.10</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Century Retail Europe</w:t>
            </w:r>
            <w:r>
              <w:rPr>
                <w:rFonts w:ascii="Times New Roman"/>
                <w:spacing w:val="-5"/>
                <w:sz w:val="18"/>
              </w:rPr>
              <w:t> </w:t>
            </w:r>
            <w:r>
              <w:rPr>
                <w:rFonts w:ascii="Times New Roman"/>
                <w:sz w:val="18"/>
              </w:rPr>
              <w:t>BV</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18,897,671.81</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13.32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944,883.59</w:t>
            </w:r>
          </w:p>
        </w:tc>
      </w:tr>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68"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18,226,469.08</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4,443,512.41</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宋体" w:hAnsi="宋体" w:cs="宋体" w:eastAsia="宋体" w:hint="default"/>
                <w:sz w:val="18"/>
                <w:szCs w:val="18"/>
              </w:rPr>
              <w:t>公司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11,861,831.46</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593,091.57</w:t>
            </w:r>
          </w:p>
        </w:tc>
      </w:tr>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14" w:right="0"/>
              <w:jc w:val="left"/>
              <w:rPr>
                <w:rFonts w:ascii="Times New Roman" w:hAnsi="Times New Roman" w:cs="Times New Roman" w:eastAsia="Times New Roman" w:hint="default"/>
                <w:sz w:val="18"/>
                <w:szCs w:val="18"/>
              </w:rPr>
            </w:pPr>
            <w:r>
              <w:rPr>
                <w:rFonts w:ascii="Times New Roman"/>
                <w:sz w:val="18"/>
              </w:rPr>
              <w:t>ReTec Wandlitz</w:t>
            </w:r>
            <w:r>
              <w:rPr>
                <w:rFonts w:ascii="Times New Roman"/>
                <w:spacing w:val="-5"/>
                <w:sz w:val="18"/>
              </w:rPr>
              <w:t> </w:t>
            </w:r>
            <w:r>
              <w:rPr>
                <w:rFonts w:ascii="Times New Roman"/>
                <w:sz w:val="18"/>
              </w:rPr>
              <w:t>GmbH</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4,946,631.51</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247,331.58</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76,089,787.98</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53.62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7,912,503.25</w:t>
            </w:r>
          </w:p>
        </w:tc>
      </w:tr>
    </w:tbl>
    <w:p>
      <w:pPr>
        <w:pStyle w:val="BodyText"/>
        <w:spacing w:line="240" w:lineRule="auto" w:before="49"/>
        <w:ind w:right="1133"/>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75,640,386.82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54,114,709.29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75,640,386.82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54,114,709.29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rFonts w:ascii="Times New Roman" w:hAnsi="Times New Roman" w:cs="Times New Roman" w:eastAsia="Times New Roman" w:hint="default"/>
        </w:rPr>
        <w:t>2)</w:t>
      </w:r>
      <w:r>
        <w:rPr/>
        <w:t>重要逾期利息</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85,963,5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10,323,1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75,640,38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57,928,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501.76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3,813,792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54,114,709.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85,963,5</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00.17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10,323,1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13.35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12.01%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75,640,38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6.82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57,928,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501.76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3,813,792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54,114,709.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期末单项金额重大并单项计提坏账准备的其他应收款：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32,677,630.98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1,633,881.55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42,888,861.36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4,288,886.14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8,566,660.23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2,569,998.06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1,830,347.60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1,830,347.60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85,963,500.17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10,323,113.35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40" w:bottom="1160" w:left="980" w:right="0"/>
        </w:sectPr>
      </w:pPr>
    </w:p>
    <w:p>
      <w:pPr>
        <w:pStyle w:val="BodyText"/>
        <w:spacing w:line="357" w:lineRule="auto" w:before="49"/>
        <w:ind w:right="1561"/>
        <w:jc w:val="left"/>
      </w:pPr>
      <w:r>
        <w:rPr/>
        <w:t>确定该组合依据的说明： 组合中，采用余额百分比法计提坏账准备的其他应收款：</w:t>
      </w:r>
    </w:p>
    <w:p>
      <w:pPr>
        <w:pStyle w:val="BodyText"/>
        <w:spacing w:line="338" w:lineRule="auto" w:before="29"/>
        <w:ind w:right="19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6"/>
        </w:rPr>
        <w:t> </w:t>
      </w:r>
      <w:r>
        <w:rPr>
          <w:rFonts w:ascii="Times New Roman" w:hAnsi="Times New Roman" w:cs="Times New Roman" w:eastAsia="Times New Roman" w:hint="default"/>
        </w:rPr>
        <w:t>6,509,320.88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6234" w:space="259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7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40" w:bottom="116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4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76,106,854.56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48,759,400.70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子公司注销应收回的投资款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6,184,347.55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2,091,197.10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1,430,847.50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房租物管费、水电费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4,211,946.36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3,553,502.15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1,533,006.01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85,963,500.17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57,928,501.76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4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杭州思创汇联科技有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拆借款、其他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41,838,868.05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5,653,150.53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杭州医惠医用织物管 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33,539,460.41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2,201,973.02</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杭州思创医惠孵化器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房租物管费、水电 费、其他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4,223,318.93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211,165.95</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杭州思创宣道信息技 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拆借款、其他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2,236,320.07</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1,862,277.68</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浙江省杭州市中级人 民法院</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押金保证金、受理 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553,356.00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55,335.60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82,391,323.46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9,983,902.78</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33"/>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0"/>
        <w:ind w:right="1133"/>
        <w:jc w:val="left"/>
      </w:pPr>
      <w:r>
        <w:rPr>
          <w:rFonts w:ascii="宋体" w:hAnsi="宋体" w:cs="宋体" w:eastAsia="宋体" w:hint="default"/>
        </w:rPr>
        <w:t>7)</w:t>
      </w:r>
      <w:r>
        <w:rPr/>
        <w:t>因金融资产转移而终止确认的其他应收款</w:t>
      </w:r>
    </w:p>
    <w:p>
      <w:pPr>
        <w:pStyle w:val="BodyText"/>
        <w:spacing w:line="360" w:lineRule="auto" w:before="115"/>
        <w:ind w:right="6614"/>
        <w:jc w:val="left"/>
      </w:pPr>
      <w:r>
        <w:rPr>
          <w:rFonts w:ascii="宋体" w:hAnsi="宋体" w:cs="宋体" w:eastAsia="宋体" w:hint="default"/>
        </w:rPr>
        <w:t>8)</w:t>
      </w:r>
      <w:r>
        <w:rPr/>
        <w:t>转移其他应收款且继续涉入形成的资产、负债金额 其他说明：</w:t>
      </w:r>
    </w:p>
    <w:p>
      <w:pPr>
        <w:pStyle w:val="BodyText"/>
        <w:spacing w:line="316" w:lineRule="auto" w:before="25"/>
        <w:ind w:right="1073" w:firstLine="420"/>
        <w:jc w:val="left"/>
      </w:pPr>
      <w:r>
        <w:rPr/>
        <w:t>注</w:t>
      </w:r>
      <w:r>
        <w:rPr>
          <w:rFonts w:ascii="宋体" w:hAnsi="宋体" w:cs="宋体" w:eastAsia="宋体" w:hint="default"/>
        </w:rPr>
        <w:t>1</w:t>
      </w:r>
      <w:r>
        <w:rPr/>
        <w:t>：款项性质中拆借款金额为</w:t>
      </w:r>
      <w:r>
        <w:rPr>
          <w:rFonts w:ascii="宋体" w:hAnsi="宋体" w:cs="宋体" w:eastAsia="宋体" w:hint="default"/>
        </w:rPr>
        <w:t>40,178,666.68</w:t>
      </w:r>
      <w:r>
        <w:rPr/>
        <w:t>元，其他金额为</w:t>
      </w:r>
      <w:r>
        <w:rPr>
          <w:rFonts w:ascii="宋体" w:hAnsi="宋体" w:cs="宋体" w:eastAsia="宋体" w:hint="default"/>
        </w:rPr>
        <w:t>1,660,201.37</w:t>
      </w:r>
      <w:r>
        <w:rPr/>
        <w:t>元；账龄</w:t>
      </w:r>
      <w:r>
        <w:rPr>
          <w:rFonts w:ascii="宋体" w:hAnsi="宋体" w:cs="宋体" w:eastAsia="宋体" w:hint="default"/>
        </w:rPr>
        <w:t>1</w:t>
      </w:r>
      <w:r>
        <w:rPr/>
        <w:t>年以内金额为</w:t>
      </w:r>
      <w:r>
        <w:rPr>
          <w:rFonts w:ascii="宋体" w:hAnsi="宋体" w:cs="宋体" w:eastAsia="宋体" w:hint="default"/>
        </w:rPr>
        <w:t>2,894,439.46</w:t>
      </w:r>
      <w:r>
        <w:rPr/>
        <w:t>元， </w:t>
      </w:r>
      <w:r>
        <w:rPr>
          <w:rFonts w:ascii="宋体" w:hAnsi="宋体" w:cs="宋体" w:eastAsia="宋体" w:hint="default"/>
        </w:rPr>
        <w:t>1-2</w:t>
      </w:r>
      <w:r>
        <w:rPr/>
        <w:t>年金额为</w:t>
      </w:r>
      <w:r>
        <w:rPr>
          <w:rFonts w:ascii="宋体" w:hAnsi="宋体" w:cs="宋体" w:eastAsia="宋体" w:hint="default"/>
        </w:rPr>
        <w:t>30,874,500.10</w:t>
      </w:r>
      <w:r>
        <w:rPr/>
        <w:t>元，</w:t>
      </w:r>
      <w:r>
        <w:rPr>
          <w:rFonts w:ascii="宋体" w:hAnsi="宋体" w:cs="宋体" w:eastAsia="宋体" w:hint="default"/>
        </w:rPr>
        <w:t>2-3</w:t>
      </w:r>
      <w:r>
        <w:rPr/>
        <w:t>年金额为</w:t>
      </w:r>
      <w:r>
        <w:rPr>
          <w:rFonts w:ascii="宋体" w:hAnsi="宋体" w:cs="宋体" w:eastAsia="宋体" w:hint="default"/>
        </w:rPr>
        <w:t>8,069,928.49</w:t>
      </w:r>
      <w:r>
        <w:rPr/>
        <w:t>元。</w:t>
      </w:r>
    </w:p>
    <w:p>
      <w:pPr>
        <w:pStyle w:val="BodyText"/>
        <w:spacing w:line="316" w:lineRule="auto" w:before="19"/>
        <w:ind w:left="573" w:right="1133"/>
        <w:jc w:val="left"/>
      </w:pPr>
      <w:r>
        <w:rPr/>
        <w:t>注</w:t>
      </w:r>
      <w:r>
        <w:rPr>
          <w:rFonts w:ascii="宋体" w:hAnsi="宋体" w:cs="宋体" w:eastAsia="宋体" w:hint="default"/>
        </w:rPr>
        <w:t>2</w:t>
      </w:r>
      <w:r>
        <w:rPr/>
        <w:t>：账龄</w:t>
      </w:r>
      <w:r>
        <w:rPr>
          <w:rFonts w:ascii="宋体" w:hAnsi="宋体" w:cs="宋体" w:eastAsia="宋体" w:hint="default"/>
        </w:rPr>
        <w:t>1</w:t>
      </w:r>
      <w:r>
        <w:rPr/>
        <w:t>年以内金额为</w:t>
      </w:r>
      <w:r>
        <w:rPr>
          <w:rFonts w:ascii="宋体" w:hAnsi="宋体" w:cs="宋体" w:eastAsia="宋体" w:hint="default"/>
        </w:rPr>
        <w:t>23,039,460.41</w:t>
      </w:r>
      <w:r>
        <w:rPr/>
        <w:t>元，</w:t>
      </w:r>
      <w:r>
        <w:rPr>
          <w:rFonts w:ascii="宋体" w:hAnsi="宋体" w:cs="宋体" w:eastAsia="宋体" w:hint="default"/>
        </w:rPr>
        <w:t>1-2</w:t>
      </w:r>
      <w:r>
        <w:rPr/>
        <w:t>年金额为</w:t>
      </w:r>
      <w:r>
        <w:rPr>
          <w:rFonts w:ascii="宋体" w:hAnsi="宋体" w:cs="宋体" w:eastAsia="宋体" w:hint="default"/>
        </w:rPr>
        <w:t>10,500,000.00</w:t>
      </w:r>
      <w:r>
        <w:rPr/>
        <w:t>元。 注</w:t>
      </w:r>
      <w:r>
        <w:rPr>
          <w:rFonts w:ascii="宋体" w:hAnsi="宋体" w:cs="宋体" w:eastAsia="宋体" w:hint="default"/>
        </w:rPr>
        <w:t>3</w:t>
      </w:r>
      <w:r>
        <w:rPr/>
        <w:t>：款项性质中房租物管费金额为</w:t>
      </w:r>
      <w:r>
        <w:rPr>
          <w:rFonts w:ascii="宋体" w:hAnsi="宋体" w:cs="宋体" w:eastAsia="宋体" w:hint="default"/>
        </w:rPr>
        <w:t>3,051,340.33</w:t>
      </w:r>
      <w:r>
        <w:rPr/>
        <w:t>元，水电费金额为</w:t>
      </w:r>
      <w:r>
        <w:rPr>
          <w:rFonts w:ascii="宋体" w:hAnsi="宋体" w:cs="宋体" w:eastAsia="宋体" w:hint="default"/>
        </w:rPr>
        <w:t>1,160,606.03</w:t>
      </w:r>
      <w:r>
        <w:rPr/>
        <w:t>元，其他金额为</w:t>
      </w:r>
      <w:r>
        <w:rPr>
          <w:rFonts w:ascii="宋体" w:hAnsi="宋体" w:cs="宋体" w:eastAsia="宋体" w:hint="default"/>
        </w:rPr>
        <w:t>11,372.57</w:t>
      </w:r>
      <w:r>
        <w:rPr/>
        <w:t>元。 注</w:t>
      </w:r>
      <w:r>
        <w:rPr>
          <w:rFonts w:ascii="宋体" w:hAnsi="宋体" w:cs="宋体" w:eastAsia="宋体" w:hint="default"/>
        </w:rPr>
        <w:t>4</w:t>
      </w:r>
      <w:r>
        <w:rPr/>
        <w:t>：款项性质中拆借款金额为</w:t>
      </w:r>
      <w:r>
        <w:rPr>
          <w:rFonts w:ascii="宋体" w:hAnsi="宋体" w:cs="宋体" w:eastAsia="宋体" w:hint="default"/>
        </w:rPr>
        <w:t>2,116,405.55</w:t>
      </w:r>
      <w:r>
        <w:rPr/>
        <w:t>元，押金保证金金额为</w:t>
      </w:r>
      <w:r>
        <w:rPr>
          <w:rFonts w:ascii="宋体" w:hAnsi="宋体" w:cs="宋体" w:eastAsia="宋体" w:hint="default"/>
        </w:rPr>
        <w:t>115,623.60</w:t>
      </w:r>
      <w:r>
        <w:rPr/>
        <w:t>元，其他金额为</w:t>
      </w:r>
      <w:r>
        <w:rPr>
          <w:rFonts w:ascii="宋体" w:hAnsi="宋体" w:cs="宋体" w:eastAsia="宋体" w:hint="default"/>
        </w:rPr>
        <w:t>4,290.92</w:t>
      </w:r>
      <w:r>
        <w:rPr/>
        <w:t>元；账龄</w:t>
      </w:r>
      <w:r>
        <w:rPr>
          <w:rFonts w:ascii="宋体" w:hAnsi="宋体" w:cs="宋体" w:eastAsia="宋体" w:hint="default"/>
        </w:rPr>
        <w:t>1</w:t>
      </w:r>
      <w:r>
        <w:rPr/>
        <w:t>年</w:t>
      </w:r>
    </w:p>
    <w:p>
      <w:pPr>
        <w:pStyle w:val="BodyText"/>
        <w:spacing w:line="316" w:lineRule="auto" w:before="19"/>
        <w:ind w:left="573" w:right="1664" w:hanging="421"/>
        <w:jc w:val="left"/>
      </w:pPr>
      <w:r>
        <w:rPr/>
        <w:t>以内金额为</w:t>
      </w:r>
      <w:r>
        <w:rPr>
          <w:rFonts w:ascii="宋体" w:hAnsi="宋体" w:cs="宋体" w:eastAsia="宋体" w:hint="default"/>
        </w:rPr>
        <w:t>236,320.07</w:t>
      </w:r>
      <w:r>
        <w:rPr/>
        <w:t>元，</w:t>
      </w:r>
      <w:r>
        <w:rPr>
          <w:rFonts w:ascii="宋体" w:hAnsi="宋体" w:cs="宋体" w:eastAsia="宋体" w:hint="default"/>
        </w:rPr>
        <w:t>1-2</w:t>
      </w:r>
      <w:r>
        <w:rPr/>
        <w:t>年金额为</w:t>
      </w:r>
      <w:r>
        <w:rPr>
          <w:rFonts w:ascii="宋体" w:hAnsi="宋体" w:cs="宋体" w:eastAsia="宋体" w:hint="default"/>
        </w:rPr>
        <w:t>93,405.55</w:t>
      </w:r>
      <w:r>
        <w:rPr/>
        <w:t>元，</w:t>
      </w:r>
      <w:r>
        <w:rPr>
          <w:rFonts w:ascii="宋体" w:hAnsi="宋体" w:cs="宋体" w:eastAsia="宋体" w:hint="default"/>
        </w:rPr>
        <w:t>2-3</w:t>
      </w:r>
      <w:r>
        <w:rPr/>
        <w:t>年金额为</w:t>
      </w:r>
      <w:r>
        <w:rPr>
          <w:rFonts w:ascii="宋体" w:hAnsi="宋体" w:cs="宋体" w:eastAsia="宋体" w:hint="default"/>
        </w:rPr>
        <w:t>93,533.33</w:t>
      </w:r>
      <w:r>
        <w:rPr/>
        <w:t>元，</w:t>
      </w:r>
      <w:r>
        <w:rPr>
          <w:rFonts w:ascii="宋体" w:hAnsi="宋体" w:cs="宋体" w:eastAsia="宋体" w:hint="default"/>
        </w:rPr>
        <w:t>3</w:t>
      </w:r>
      <w:r>
        <w:rPr/>
        <w:t>年以上金额为</w:t>
      </w:r>
      <w:r>
        <w:rPr>
          <w:rFonts w:ascii="宋体" w:hAnsi="宋体" w:cs="宋体" w:eastAsia="宋体" w:hint="default"/>
        </w:rPr>
        <w:t>1,813,061.12</w:t>
      </w:r>
      <w:r>
        <w:rPr/>
        <w:t>元。 注</w:t>
      </w:r>
      <w:r>
        <w:rPr>
          <w:rFonts w:ascii="宋体" w:hAnsi="宋体" w:cs="宋体" w:eastAsia="宋体" w:hint="default"/>
        </w:rPr>
        <w:t>5</w:t>
      </w:r>
      <w:r>
        <w:rPr/>
        <w:t>：款项性质中项目担保金为</w:t>
      </w:r>
      <w:r>
        <w:rPr>
          <w:rFonts w:ascii="宋体" w:hAnsi="宋体" w:cs="宋体" w:eastAsia="宋体" w:hint="default"/>
        </w:rPr>
        <w:t>500,000</w:t>
      </w:r>
      <w:r>
        <w:rPr/>
        <w:t>元，案件受理费为</w:t>
      </w:r>
      <w:r>
        <w:rPr>
          <w:rFonts w:ascii="宋体" w:hAnsi="宋体" w:cs="宋体" w:eastAsia="宋体" w:hint="default"/>
        </w:rPr>
        <w:t>53,356.00</w:t>
      </w:r>
      <w:r>
        <w:rPr/>
        <w:t>元。</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1,586,900,611.03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1,586,900,611.03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1,584,900,611.03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1,584,900,611.03</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275,888,269.85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275,888,269.85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129,226,730.67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129,226,730.67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1,862,788,880.88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1,862,788,880.88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1,714,127,341.70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1,714,127,341.70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杭州思越科技有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杭州中瑞思创物 联科技有限公司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29,269,199.42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29,269,199.42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中瑞思创（香港） 国际有限公司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9,815,780.34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9,815,780.34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杭州中科思创射 频识别技术有限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杭州思创汇联科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上扬无线射频科 技扬州有限公司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杭州思创宣道信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浙江省沃森智慧 医疗研究院</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杭州华洁医疗科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杭州医惠医用织 物管理有限公司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杭州思创医惠孵 化器有限公司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杭州认知投资管 理有限公司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1,087,240,000.00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杭州琅玕科技有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17,275,631.27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17,275,631.27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1,584,900,611.03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1,586,900,611.03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上海瑞章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63,158,46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63,299,90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江苏钜芯 集成电路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62,880,97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70,459,91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广州市天 威电子科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3,187,293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2,957,243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宁波三创 瑞海投资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44,996,02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杭州丰廪 医健股权 投资合伙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79,977,35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深圳智慧 医学科技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-802,173.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14,197,82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129,226,7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275,888,2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129,226,7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-828,921.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-22,978.7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7,513,439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275,888,2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69.85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3750"/>
        <w:gridCol w:w="3816"/>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40" w:bottom="1160" w:left="980" w:right="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684" w:right="0"/>
              <w:jc w:val="left"/>
              <w:rPr>
                <w:rFonts w:ascii="Times New Roman" w:hAnsi="Times New Roman" w:cs="Times New Roman" w:eastAsia="Times New Roman" w:hint="default"/>
                <w:sz w:val="18"/>
                <w:szCs w:val="18"/>
              </w:rPr>
            </w:pPr>
            <w:r>
              <w:rPr>
                <w:rFonts w:ascii="Times New Roman"/>
                <w:sz w:val="18"/>
              </w:rPr>
              <w:t>346,188,849.65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272,943,181.13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402,101,268.51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291,327,470.21</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10,359,353.25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8,915,613.08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6,882,439.81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4,122,372.52</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684" w:right="0"/>
              <w:jc w:val="left"/>
              <w:rPr>
                <w:rFonts w:ascii="Times New Roman" w:hAnsi="Times New Roman" w:cs="Times New Roman" w:eastAsia="Times New Roman" w:hint="default"/>
                <w:sz w:val="18"/>
                <w:szCs w:val="18"/>
              </w:rPr>
            </w:pPr>
            <w:r>
              <w:rPr>
                <w:rFonts w:ascii="Times New Roman"/>
                <w:sz w:val="18"/>
              </w:rPr>
              <w:t>356,548,202.90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281,858,794.21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408,983,708.32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295,449,842.73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35,269,196.70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36,644,718.55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-828,921.88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4,820,510.50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1,064,876.29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34,440,274.82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42,530,105.34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-1,336,790.81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15,592,023.55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555,107.31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173,097.56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1,883,529.08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108,601.55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12,991,306.98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40" w:bottom="1160" w:left="980" w:right="0"/>
        </w:sectPr>
      </w:pPr>
    </w:p>
    <w:p>
      <w:pPr>
        <w:spacing w:line="240" w:lineRule="auto" w:before="7"/>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4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pStyle w:val="Heading1"/>
        <w:spacing w:line="240" w:lineRule="auto"/>
        <w:ind w:left="3285" w:right="113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before="0"/>
        <w:ind w:right="1154" w:firstLine="480"/>
        <w:jc w:val="left"/>
      </w:pPr>
      <w:r>
        <w:rPr/>
        <w:t>一、载有公司负责人章笠中先生、主管会计工作负责人王凛先生、会计机构负责人（会 计主管人员）王凛先生签名并盖章的财务报表。</w:t>
      </w:r>
    </w:p>
    <w:p>
      <w:pPr>
        <w:pStyle w:val="Heading3"/>
        <w:spacing w:line="357" w:lineRule="auto" w:before="36"/>
        <w:ind w:left="633" w:right="1153"/>
        <w:jc w:val="left"/>
      </w:pPr>
      <w:r>
        <w:rPr/>
        <w:t>二、载有会计师事务所盖章、注册会计师签名并盖章的审计报告原件。 三、报告期内在中国证监会指定网站上公开披露的所有公司文件的正本及公告的原稿。 四、载有董事长签名的</w:t>
      </w:r>
      <w:r>
        <w:rPr>
          <w:rFonts w:ascii="宋体" w:hAnsi="宋体" w:cs="宋体" w:eastAsia="宋体" w:hint="default"/>
        </w:rPr>
        <w:t>2018</w:t>
      </w:r>
      <w:r>
        <w:rPr/>
        <w:t>年年度报告及摘要文本原件。 以上备查文件的备置地点：公司证券管理部</w:t>
      </w:r>
    </w:p>
    <w:sectPr>
      <w:pgSz w:w="11910" w:h="16840"/>
      <w:pgMar w:header="745" w:footer="979" w:top="104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352" type="#_x0000_t75" stroked="false">
          <v:imagedata r:id="rId1" o:title=""/>
        </v:shape>
      </w:pict>
    </w:r>
    <w:r>
      <w:rPr/>
      <w:pict>
        <v:shape style="position:absolute;margin-left:533.099976pt;margin-top:795.637939pt;width:6.5pt;height:11pt;mso-position-horizontal-relative:page;mso-position-vertical-relative:page;z-index:-10803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304" type="#_x0000_t75" stroked="false">
          <v:imagedata r:id="rId1" o:title=""/>
        </v:shape>
      </w:pict>
    </w:r>
    <w:r>
      <w:rPr/>
      <w:pict>
        <v:shape style="position:absolute;margin-left:527.659973pt;margin-top:781.957947pt;width:13.15pt;height:11pt;mso-position-horizontal-relative:page;mso-position-vertical-relative:page;z-index:-1080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256" type="#_x0000_t75" stroked="false">
          <v:imagedata r:id="rId1" o:title=""/>
        </v:shape>
      </w:pict>
    </w:r>
    <w:r>
      <w:rPr/>
      <w:pict>
        <v:shape style="position:absolute;margin-left:524.099976pt;margin-top:781.957947pt;width:15.7pt;height:11pt;mso-position-horizontal-relative:page;mso-position-vertical-relative:page;z-index:-1080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208" type="#_x0000_t75" stroked="false">
          <v:imagedata r:id="rId1" o:title=""/>
        </v:shape>
      </w:pict>
    </w:r>
    <w:r>
      <w:rPr/>
      <w:pict>
        <v:shape style="position:absolute;margin-left:523.099976pt;margin-top:781.957947pt;width:17.7pt;height:11pt;mso-position-horizontal-relative:page;mso-position-vertical-relative:page;z-index:-1080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160" type="#_x0000_t75" stroked="false">
          <v:imagedata r:id="rId1" o:title=""/>
        </v:shape>
      </w:pict>
    </w:r>
    <w:r>
      <w:rPr/>
      <w:pict>
        <v:shape style="position:absolute;margin-left:523.460022pt;margin-top:781.957947pt;width:17.3pt;height:11pt;mso-position-horizontal-relative:page;mso-position-vertical-relative:page;z-index:-1080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112" type="#_x0000_t75" stroked="false">
          <v:imagedata r:id="rId1" o:title=""/>
        </v:shape>
      </w:pict>
    </w:r>
    <w:r>
      <w:rPr/>
      <w:pict>
        <v:shape style="position:absolute;margin-left:523.099976pt;margin-top:781.957947pt;width:17.7pt;height:11pt;mso-position-horizontal-relative:page;mso-position-vertical-relative:page;z-index:-1080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pt;mso-position-horizontal-relative:page;mso-position-vertical-relative:page;z-index:-1080376" type="#_x0000_t202" filled="false" stroked="false">
          <v:textbox inset="0,0,0,0">
            <w:txbxContent>
              <w:p>
                <w:pPr>
                  <w:pStyle w:val="BodyText"/>
                  <w:spacing w:line="200" w:lineRule="exact"/>
                  <w:ind w:left="20" w:right="0"/>
                  <w:jc w:val="left"/>
                </w:pPr>
                <w:r>
                  <w:rPr/>
                  <w:t>思创医惠科技股份有限公司</w:t>
                </w:r>
                <w:r>
                  <w:rPr>
                    <w:spacing w:val="-44"/>
                  </w:rPr>
                  <w:t> </w:t>
                </w:r>
                <w:r>
                  <w:rPr>
                    <w:rFonts w:ascii="宋体" w:hAnsi="宋体" w:cs="宋体" w:eastAsia="宋体" w:hint="default"/>
                  </w:rPr>
                  <w:t>2018</w:t>
                </w:r>
                <w:r>
                  <w:rPr>
                    <w:rFonts w:ascii="宋体" w:hAnsi="宋体" w:cs="宋体" w:eastAsia="宋体" w:hint="default"/>
                    <w:spacing w:val="-4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2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7"/>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chuangyihui.com.cn/" TargetMode="External"/><Relationship Id="rId10" Type="http://schemas.openxmlformats.org/officeDocument/2006/relationships/hyperlink" Target="mailto:zhengquanbu@century-cn.com" TargetMode="External"/><Relationship Id="rId11" Type="http://schemas.openxmlformats.org/officeDocument/2006/relationships/hyperlink" Target="mailto:sunxinjun@century-cn.com" TargetMode="External"/><Relationship Id="rId12" Type="http://schemas.openxmlformats.org/officeDocument/2006/relationships/hyperlink" Target="mailto:zengzheng@century-cn.com"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2020-05-04T22:27:40Z</dcterms:created>
  <dcterms:modified xsi:type="dcterms:W3CDTF">2020-05-04T22:27:40Z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Word 2010</vt:lpwstr>
  </property>
  <property fmtid="{D5CDD505-2E9C-101B-9397-08002B2CF9AE}" pid="4" name="LastSaved">
    <vt:filetime>2020-05-04T00:00:00Z</vt:filetime>
  </property>
</Properties>
</file>